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05884" w:rsidRDefault="000B7AD6">
      <w:pPr>
        <w:spacing w:line="360" w:lineRule="auto"/>
        <w:rPr>
          <w:rFonts w:ascii="宋体" w:hAnsi="宋体"/>
          <w:sz w:val="48"/>
        </w:rPr>
      </w:pPr>
      <w:r>
        <w:rPr>
          <w:rFonts w:ascii="宋体" w:hAnsi="宋体" w:hint="eastAsia"/>
          <w:sz w:val="48"/>
        </w:rPr>
        <w:t xml:space="preserve">　 </w:t>
      </w:r>
    </w:p>
    <w:p w:rsidR="00E05884" w:rsidRDefault="000B7AD6">
      <w:pPr>
        <w:spacing w:line="360" w:lineRule="auto"/>
        <w:rPr>
          <w:rFonts w:ascii="宋体" w:hAnsi="宋体"/>
          <w:sz w:val="48"/>
        </w:rPr>
      </w:pPr>
      <w:r>
        <w:rPr>
          <w:rFonts w:ascii="宋体" w:hAnsi="宋体" w:hint="eastAsia"/>
          <w:sz w:val="48"/>
        </w:rPr>
        <w:t xml:space="preserve">　 </w:t>
      </w:r>
    </w:p>
    <w:p w:rsidR="00E05884" w:rsidRDefault="000B7AD6">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proofErr w:type="gramStart"/>
      <w:r>
        <w:rPr>
          <w:rFonts w:ascii="宋体" w:hAnsi="宋体" w:hint="eastAsia"/>
          <w:b/>
          <w:bCs/>
          <w:sz w:val="48"/>
          <w:szCs w:val="48"/>
        </w:rPr>
        <w:t>摩根标普</w:t>
      </w:r>
      <w:proofErr w:type="gramEnd"/>
      <w:r>
        <w:rPr>
          <w:rFonts w:ascii="宋体" w:hAnsi="宋体" w:hint="eastAsia"/>
          <w:b/>
          <w:bCs/>
          <w:sz w:val="48"/>
          <w:szCs w:val="48"/>
        </w:rPr>
        <w:t>500指数型发起式证券投资基金(QDII)</w:t>
      </w:r>
      <w:r>
        <w:rPr>
          <w:rFonts w:ascii="宋体" w:hAnsi="宋体" w:hint="eastAsia"/>
          <w:b/>
          <w:bCs/>
          <w:sz w:val="48"/>
          <w:szCs w:val="48"/>
        </w:rPr>
        <w:br/>
        <w:t>2025年第1季度报告</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pPr>
      <w:r>
        <w:rPr>
          <w:rFonts w:ascii="宋体" w:hAnsi="宋体" w:hint="eastAsia"/>
          <w:b/>
          <w:bCs/>
          <w:sz w:val="28"/>
          <w:szCs w:val="30"/>
        </w:rPr>
        <w:t>2025年3月31日</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ind w:rightChars="-230" w:right="-483"/>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jc w:val="center"/>
        <w:rPr>
          <w:rFonts w:ascii="宋体" w:hAnsi="宋体"/>
          <w:sz w:val="28"/>
          <w:szCs w:val="30"/>
        </w:rPr>
      </w:pPr>
      <w:r>
        <w:rPr>
          <w:rFonts w:ascii="宋体" w:hAnsi="宋体" w:hint="eastAsia"/>
          <w:sz w:val="28"/>
          <w:szCs w:val="30"/>
        </w:rPr>
        <w:t xml:space="preserve">　 </w:t>
      </w:r>
    </w:p>
    <w:p w:rsidR="00E05884" w:rsidRDefault="000B7AD6">
      <w:pPr>
        <w:spacing w:line="360" w:lineRule="auto"/>
        <w:ind w:firstLineChars="800" w:firstLine="2249"/>
        <w:jc w:val="left"/>
      </w:pPr>
      <w:r>
        <w:rPr>
          <w:rFonts w:ascii="宋体" w:hAnsi="宋体" w:hint="eastAsia"/>
          <w:b/>
          <w:bCs/>
          <w:sz w:val="28"/>
          <w:szCs w:val="30"/>
        </w:rPr>
        <w:t>基金管理人：摩根基金管理（中国）有限公司</w:t>
      </w:r>
    </w:p>
    <w:p w:rsidR="00E05884" w:rsidRDefault="000B7AD6">
      <w:pPr>
        <w:spacing w:line="360" w:lineRule="auto"/>
        <w:ind w:firstLineChars="800" w:firstLine="2249"/>
        <w:jc w:val="left"/>
      </w:pPr>
      <w:r>
        <w:rPr>
          <w:rFonts w:ascii="宋体" w:hAnsi="宋体" w:hint="eastAsia"/>
          <w:b/>
          <w:bCs/>
          <w:sz w:val="28"/>
          <w:szCs w:val="30"/>
        </w:rPr>
        <w:t>基金托管人：招商银行股份有限公司</w:t>
      </w:r>
    </w:p>
    <w:p w:rsidR="00E05884" w:rsidRDefault="000B7AD6">
      <w:pPr>
        <w:spacing w:line="360" w:lineRule="auto"/>
        <w:ind w:firstLineChars="800" w:firstLine="2249"/>
        <w:jc w:val="left"/>
      </w:pPr>
      <w:r>
        <w:rPr>
          <w:rFonts w:ascii="宋体" w:hAnsi="宋体" w:hint="eastAsia"/>
          <w:b/>
          <w:bCs/>
          <w:sz w:val="28"/>
          <w:szCs w:val="30"/>
        </w:rPr>
        <w:t>报告送出日期：2025年4月22日</w:t>
      </w:r>
    </w:p>
    <w:p w:rsidR="00E05884" w:rsidRDefault="000B7AD6">
      <w:pPr>
        <w:pStyle w:val="XBRLTitle1"/>
        <w:spacing w:before="156" w:line="360" w:lineRule="auto"/>
        <w:ind w:left="425"/>
      </w:pPr>
      <w:r>
        <w:rPr>
          <w:rFonts w:cs="宋体" w:hint="eastAsia"/>
          <w:color w:val="404040"/>
          <w:kern w:val="0"/>
        </w:rPr>
        <w:br w:type="page"/>
      </w:r>
      <w:bookmarkStart w:id="7" w:name="_Toc512519480"/>
      <w:bookmarkStart w:id="8" w:name="_Toc481075046"/>
      <w:bookmarkStart w:id="9" w:name="_Toc438646451"/>
      <w:bookmarkStart w:id="10" w:name="_Toc490050000"/>
      <w:bookmarkStart w:id="11" w:name="_Toc514178667"/>
      <w:bookmarkStart w:id="12" w:name="m101"/>
      <w:bookmarkStart w:id="13" w:name="_GoBack"/>
      <w:bookmarkEnd w:id="13"/>
      <w:proofErr w:type="spellStart"/>
      <w:r>
        <w:rPr>
          <w:rFonts w:hint="eastAsia"/>
        </w:rPr>
        <w:lastRenderedPageBreak/>
        <w:t>重要提示</w:t>
      </w:r>
      <w:bookmarkEnd w:id="7"/>
      <w:bookmarkEnd w:id="8"/>
      <w:bookmarkEnd w:id="9"/>
      <w:bookmarkEnd w:id="10"/>
      <w:bookmarkEnd w:id="11"/>
      <w:proofErr w:type="spellEnd"/>
      <w:r>
        <w:rPr>
          <w:rFonts w:hint="eastAsia"/>
        </w:rPr>
        <w:t xml:space="preserve"> </w:t>
      </w:r>
    </w:p>
    <w:p w:rsidR="00E05884" w:rsidRDefault="000B7AD6">
      <w:pPr>
        <w:spacing w:line="360" w:lineRule="auto"/>
        <w:ind w:firstLineChars="200" w:firstLine="420"/>
        <w:divId w:val="1051926458"/>
      </w:pPr>
      <w:bookmarkStart w:id="14" w:name="m502"/>
      <w:bookmarkStart w:id="15" w:name="_Toc438646470"/>
      <w:bookmarkStart w:id="16" w:name="m504"/>
      <w:bookmarkStart w:id="17" w:name="m08QD_01"/>
      <w:bookmarkStart w:id="18" w:name="_Toc194311890"/>
      <w:bookmarkStart w:id="19" w:name="m201"/>
      <w:bookmarkStart w:id="20"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rsidR="00E05884" w:rsidRDefault="000B7AD6">
      <w:pPr>
        <w:pStyle w:val="XBRLTitle1"/>
        <w:spacing w:before="156" w:line="360" w:lineRule="auto"/>
        <w:ind w:left="425"/>
      </w:pPr>
      <w:bookmarkStart w:id="21" w:name="_Toc512519481"/>
      <w:bookmarkStart w:id="22" w:name="_Toc481075047"/>
      <w:bookmarkStart w:id="23" w:name="_Toc438646452"/>
      <w:bookmarkStart w:id="24" w:name="_Toc490050001"/>
      <w:bookmarkStart w:id="25" w:name="_Toc514178668"/>
      <w:proofErr w:type="spellStart"/>
      <w:r>
        <w:rPr>
          <w:rFonts w:hint="eastAsia"/>
        </w:rPr>
        <w:t>基金产品概况</w:t>
      </w:r>
      <w:bookmarkEnd w:id="21"/>
      <w:bookmarkEnd w:id="22"/>
      <w:bookmarkEnd w:id="23"/>
      <w:bookmarkEnd w:id="24"/>
      <w:bookmarkEnd w:id="25"/>
      <w:proofErr w:type="spellEnd"/>
      <w:r>
        <w:rPr>
          <w:rFonts w:hint="eastAsia"/>
        </w:rPr>
        <w:t xml:space="preserve"> </w:t>
      </w:r>
    </w:p>
    <w:tbl>
      <w:tblPr>
        <w:tblW w:w="4909" w:type="pct"/>
        <w:jc w:val="center"/>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750"/>
        <w:gridCol w:w="3310"/>
        <w:gridCol w:w="2614"/>
      </w:tblGrid>
      <w:tr w:rsidR="00E05884">
        <w:trPr>
          <w:divId w:val="1790970385"/>
          <w:trHeight w:val="406"/>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bookmarkStart w:id="26" w:name="OLE_LINK1"/>
            <w:r>
              <w:rPr>
                <w:rFonts w:ascii="宋体" w:hAnsi="宋体" w:hint="eastAsia"/>
              </w:rPr>
              <w:t>基金简称</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szCs w:val="24"/>
                <w:lang w:eastAsia="zh-Hans"/>
              </w:rPr>
              <w:t>摩根标普500指数(QDII)</w:t>
            </w:r>
            <w:r>
              <w:rPr>
                <w:rFonts w:ascii="宋体" w:hAnsi="宋体" w:hint="eastAsia"/>
                <w:lang w:eastAsia="zh-Hans"/>
              </w:rPr>
              <w:t xml:space="preserve"> </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基金主代码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017641</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基金运作方式</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契约型开放式</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基金合同生效日</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2023年4月6日</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报告期末基金份额总额</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1,369,081,276.98</w:t>
            </w:r>
            <w:r>
              <w:rPr>
                <w:rFonts w:asciiTheme="minorHAnsi" w:eastAsiaTheme="minorEastAsia" w:hAnsiTheme="minorHAnsi" w:hint="eastAsia"/>
              </w:rPr>
              <w:t>份</w:t>
            </w:r>
            <w:r>
              <w:rPr>
                <w:rFonts w:ascii="宋体" w:hAnsi="宋体" w:hint="eastAsia"/>
                <w:lang w:eastAsia="zh-Hans"/>
              </w:rPr>
              <w:t xml:space="preserve"> </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投资目标</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本基金进行被动指数化投资，紧密跟踪标的指数，追求跟踪偏离度和跟踪误差最小化。</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投资策略</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本基金采用完全复制策略，按照标的指数成份股构成及其权重构建股票资产组合，并根据标的指数成份股及其权重的变化对股票组合进行动态调整。但因特殊情况导致基金无法有效跟踪标的指数时，本基金将运用其他方法建立实际组合，力求实现基金相对业绩比较基准的跟踪误差最小化。</w:t>
            </w:r>
            <w:r>
              <w:rPr>
                <w:rFonts w:ascii="宋体" w:hAnsi="宋体" w:hint="eastAsia"/>
                <w:lang w:eastAsia="zh-Hans"/>
              </w:rPr>
              <w:br/>
              <w:t>1、资产配置策略</w:t>
            </w:r>
            <w:r>
              <w:rPr>
                <w:rFonts w:ascii="宋体" w:hAnsi="宋体" w:hint="eastAsia"/>
                <w:lang w:eastAsia="zh-Hans"/>
              </w:rPr>
              <w:br/>
              <w:t>为了实现追踪误差最小化，本基金投资于标的指数成份股及其备选成份股的比例不低于基金资产净值的80%，且不低于非现金基金资产80%。</w:t>
            </w:r>
            <w:r>
              <w:rPr>
                <w:rFonts w:ascii="宋体" w:hAnsi="宋体" w:hint="eastAsia"/>
                <w:lang w:eastAsia="zh-Hans"/>
              </w:rPr>
              <w:br/>
              <w:t>在正常市场情况下，本基金力争控制基金净值增长率与业绩比</w:t>
            </w:r>
            <w:r>
              <w:rPr>
                <w:rFonts w:ascii="宋体" w:hAnsi="宋体" w:hint="eastAsia"/>
                <w:lang w:eastAsia="zh-Hans"/>
              </w:rPr>
              <w:lastRenderedPageBreak/>
              <w:t>较基准之间的日均跟踪偏离度小于0.35%，基金净值增长率与业绩比较基准之间的年跟踪误差不超过4%。</w:t>
            </w:r>
            <w:r>
              <w:rPr>
                <w:rFonts w:ascii="宋体" w:hAnsi="宋体" w:hint="eastAsia"/>
                <w:lang w:eastAsia="zh-Hans"/>
              </w:rPr>
              <w:br/>
              <w:t>2、股票投资策略</w:t>
            </w:r>
            <w:r>
              <w:rPr>
                <w:rFonts w:ascii="宋体" w:hAnsi="宋体" w:hint="eastAsia"/>
                <w:lang w:eastAsia="zh-Hans"/>
              </w:rPr>
              <w:br/>
              <w:t>（1）投资组合构建</w:t>
            </w:r>
            <w:r>
              <w:rPr>
                <w:rFonts w:ascii="宋体" w:hAnsi="宋体" w:hint="eastAsia"/>
                <w:lang w:eastAsia="zh-Hans"/>
              </w:rPr>
              <w:br/>
              <w:t>本基金通过完全复制策略进行被动式指数化投资，根据标普500指数成份股的基准权重构建股票资产组合，对于因法规限制、流动性限制而无法交易的成份股，将采用与被限制股预期收益率相近的股票或股票组合进行相应的替代。在初始建仓期或者为申购资金建仓时，本基金按照标普500指数各成份股所占权重逐步买入。在投资运作过程中，本基金以标的指数权重为标准配置个股，并根据成份股构成及其权重的变动进行动态调整。</w:t>
            </w:r>
            <w:r>
              <w:rPr>
                <w:rFonts w:ascii="宋体" w:hAnsi="宋体" w:hint="eastAsia"/>
                <w:lang w:eastAsia="zh-Hans"/>
              </w:rPr>
              <w:br/>
              <w:t>（2）投资组合调整</w:t>
            </w:r>
            <w:r>
              <w:rPr>
                <w:rFonts w:ascii="宋体" w:hAnsi="宋体" w:hint="eastAsia"/>
                <w:lang w:eastAsia="zh-Hans"/>
              </w:rPr>
              <w:br/>
              <w:t>1）定期调整</w:t>
            </w:r>
            <w:r>
              <w:rPr>
                <w:rFonts w:ascii="宋体" w:hAnsi="宋体" w:hint="eastAsia"/>
                <w:lang w:eastAsia="zh-Hans"/>
              </w:rPr>
              <w:br/>
              <w:t>本基金所构建的投资组合将定期根据所跟踪标的指数成份股的调整进行相应的跟踪调整。指数调整方案公布后，本基金将及时对现有组合的构成进行相应的调整，若成份股的集中调整短期内会对跟踪误差产生较大影响，将采用逐步调整的方式。</w:t>
            </w:r>
            <w:r>
              <w:rPr>
                <w:rFonts w:ascii="宋体" w:hAnsi="宋体" w:hint="eastAsia"/>
                <w:lang w:eastAsia="zh-Hans"/>
              </w:rPr>
              <w:br/>
              <w:t>2）不定期调整</w:t>
            </w:r>
            <w:r>
              <w:rPr>
                <w:rFonts w:ascii="宋体" w:hAnsi="宋体" w:hint="eastAsia"/>
                <w:lang w:eastAsia="zh-Hans"/>
              </w:rPr>
              <w:br/>
              <w:t>①根据指数编制规则，当标的指数成份股因增发、送配等股权变动而需进行成份股权重调整时，本基金将根据标的指数权重比例的变化，进行相应调整。</w:t>
            </w:r>
            <w:r>
              <w:rPr>
                <w:rFonts w:ascii="宋体" w:hAnsi="宋体" w:hint="eastAsia"/>
                <w:lang w:eastAsia="zh-Hans"/>
              </w:rPr>
              <w:br/>
              <w:t>②当标的指数成份股因停牌、流动性不足等因素导致基金无法按照指数权重进行配置，基金管理人将综合考虑跟踪误差和投资者利益，选择相关股票进行适当的替代。</w:t>
            </w:r>
            <w:r>
              <w:rPr>
                <w:rFonts w:ascii="宋体" w:hAnsi="宋体" w:hint="eastAsia"/>
                <w:lang w:eastAsia="zh-Hans"/>
              </w:rPr>
              <w:br/>
              <w:t xml:space="preserve">③本基金将根据申购和赎回情况对股票投资组合进行调整，保证基金正常运行，从而有效跟踪标的指数。 </w:t>
            </w:r>
            <w:r>
              <w:rPr>
                <w:rFonts w:ascii="宋体" w:hAnsi="宋体" w:hint="eastAsia"/>
                <w:lang w:eastAsia="zh-Hans"/>
              </w:rPr>
              <w:br/>
              <w:t>3）股票替代</w:t>
            </w:r>
            <w:r>
              <w:rPr>
                <w:rFonts w:ascii="宋体" w:hAnsi="宋体" w:hint="eastAsia"/>
                <w:lang w:eastAsia="zh-Hans"/>
              </w:rPr>
              <w:br/>
              <w:t>通常情况下，本基金根据标的指数成份股票在指数中的权重确定成份股票的买卖数量。但在如标的指数成份股流动性严重不</w:t>
            </w:r>
            <w:r>
              <w:rPr>
                <w:rFonts w:ascii="宋体" w:hAnsi="宋体" w:hint="eastAsia"/>
                <w:lang w:eastAsia="zh-Hans"/>
              </w:rPr>
              <w:lastRenderedPageBreak/>
              <w:t>足或停牌、标的指数成份股因法律法规的相关规定而为本基金限制投资的股票等特殊情况下，本基金可以选择其他股票或股票组合对标的指数中的成份股进行替换。</w:t>
            </w:r>
            <w:r>
              <w:rPr>
                <w:rFonts w:ascii="宋体" w:hAnsi="宋体" w:hint="eastAsia"/>
                <w:lang w:eastAsia="zh-Hans"/>
              </w:rPr>
              <w:br/>
              <w:t>3、其他投资策略：包括基金投资策略、金融衍生品投资策略、债券投资策略、资产支持证券投资策略。</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lastRenderedPageBreak/>
              <w:t>业绩比较基准</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标普500指数收益率(经汇率调整后) ×95%+银行活期存款利率(税后) ×5%</w:t>
            </w:r>
          </w:p>
        </w:tc>
      </w:tr>
      <w:tr w:rsidR="00E05884">
        <w:trPr>
          <w:divId w:val="1790970385"/>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风险收益特征</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本基金属于股票型基金产品，预期风险和收益水平高于混合型基金、债券型基金和货币市场基金。本基金为被动管理的指数型基金，具有与标的指数、以及标的指数所代表的股票市场相似的风险收益特征。</w:t>
            </w:r>
            <w:r>
              <w:rPr>
                <w:rFonts w:ascii="宋体" w:hAnsi="宋体" w:hint="eastAsia"/>
                <w:lang w:eastAsia="zh-Hans"/>
              </w:rPr>
              <w:br/>
              <w:t>本基金投资于境外证券市场，因此还面临汇率风险等境外证券市场投资所面临的特别投资风险。</w:t>
            </w:r>
          </w:p>
        </w:tc>
      </w:tr>
      <w:tr w:rsidR="00E05884">
        <w:trPr>
          <w:divId w:val="179097038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基金管理人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摩根基金管理（中国）有限公司</w:t>
            </w:r>
          </w:p>
        </w:tc>
      </w:tr>
      <w:tr w:rsidR="00E05884">
        <w:trPr>
          <w:divId w:val="1790970385"/>
          <w:trHeight w:val="412"/>
          <w:jc w:val="center"/>
        </w:trPr>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基金托管人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招商银行股份有限公司</w:t>
            </w:r>
          </w:p>
        </w:tc>
      </w:tr>
      <w:tr w:rsidR="00E05884">
        <w:trPr>
          <w:divId w:val="179097038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05884" w:rsidRDefault="000B7AD6">
            <w:pPr>
              <w:spacing w:line="360" w:lineRule="auto"/>
              <w:jc w:val="left"/>
            </w:pPr>
            <w:bookmarkStart w:id="27"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center"/>
            </w:pPr>
            <w:r>
              <w:rPr>
                <w:rFonts w:ascii="宋体" w:hAnsi="宋体" w:hint="eastAsia"/>
                <w:lang w:eastAsia="zh-Hans"/>
              </w:rPr>
              <w:t>摩根标普500指数(QDII)人民币A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center"/>
            </w:pPr>
            <w:r>
              <w:rPr>
                <w:rFonts w:ascii="宋体" w:hAnsi="宋体" w:hint="eastAsia"/>
                <w:lang w:eastAsia="zh-Hans"/>
              </w:rPr>
              <w:t>摩根标普500指数(QDII)人民币C</w:t>
            </w:r>
            <w:r>
              <w:rPr>
                <w:rFonts w:ascii="宋体" w:hAnsi="宋体" w:hint="eastAsia"/>
                <w:kern w:val="0"/>
                <w:sz w:val="20"/>
                <w:lang w:eastAsia="zh-Hans"/>
              </w:rPr>
              <w:t xml:space="preserve"> </w:t>
            </w:r>
          </w:p>
        </w:tc>
      </w:tr>
      <w:tr w:rsidR="00E05884">
        <w:trPr>
          <w:divId w:val="179097038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05884" w:rsidRDefault="000B7AD6">
            <w:pPr>
              <w:spacing w:line="360" w:lineRule="auto"/>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center"/>
            </w:pPr>
            <w:r>
              <w:rPr>
                <w:rFonts w:ascii="宋体" w:hAnsi="宋体" w:hint="eastAsia"/>
                <w:lang w:eastAsia="zh-Hans"/>
              </w:rPr>
              <w:t>017641</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center"/>
            </w:pPr>
            <w:r>
              <w:rPr>
                <w:rFonts w:ascii="宋体" w:hAnsi="宋体" w:hint="eastAsia"/>
                <w:lang w:eastAsia="zh-Hans"/>
              </w:rPr>
              <w:t>019305</w:t>
            </w:r>
            <w:r>
              <w:rPr>
                <w:rFonts w:ascii="宋体" w:hAnsi="宋体" w:hint="eastAsia"/>
                <w:kern w:val="0"/>
                <w:sz w:val="20"/>
                <w:lang w:eastAsia="zh-Hans"/>
              </w:rPr>
              <w:t xml:space="preserve"> </w:t>
            </w:r>
          </w:p>
        </w:tc>
      </w:tr>
      <w:bookmarkEnd w:id="27"/>
      <w:tr w:rsidR="00E05884">
        <w:trPr>
          <w:divId w:val="1790970385"/>
          <w:trHeight w:val="285"/>
          <w:jc w:val="center"/>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rsidR="00E05884" w:rsidRDefault="000B7AD6">
            <w:pPr>
              <w:spacing w:line="360" w:lineRule="auto"/>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lang w:eastAsia="zh-Hans"/>
              </w:rPr>
              <w:t>940,205,305.43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lang w:eastAsia="zh-Hans"/>
              </w:rPr>
              <w:t>428,875,971.55</w:t>
            </w:r>
            <w:r>
              <w:rPr>
                <w:rFonts w:hint="eastAsia"/>
              </w:rPr>
              <w:t>份</w:t>
            </w:r>
            <w:r>
              <w:rPr>
                <w:rFonts w:ascii="宋体" w:hAnsi="宋体" w:hint="eastAsia"/>
                <w:lang w:eastAsia="zh-Hans"/>
              </w:rPr>
              <w:t xml:space="preserve"> </w:t>
            </w:r>
          </w:p>
        </w:tc>
      </w:tr>
      <w:tr w:rsidR="00E05884">
        <w:trPr>
          <w:divId w:val="1790970385"/>
          <w:trHeight w:val="382"/>
          <w:jc w:val="center"/>
        </w:trPr>
        <w:tc>
          <w:tcPr>
            <w:tcW w:w="1184" w:type="pct"/>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rPr>
              <w:t>境外资产托管人</w:t>
            </w:r>
            <w:r>
              <w:rPr>
                <w:rFonts w:ascii="宋体" w:hAnsi="宋体" w:hint="eastAsia"/>
                <w:lang w:eastAsia="zh-Hans"/>
              </w:rPr>
              <w:t xml:space="preserve"> </w:t>
            </w: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spacing w:line="360" w:lineRule="auto"/>
              <w:jc w:val="left"/>
            </w:pPr>
            <w:r>
              <w:rPr>
                <w:rFonts w:ascii="宋体" w:hAnsi="宋体" w:hint="eastAsia"/>
                <w:lang w:eastAsia="zh-Hans"/>
              </w:rPr>
              <w:t>英文名称：The Hong Kong and Shanghai Banking Corporation Limited</w:t>
            </w:r>
          </w:p>
        </w:tc>
      </w:tr>
      <w:tr w:rsidR="00E05884">
        <w:trPr>
          <w:divId w:val="1790970385"/>
          <w:trHeight w:val="34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05884" w:rsidRDefault="00E05884">
            <w:pPr>
              <w:widowControl/>
              <w:jc w:val="left"/>
            </w:pPr>
          </w:p>
        </w:tc>
        <w:tc>
          <w:tcPr>
            <w:tcW w:w="3816" w:type="pct"/>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widowControl/>
              <w:spacing w:line="315" w:lineRule="atLeast"/>
              <w:jc w:val="left"/>
            </w:pPr>
            <w:r>
              <w:rPr>
                <w:rFonts w:ascii="宋体" w:hAnsi="宋体" w:hint="eastAsia"/>
                <w:lang w:eastAsia="zh-Hans"/>
              </w:rPr>
              <w:t>中文名称：香港上海汇丰银行有限公司</w:t>
            </w:r>
            <w:r>
              <w:rPr>
                <w:rFonts w:asciiTheme="minorEastAsia" w:eastAsiaTheme="minorEastAsia" w:hAnsiTheme="minorEastAsia" w:hint="eastAsia"/>
              </w:rPr>
              <w:t xml:space="preserve"> </w:t>
            </w:r>
          </w:p>
        </w:tc>
      </w:tr>
    </w:tbl>
    <w:p w:rsidR="00E05884" w:rsidRDefault="000B7AD6">
      <w:pPr>
        <w:pStyle w:val="XBRLTitle1"/>
        <w:spacing w:before="156" w:line="360" w:lineRule="auto"/>
        <w:ind w:left="425"/>
      </w:pPr>
      <w:bookmarkStart w:id="28" w:name="_Toc512519482"/>
      <w:bookmarkStart w:id="29" w:name="_Toc481075049"/>
      <w:bookmarkStart w:id="30" w:name="_Toc438646455"/>
      <w:bookmarkStart w:id="31" w:name="_Toc490050003"/>
      <w:bookmarkStart w:id="32" w:name="_Toc514178669"/>
      <w:bookmarkStart w:id="33" w:name="m401_tab"/>
      <w:bookmarkStart w:id="34" w:name="m401"/>
      <w:bookmarkEnd w:id="26"/>
      <w:proofErr w:type="spellStart"/>
      <w:r>
        <w:rPr>
          <w:rFonts w:hint="eastAsia"/>
        </w:rPr>
        <w:t>主要财务指标和基金净值表现</w:t>
      </w:r>
      <w:bookmarkEnd w:id="28"/>
      <w:bookmarkEnd w:id="29"/>
      <w:bookmarkEnd w:id="30"/>
      <w:bookmarkEnd w:id="31"/>
      <w:bookmarkEnd w:id="32"/>
      <w:proofErr w:type="spellEnd"/>
      <w:r>
        <w:rPr>
          <w:rFonts w:hint="eastAsia"/>
        </w:rPr>
        <w:t xml:space="preserve"> </w:t>
      </w:r>
    </w:p>
    <w:p w:rsidR="00E05884" w:rsidRDefault="000B7AD6">
      <w:pPr>
        <w:pStyle w:val="XBRLTitle2"/>
        <w:spacing w:before="156" w:line="360" w:lineRule="auto"/>
        <w:ind w:left="454"/>
      </w:pPr>
      <w:bookmarkStart w:id="35" w:name="_Toc512519483"/>
      <w:bookmarkStart w:id="36" w:name="_Toc481075050"/>
      <w:bookmarkStart w:id="37" w:name="_Toc438646456"/>
      <w:bookmarkStart w:id="38" w:name="_Toc490050004"/>
      <w:bookmarkStart w:id="39" w:name="_Toc514178670"/>
      <w:proofErr w:type="spellStart"/>
      <w:r>
        <w:rPr>
          <w:rFonts w:hint="eastAsia"/>
        </w:rPr>
        <w:t>主要财务指标</w:t>
      </w:r>
      <w:bookmarkEnd w:id="35"/>
      <w:bookmarkEnd w:id="36"/>
      <w:bookmarkEnd w:id="37"/>
      <w:bookmarkEnd w:id="38"/>
      <w:bookmarkEnd w:id="39"/>
      <w:proofErr w:type="spellEnd"/>
      <w:r>
        <w:rPr>
          <w:rFonts w:hint="eastAsia"/>
        </w:rPr>
        <w:t xml:space="preserve"> </w:t>
      </w:r>
    </w:p>
    <w:p w:rsidR="00E05884" w:rsidRDefault="000B7AD6">
      <w:pPr>
        <w:jc w:val="right"/>
        <w:divId w:val="2000379129"/>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3077"/>
        <w:gridCol w:w="3073"/>
      </w:tblGrid>
      <w:tr w:rsidR="00E05884">
        <w:trPr>
          <w:divId w:val="2000379129"/>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05884" w:rsidRDefault="000B7AD6">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rsidR="00E05884" w:rsidRDefault="000B7AD6">
            <w:pPr>
              <w:pStyle w:val="a5"/>
              <w:jc w:val="center"/>
            </w:pPr>
            <w:r>
              <w:rPr>
                <w:rFonts w:hint="eastAsia"/>
                <w:kern w:val="2"/>
                <w:sz w:val="21"/>
                <w:szCs w:val="24"/>
                <w:lang w:eastAsia="zh-Hans"/>
              </w:rPr>
              <w:t xml:space="preserve">报告期（2025年1月1日-2025年3月31日） </w:t>
            </w:r>
          </w:p>
        </w:tc>
      </w:tr>
      <w:tr w:rsidR="00E05884">
        <w:trPr>
          <w:divId w:val="2000379129"/>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05884" w:rsidRDefault="000B7AD6">
            <w:pPr>
              <w:jc w:val="center"/>
            </w:pPr>
            <w:r>
              <w:rPr>
                <w:rFonts w:ascii="宋体" w:hAnsi="宋体" w:hint="eastAsia"/>
                <w:szCs w:val="24"/>
                <w:lang w:eastAsia="zh-Hans"/>
              </w:rPr>
              <w:t>摩根标普500指数(QDII)人民币A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rsidR="00E05884" w:rsidRDefault="000B7AD6">
            <w:pPr>
              <w:jc w:val="center"/>
            </w:pPr>
            <w:r>
              <w:rPr>
                <w:rFonts w:ascii="宋体" w:hAnsi="宋体" w:hint="eastAsia"/>
                <w:szCs w:val="24"/>
                <w:lang w:eastAsia="zh-Hans"/>
              </w:rPr>
              <w:t>摩根标普500指数(QDII)人民币C</w:t>
            </w:r>
          </w:p>
        </w:tc>
      </w:tr>
      <w:tr w:rsidR="00E05884">
        <w:trPr>
          <w:divId w:val="20003791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11,255,938.46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4,819,376.31</w:t>
            </w:r>
          </w:p>
        </w:tc>
      </w:tr>
      <w:tr w:rsidR="00E05884">
        <w:trPr>
          <w:divId w:val="20003791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pStyle w:val="a5"/>
            </w:pPr>
            <w:r>
              <w:rPr>
                <w:rFonts w:hint="eastAsia"/>
                <w:kern w:val="2"/>
                <w:sz w:val="21"/>
              </w:rPr>
              <w:lastRenderedPageBreak/>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-57,197,451.86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-26,364,793.64</w:t>
            </w:r>
          </w:p>
        </w:tc>
      </w:tr>
      <w:tr w:rsidR="00E05884">
        <w:trPr>
          <w:divId w:val="20003791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-0.0611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-0.0600</w:t>
            </w:r>
          </w:p>
        </w:tc>
      </w:tr>
      <w:tr w:rsidR="00E05884">
        <w:trPr>
          <w:divId w:val="20003791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1,249,396,401.45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566,950,733.75</w:t>
            </w:r>
          </w:p>
        </w:tc>
      </w:tr>
      <w:tr w:rsidR="00E05884">
        <w:trPr>
          <w:divId w:val="2000379129"/>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1.3289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rsidR="00E05884" w:rsidRDefault="000B7AD6">
            <w:pPr>
              <w:jc w:val="right"/>
            </w:pPr>
            <w:r>
              <w:rPr>
                <w:rFonts w:ascii="宋体" w:hAnsi="宋体" w:hint="eastAsia"/>
                <w:szCs w:val="24"/>
                <w:lang w:eastAsia="zh-Hans"/>
              </w:rPr>
              <w:t>1.3219</w:t>
            </w:r>
          </w:p>
        </w:tc>
      </w:tr>
    </w:tbl>
    <w:p w:rsidR="00E05884" w:rsidRDefault="000B7AD6">
      <w:pPr>
        <w:wordWrap w:val="0"/>
        <w:spacing w:line="360" w:lineRule="auto"/>
        <w:jc w:val="left"/>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rsidR="00E05884" w:rsidRDefault="000B7AD6">
      <w:pPr>
        <w:pStyle w:val="XBRLTitle2"/>
        <w:spacing w:before="156" w:line="360" w:lineRule="auto"/>
        <w:ind w:left="454"/>
      </w:pPr>
      <w:bookmarkStart w:id="40" w:name="_Toc512519484"/>
      <w:bookmarkStart w:id="41" w:name="_Toc481075051"/>
      <w:bookmarkStart w:id="42" w:name="_Toc438646457"/>
      <w:bookmarkStart w:id="43" w:name="_Toc490050005"/>
      <w:bookmarkStart w:id="44" w:name="_Toc514178671"/>
      <w:proofErr w:type="spellStart"/>
      <w:r>
        <w:rPr>
          <w:rFonts w:hint="eastAsia"/>
        </w:rPr>
        <w:t>基金净值表现</w:t>
      </w:r>
      <w:bookmarkEnd w:id="40"/>
      <w:bookmarkEnd w:id="41"/>
      <w:bookmarkEnd w:id="42"/>
      <w:bookmarkEnd w:id="43"/>
      <w:bookmarkEnd w:id="44"/>
      <w:proofErr w:type="spellEnd"/>
      <w:r>
        <w:rPr>
          <w:rFonts w:hint="eastAsia"/>
        </w:rPr>
        <w:t xml:space="preserve"> </w:t>
      </w:r>
    </w:p>
    <w:p w:rsidR="00E05884" w:rsidRDefault="000B7AD6">
      <w:pPr>
        <w:pStyle w:val="XBRLTitle3"/>
        <w:spacing w:before="156"/>
        <w:ind w:left="0"/>
      </w:pPr>
      <w:bookmarkStart w:id="45" w:name="_Toc512519485"/>
      <w:bookmarkStart w:id="46" w:name="_Toc481075052"/>
      <w:bookmarkStart w:id="47" w:name="_Toc490050006"/>
      <w:bookmarkStart w:id="48" w:name="_Toc514178672"/>
      <w:proofErr w:type="spellStart"/>
      <w:r>
        <w:rPr>
          <w:rFonts w:hint="eastAsia"/>
        </w:rPr>
        <w:t>基金份额净值增长率及其与同期业绩比较基准收益率的比较</w:t>
      </w:r>
      <w:bookmarkEnd w:id="45"/>
      <w:bookmarkEnd w:id="46"/>
      <w:bookmarkEnd w:id="47"/>
      <w:bookmarkEnd w:id="48"/>
      <w:proofErr w:type="spellEnd"/>
      <w:r>
        <w:rPr>
          <w:rFonts w:hint="eastAsia"/>
          <w:lang w:eastAsia="zh-CN"/>
        </w:rPr>
        <w:t xml:space="preserve"> </w:t>
      </w:r>
    </w:p>
    <w:p w:rsidR="00E05884" w:rsidRDefault="000B7AD6">
      <w:pPr>
        <w:spacing w:line="360" w:lineRule="auto"/>
        <w:jc w:val="center"/>
        <w:divId w:val="1566212050"/>
      </w:pPr>
      <w:proofErr w:type="gramStart"/>
      <w:r>
        <w:rPr>
          <w:rFonts w:ascii="宋体" w:hAnsi="宋体" w:hint="eastAsia"/>
        </w:rPr>
        <w:t>摩根标普</w:t>
      </w:r>
      <w:proofErr w:type="gramEnd"/>
      <w:r>
        <w:rPr>
          <w:rFonts w:ascii="宋体" w:hAnsi="宋体" w:hint="eastAsia"/>
        </w:rPr>
        <w:t>500指数(QDII)人民币A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05884">
        <w:trPr>
          <w:divId w:val="156621205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②－④ </w:t>
            </w:r>
          </w:p>
        </w:tc>
      </w:tr>
      <w:tr w:rsidR="00E05884">
        <w:trPr>
          <w:divId w:val="15662120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-4.38%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-4.48%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0.00% </w:t>
            </w:r>
          </w:p>
        </w:tc>
      </w:tr>
      <w:tr w:rsidR="00E05884">
        <w:trPr>
          <w:divId w:val="15662120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0.20%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0.00% </w:t>
            </w:r>
          </w:p>
        </w:tc>
      </w:tr>
      <w:tr w:rsidR="00E05884">
        <w:trPr>
          <w:divId w:val="15662120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6.41%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7.67%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-1.26%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-0.01% </w:t>
            </w:r>
          </w:p>
        </w:tc>
      </w:tr>
      <w:tr w:rsidR="00E05884">
        <w:trPr>
          <w:divId w:val="156621205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32.89%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0.77%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40.88%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0.79%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-7.99%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-0.02% </w:t>
            </w:r>
          </w:p>
        </w:tc>
      </w:tr>
    </w:tbl>
    <w:p w:rsidR="00E05884" w:rsidRDefault="000B7AD6">
      <w:pPr>
        <w:spacing w:line="360" w:lineRule="auto"/>
        <w:jc w:val="center"/>
        <w:divId w:val="325398924"/>
      </w:pPr>
      <w:proofErr w:type="gramStart"/>
      <w:r>
        <w:rPr>
          <w:rFonts w:ascii="宋体" w:hAnsi="宋体" w:hint="eastAsia"/>
        </w:rPr>
        <w:t>摩根标普</w:t>
      </w:r>
      <w:proofErr w:type="gramEnd"/>
      <w:r>
        <w:rPr>
          <w:rFonts w:ascii="宋体" w:hAnsi="宋体" w:hint="eastAsia"/>
        </w:rPr>
        <w:t>500指数(QDII)人民币C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E05884">
        <w:trPr>
          <w:divId w:val="325398924"/>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 xml:space="preserve">②－④ </w:t>
            </w:r>
          </w:p>
        </w:tc>
      </w:tr>
      <w:tr w:rsidR="00E05884">
        <w:trPr>
          <w:divId w:val="3253989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-4.46%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-4.48%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0.98%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0.02%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0.00% </w:t>
            </w:r>
          </w:p>
        </w:tc>
      </w:tr>
      <w:tr w:rsidR="00E05884">
        <w:trPr>
          <w:divId w:val="3253989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-0.22%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-0.22%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0.88%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0.00%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0.00% </w:t>
            </w:r>
          </w:p>
        </w:tc>
      </w:tr>
      <w:tr w:rsidR="00E05884">
        <w:trPr>
          <w:divId w:val="3253989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过去一年</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6.04%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7.67%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0.87%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-1.63%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-0.01% </w:t>
            </w:r>
          </w:p>
        </w:tc>
      </w:tr>
      <w:tr w:rsidR="00E05884">
        <w:trPr>
          <w:divId w:val="325398924"/>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19.11%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23.08%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0.81% </w:t>
            </w:r>
          </w:p>
        </w:tc>
        <w:tc>
          <w:tcPr>
            <w:tcW w:w="728" w:type="pct"/>
            <w:tcBorders>
              <w:top w:val="single" w:sz="4" w:space="0" w:color="auto"/>
              <w:left w:val="single" w:sz="4" w:space="0" w:color="auto"/>
              <w:bottom w:val="single" w:sz="4" w:space="0" w:color="auto"/>
              <w:right w:val="single" w:sz="4" w:space="0" w:color="auto"/>
            </w:tcBorders>
            <w:vAlign w:val="center"/>
            <w:hideMark/>
          </w:tcPr>
          <w:p w:rsidR="00E05884" w:rsidRDefault="000B7AD6">
            <w:pPr>
              <w:spacing w:line="360" w:lineRule="auto"/>
              <w:jc w:val="right"/>
            </w:pPr>
            <w:r>
              <w:rPr>
                <w:rFonts w:ascii="宋体" w:hAnsi="宋体" w:hint="eastAsia"/>
              </w:rPr>
              <w:t xml:space="preserve">-3.97%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spacing w:line="360" w:lineRule="auto"/>
              <w:jc w:val="right"/>
            </w:pPr>
            <w:r>
              <w:rPr>
                <w:rFonts w:ascii="宋体" w:hAnsi="宋体" w:hint="eastAsia"/>
              </w:rPr>
              <w:t xml:space="preserve">-0.01% </w:t>
            </w:r>
          </w:p>
        </w:tc>
      </w:tr>
    </w:tbl>
    <w:p w:rsidR="00E05884" w:rsidRDefault="000B7AD6">
      <w:pPr>
        <w:pStyle w:val="XBRLTitle3"/>
        <w:spacing w:before="156"/>
        <w:ind w:left="0"/>
      </w:pPr>
      <w:bookmarkStart w:id="49" w:name="_Toc512519486"/>
      <w:bookmarkStart w:id="50" w:name="_Toc481075053"/>
      <w:bookmarkStart w:id="51" w:name="_Toc490050007"/>
      <w:bookmarkStart w:id="52" w:name="_Toc514178673"/>
      <w:proofErr w:type="spellStart"/>
      <w:r>
        <w:rPr>
          <w:rFonts w:hint="eastAsia"/>
        </w:rPr>
        <w:t>自基金合同生效以来基金累计净值增长率变动及其与同期业绩比较基准收益</w:t>
      </w:r>
      <w:r>
        <w:rPr>
          <w:rFonts w:hint="eastAsia"/>
        </w:rPr>
        <w:lastRenderedPageBreak/>
        <w:t>率变动的比较</w:t>
      </w:r>
      <w:bookmarkEnd w:id="49"/>
      <w:bookmarkEnd w:id="50"/>
      <w:bookmarkEnd w:id="51"/>
      <w:bookmarkEnd w:id="52"/>
      <w:proofErr w:type="spellEnd"/>
      <w:r>
        <w:rPr>
          <w:rFonts w:hint="eastAsia"/>
          <w:kern w:val="2"/>
          <w:sz w:val="21"/>
          <w:szCs w:val="20"/>
          <w:lang w:val="en-US" w:eastAsia="zh-CN"/>
        </w:rPr>
        <w:t xml:space="preserve"> </w:t>
      </w:r>
    </w:p>
    <w:p w:rsidR="00E05884" w:rsidRDefault="000B7AD6">
      <w:pPr>
        <w:spacing w:line="360" w:lineRule="auto"/>
        <w:jc w:val="left"/>
        <w:divId w:val="1876887488"/>
      </w:pPr>
      <w:bookmarkStart w:id="53" w:name="m07_04_07_09_tab"/>
      <w:bookmarkStart w:id="54" w:name="m07_04_07_09"/>
      <w:bookmarkStart w:id="55" w:name="m01_01"/>
      <w:r>
        <w:rPr>
          <w:rFonts w:ascii="宋体" w:hAnsi="宋体"/>
          <w:noProof/>
        </w:rPr>
        <w:drawing>
          <wp:inline distT="0" distB="0" distL="0" distR="0">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05884" w:rsidRDefault="000B7AD6">
      <w:pPr>
        <w:spacing w:line="360" w:lineRule="auto"/>
        <w:jc w:val="left"/>
        <w:divId w:val="1348369097"/>
      </w:pPr>
      <w:r>
        <w:rPr>
          <w:rFonts w:ascii="宋体" w:hAnsi="宋体"/>
          <w:noProof/>
        </w:rPr>
        <w:drawing>
          <wp:inline distT="0" distB="0" distL="0" distR="0">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rsidR="00E05884" w:rsidRDefault="000B7AD6">
      <w:pPr>
        <w:spacing w:line="360" w:lineRule="auto"/>
      </w:pPr>
      <w:r>
        <w:rPr>
          <w:rFonts w:ascii="宋体" w:hAnsi="宋体" w:hint="eastAsia"/>
        </w:rPr>
        <w:t>注：</w:t>
      </w:r>
      <w:r>
        <w:rPr>
          <w:rFonts w:ascii="宋体" w:hAnsi="宋体" w:hint="eastAsia"/>
          <w:lang w:eastAsia="zh-Hans"/>
        </w:rPr>
        <w:t>本基金合同生效日为2023年4月6日，图示的时间段为合同生效日至本报告期末。</w:t>
      </w:r>
      <w:r>
        <w:rPr>
          <w:rFonts w:ascii="宋体" w:hAnsi="宋体" w:hint="eastAsia"/>
          <w:lang w:eastAsia="zh-Hans"/>
        </w:rPr>
        <w:br/>
        <w:t xml:space="preserve">　　本基金自2023年9月1日起增加C类份额，相关数据按实际存续期计算。</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bookmarkEnd w:id="53"/>
      <w:bookmarkEnd w:id="54"/>
    </w:p>
    <w:p w:rsidR="00E05884" w:rsidRDefault="000B7AD6">
      <w:pPr>
        <w:pStyle w:val="XBRLTitle1"/>
        <w:spacing w:before="156" w:line="360" w:lineRule="auto"/>
        <w:ind w:left="425"/>
      </w:pPr>
      <w:bookmarkStart w:id="56" w:name="_Toc481075054"/>
      <w:bookmarkStart w:id="57" w:name="_Toc438646458"/>
      <w:bookmarkStart w:id="58" w:name="_Toc490050008"/>
      <w:bookmarkStart w:id="59" w:name="_Toc512519487"/>
      <w:bookmarkStart w:id="60" w:name="_Toc514178674"/>
      <w:proofErr w:type="spellStart"/>
      <w:r>
        <w:rPr>
          <w:rFonts w:hint="eastAsia"/>
        </w:rPr>
        <w:t>管理人报告</w:t>
      </w:r>
      <w:bookmarkEnd w:id="56"/>
      <w:bookmarkEnd w:id="57"/>
      <w:bookmarkEnd w:id="58"/>
      <w:bookmarkEnd w:id="59"/>
      <w:bookmarkEnd w:id="60"/>
      <w:proofErr w:type="spellEnd"/>
      <w:r>
        <w:rPr>
          <w:rFonts w:hint="eastAsia"/>
        </w:rPr>
        <w:t xml:space="preserve"> </w:t>
      </w:r>
    </w:p>
    <w:p w:rsidR="00E05884" w:rsidRDefault="000B7AD6">
      <w:pPr>
        <w:pStyle w:val="XBRLTitle2"/>
        <w:spacing w:before="156" w:line="360" w:lineRule="auto"/>
        <w:ind w:left="454"/>
      </w:pPr>
      <w:bookmarkStart w:id="61" w:name="_Toc459213770"/>
      <w:bookmarkStart w:id="62" w:name="_Toc456107124"/>
      <w:bookmarkStart w:id="63" w:name="_Toc438654078"/>
      <w:bookmarkStart w:id="64" w:name="_Toc448480290"/>
      <w:bookmarkStart w:id="65" w:name="_Toc480465421"/>
      <w:bookmarkStart w:id="66" w:name="_Toc514178675"/>
      <w:bookmarkStart w:id="67" w:name="_Toc512611287"/>
      <w:bookmarkStart w:id="68" w:name="_Toc512612083"/>
      <w:bookmarkStart w:id="69" w:name="_Toc512612259"/>
      <w:bookmarkStart w:id="70" w:name="_Toc513658013"/>
      <w:bookmarkStart w:id="71" w:name="_Toc512519496"/>
      <w:bookmarkStart w:id="72" w:name="_Toc481075064"/>
      <w:bookmarkStart w:id="73" w:name="_Toc438646466"/>
      <w:bookmarkStart w:id="74" w:name="_Toc490050017"/>
      <w:proofErr w:type="spellStart"/>
      <w:r>
        <w:rPr>
          <w:rFonts w:hint="eastAsia"/>
        </w:rPr>
        <w:t>基金经理（或基金经理小组）简介</w:t>
      </w:r>
      <w:bookmarkEnd w:id="61"/>
      <w:bookmarkEnd w:id="62"/>
      <w:bookmarkEnd w:id="63"/>
      <w:bookmarkEnd w:id="64"/>
      <w:bookmarkEnd w:id="65"/>
      <w:bookmarkEnd w:id="66"/>
      <w:proofErr w:type="spellEnd"/>
      <w:r>
        <w:rPr>
          <w:rFonts w:hint="eastAsia"/>
          <w:szCs w:val="21"/>
        </w:rPr>
        <w:t xml:space="preserve"> </w:t>
      </w:r>
      <w:bookmarkEnd w:id="67"/>
      <w:bookmarkEnd w:id="68"/>
      <w:bookmarkEnd w:id="69"/>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E05884">
        <w:trPr>
          <w:divId w:val="919049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bookmarkStart w:id="75" w:name="m04_02"/>
            <w:bookmarkEnd w:id="75"/>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r>
              <w:rPr>
                <w:rFonts w:ascii="宋体" w:hAnsi="宋体" w:hint="eastAsia"/>
                <w:szCs w:val="24"/>
              </w:rPr>
              <w:t>证券从业</w:t>
            </w:r>
            <w:r>
              <w:rPr>
                <w:rFonts w:ascii="宋体" w:hAnsi="宋体" w:hint="eastAsia"/>
                <w:szCs w:val="24"/>
              </w:rPr>
              <w:lastRenderedPageBreak/>
              <w:t>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ind w:firstLineChars="100" w:firstLine="210"/>
              <w:jc w:val="center"/>
            </w:pPr>
            <w:r>
              <w:rPr>
                <w:rFonts w:ascii="宋体" w:hAnsi="宋体" w:hint="eastAsia"/>
                <w:szCs w:val="24"/>
              </w:rPr>
              <w:lastRenderedPageBreak/>
              <w:t>说明</w:t>
            </w:r>
            <w:r>
              <w:rPr>
                <w:rFonts w:ascii="宋体" w:hAnsi="宋体" w:hint="eastAsia"/>
                <w:szCs w:val="24"/>
                <w:lang w:eastAsia="zh-Hans"/>
              </w:rPr>
              <w:t xml:space="preserve"> </w:t>
            </w:r>
          </w:p>
        </w:tc>
      </w:tr>
      <w:tr w:rsidR="00E05884">
        <w:trPr>
          <w:divId w:val="919049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r>
      <w:tr w:rsidR="00E05884">
        <w:trPr>
          <w:divId w:val="919049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szCs w:val="24"/>
                <w:lang w:eastAsia="zh-Hans"/>
              </w:rPr>
              <w:t>张军</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szCs w:val="24"/>
                <w:lang w:eastAsia="zh-Hans"/>
              </w:rPr>
              <w:t>2023年4月6日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szCs w:val="24"/>
                <w:lang w:eastAsia="zh-Hans"/>
              </w:rPr>
              <w:t>21年（金融领域从业经验32年）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szCs w:val="24"/>
                <w:lang w:eastAsia="zh-Hans"/>
              </w:rPr>
              <w:t>张军先生曾任上海国际信托有限公司国际业务部经理、交易部经理。2004年6月起加入摩根基金管理(中国)有限公司(原上投摩根基金管理有限公司)，先后担任交易部总监、基金经理、投资绩效评估总监、国际投资部总监、组合基金投资部总监，现任高级基金经理。</w:t>
            </w:r>
          </w:p>
        </w:tc>
      </w:tr>
    </w:tbl>
    <w:p w:rsidR="00E05884" w:rsidRDefault="000B7AD6">
      <w:pPr>
        <w:wordWrap w:val="0"/>
        <w:spacing w:line="360" w:lineRule="auto"/>
        <w:jc w:val="left"/>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rsidR="00E05884" w:rsidRDefault="000B7AD6">
      <w:pPr>
        <w:pStyle w:val="XBRLTitle3"/>
        <w:spacing w:before="156"/>
        <w:ind w:left="0"/>
        <w:divId w:val="118106835"/>
      </w:pPr>
      <w:bookmarkStart w:id="76" w:name="_Toc512519488"/>
      <w:bookmarkStart w:id="77" w:name="_Toc490050009"/>
      <w:bookmarkStart w:id="78" w:name="_Toc438646459"/>
      <w:bookmarkStart w:id="79" w:name="_Toc481075055"/>
      <w:bookmarkStart w:id="80" w:name="_Toc5134656621"/>
      <w:proofErr w:type="spellStart"/>
      <w:r>
        <w:rPr>
          <w:rFonts w:hint="eastAsia"/>
        </w:rPr>
        <w:t>期末兼任私募资产管理计划投资经理的基金经理同时管理的产品情况</w:t>
      </w:r>
      <w:bookmarkEnd w:id="76"/>
      <w:bookmarkEnd w:id="77"/>
      <w:bookmarkEnd w:id="78"/>
      <w:bookmarkEnd w:id="79"/>
      <w:bookmarkEnd w:id="80"/>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287"/>
        <w:gridCol w:w="1323"/>
        <w:gridCol w:w="1911"/>
        <w:gridCol w:w="2351"/>
        <w:gridCol w:w="1963"/>
      </w:tblGrid>
      <w:tr w:rsidR="00E05884">
        <w:trPr>
          <w:divId w:val="450242517"/>
          <w:trHeight w:val="699"/>
        </w:trPr>
        <w:tc>
          <w:tcPr>
            <w:tcW w:w="1242"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05884" w:rsidRDefault="000B7AD6">
            <w:pPr>
              <w:snapToGrid w:val="0"/>
              <w:jc w:val="center"/>
            </w:pPr>
            <w:bookmarkStart w:id="81" w:name="m04_01_02_tab"/>
            <w:r>
              <w:rPr>
                <w:rFonts w:ascii="宋体" w:hAnsi="宋体" w:hint="eastAsia"/>
                <w:szCs w:val="24"/>
              </w:rPr>
              <w:t>姓名</w:t>
            </w:r>
            <w:r>
              <w:rPr>
                <w:rFonts w:ascii="宋体" w:hAnsi="宋体" w:hint="eastAsia"/>
                <w:szCs w:val="24"/>
                <w:lang w:eastAsia="zh-Hans"/>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05884" w:rsidRDefault="000B7AD6">
            <w:pPr>
              <w:snapToGrid w:val="0"/>
              <w:jc w:val="center"/>
            </w:pPr>
            <w:r>
              <w:rPr>
                <w:rFonts w:ascii="宋体" w:hAnsi="宋体" w:hint="eastAsia"/>
                <w:szCs w:val="24"/>
              </w:rPr>
              <w:t xml:space="preserve">产品类型 </w:t>
            </w:r>
          </w:p>
        </w:tc>
        <w:tc>
          <w:tcPr>
            <w:tcW w:w="184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05884" w:rsidRDefault="000B7AD6">
            <w:pPr>
              <w:snapToGrid w:val="0"/>
              <w:jc w:val="center"/>
            </w:pPr>
            <w:r>
              <w:rPr>
                <w:rFonts w:ascii="宋体" w:hAnsi="宋体" w:hint="eastAsia"/>
                <w:szCs w:val="24"/>
              </w:rPr>
              <w:t>产品数量（只）</w:t>
            </w:r>
            <w:r>
              <w:rPr>
                <w:rFonts w:ascii="宋体" w:hAnsi="宋体" w:hint="eastAsia"/>
                <w:szCs w:val="24"/>
                <w:lang w:eastAsia="zh-Hans"/>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05884" w:rsidRDefault="000B7AD6">
            <w:pPr>
              <w:snapToGrid w:val="0"/>
              <w:jc w:val="center"/>
            </w:pPr>
            <w:r>
              <w:rPr>
                <w:rFonts w:ascii="宋体" w:hAnsi="宋体" w:hint="eastAsia"/>
                <w:szCs w:val="24"/>
              </w:rPr>
              <w:t>资产净值（元）</w:t>
            </w:r>
            <w:r>
              <w:rPr>
                <w:rFonts w:ascii="宋体" w:hAnsi="宋体" w:hint="eastAsia"/>
                <w:szCs w:val="24"/>
                <w:lang w:eastAsia="zh-Hans"/>
              </w:rPr>
              <w:t xml:space="preserve"> </w:t>
            </w:r>
          </w:p>
        </w:tc>
        <w:tc>
          <w:tcPr>
            <w:tcW w:w="18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rsidR="00E05884" w:rsidRDefault="000B7AD6">
            <w:pPr>
              <w:snapToGrid w:val="0"/>
              <w:ind w:firstLineChars="100" w:firstLine="210"/>
              <w:jc w:val="center"/>
            </w:pPr>
            <w:r>
              <w:rPr>
                <w:rFonts w:ascii="宋体" w:hAnsi="宋体" w:hint="eastAsia"/>
                <w:szCs w:val="24"/>
              </w:rPr>
              <w:t>任职时间</w:t>
            </w:r>
            <w:r>
              <w:rPr>
                <w:rFonts w:ascii="宋体" w:hAnsi="宋体" w:hint="eastAsia"/>
                <w:szCs w:val="24"/>
                <w:lang w:eastAsia="zh-Hans"/>
              </w:rPr>
              <w:t xml:space="preserve"> </w:t>
            </w:r>
          </w:p>
        </w:tc>
      </w:tr>
      <w:tr w:rsidR="00E05884">
        <w:trPr>
          <w:divId w:val="450242517"/>
          <w:trHeight w:val="386"/>
        </w:trPr>
        <w:tc>
          <w:tcPr>
            <w:tcW w:w="1242"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center"/>
            </w:pPr>
            <w:r>
              <w:rPr>
                <w:rFonts w:ascii="宋体" w:hAnsi="宋体" w:hint="eastAsia"/>
                <w:szCs w:val="24"/>
              </w:rPr>
              <w:t>张军</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r>
              <w:rPr>
                <w:rFonts w:ascii="宋体" w:hAnsi="宋体" w:hint="eastAsia"/>
                <w:szCs w:val="24"/>
              </w:rPr>
              <w:t>公</w:t>
            </w:r>
            <w:proofErr w:type="gramStart"/>
            <w:r>
              <w:rPr>
                <w:rFonts w:ascii="宋体" w:hAnsi="宋体" w:hint="eastAsia"/>
                <w:szCs w:val="24"/>
              </w:rPr>
              <w:t>募基金</w:t>
            </w:r>
            <w:proofErr w:type="gramEnd"/>
            <w:r>
              <w:rPr>
                <w:rFonts w:ascii="宋体" w:hAnsi="宋体" w:hint="eastAsia"/>
                <w:szCs w:val="24"/>
              </w:rPr>
              <w:t xml:space="preserve">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9</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9,853,561,617.98</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center"/>
            </w:pPr>
            <w:r>
              <w:rPr>
                <w:rFonts w:ascii="宋体" w:hAnsi="宋体" w:hint="eastAsia"/>
                <w:szCs w:val="24"/>
              </w:rPr>
              <w:t>2008-03-08</w:t>
            </w:r>
          </w:p>
        </w:tc>
      </w:tr>
      <w:tr w:rsidR="00E05884">
        <w:trPr>
          <w:divId w:val="45024251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r>
              <w:rPr>
                <w:rFonts w:ascii="宋体" w:hAnsi="宋体" w:hint="eastAsia"/>
                <w:szCs w:val="24"/>
              </w:rPr>
              <w:t xml:space="preserve">私募资产管理计划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1</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28,844,071.62</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center"/>
            </w:pPr>
            <w:r>
              <w:rPr>
                <w:rFonts w:ascii="宋体" w:hAnsi="宋体" w:hint="eastAsia"/>
                <w:szCs w:val="24"/>
              </w:rPr>
              <w:t>2021-07-09</w:t>
            </w:r>
          </w:p>
        </w:tc>
      </w:tr>
      <w:tr w:rsidR="00E05884">
        <w:trPr>
          <w:divId w:val="45024251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r>
              <w:rPr>
                <w:rFonts w:ascii="宋体" w:hAnsi="宋体" w:hint="eastAsia"/>
                <w:szCs w:val="24"/>
              </w:rPr>
              <w:t xml:space="preserve">其他组合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center"/>
            </w:pPr>
            <w:r>
              <w:rPr>
                <w:rFonts w:ascii="宋体" w:hAnsi="宋体" w:hint="eastAsia"/>
                <w:szCs w:val="24"/>
              </w:rPr>
              <w:t>-</w:t>
            </w:r>
          </w:p>
        </w:tc>
      </w:tr>
      <w:tr w:rsidR="00E05884">
        <w:trPr>
          <w:divId w:val="450242517"/>
          <w:trHeight w:val="386"/>
        </w:trPr>
        <w:tc>
          <w:tcPr>
            <w:tcW w:w="1242" w:type="dxa"/>
            <w:vMerge/>
            <w:tcBorders>
              <w:top w:val="single" w:sz="4" w:space="0" w:color="auto"/>
              <w:left w:val="single" w:sz="4" w:space="0" w:color="auto"/>
              <w:bottom w:val="single" w:sz="4" w:space="0" w:color="auto"/>
              <w:right w:val="single" w:sz="4" w:space="0" w:color="auto"/>
            </w:tcBorders>
            <w:vAlign w:val="center"/>
            <w:hideMark/>
          </w:tcPr>
          <w:p w:rsidR="00E05884" w:rsidRDefault="00E05884">
            <w:pPr>
              <w:widowControl/>
              <w:jc w:val="left"/>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r>
              <w:rPr>
                <w:rFonts w:ascii="宋体" w:hAnsi="宋体" w:hint="eastAsia"/>
                <w:szCs w:val="24"/>
              </w:rPr>
              <w:t xml:space="preserve">合计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10</w:t>
            </w:r>
          </w:p>
        </w:tc>
        <w:tc>
          <w:tcPr>
            <w:tcW w:w="22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right"/>
            </w:pPr>
            <w:r>
              <w:rPr>
                <w:rFonts w:ascii="宋体" w:hAnsi="宋体" w:hint="eastAsia"/>
                <w:szCs w:val="24"/>
              </w:rPr>
              <w:t>9,882,405,689.60</w:t>
            </w:r>
          </w:p>
        </w:tc>
        <w:tc>
          <w:tcPr>
            <w:tcW w:w="1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05884" w:rsidRDefault="000B7AD6">
            <w:pPr>
              <w:jc w:val="center"/>
            </w:pPr>
            <w:r>
              <w:rPr>
                <w:rFonts w:ascii="宋体" w:hAnsi="宋体" w:hint="eastAsia"/>
                <w:szCs w:val="24"/>
              </w:rPr>
              <w:t xml:space="preserve">- </w:t>
            </w:r>
          </w:p>
        </w:tc>
      </w:tr>
    </w:tbl>
    <w:p w:rsidR="00E05884" w:rsidRDefault="000B7AD6">
      <w:pPr>
        <w:pStyle w:val="XBRLTitle2"/>
        <w:spacing w:before="156" w:line="360" w:lineRule="auto"/>
        <w:ind w:left="454"/>
      </w:pPr>
      <w:bookmarkStart w:id="82" w:name="m402"/>
      <w:bookmarkStart w:id="83" w:name="_Toc459213772"/>
      <w:bookmarkStart w:id="84" w:name="_Toc456107126"/>
      <w:bookmarkStart w:id="85" w:name="_Toc438654080"/>
      <w:bookmarkStart w:id="86" w:name="_Toc448480292"/>
      <w:bookmarkStart w:id="87" w:name="_Toc480465423"/>
      <w:bookmarkStart w:id="88" w:name="_Toc512611289"/>
      <w:bookmarkStart w:id="89" w:name="_Toc512612085"/>
      <w:bookmarkStart w:id="90" w:name="_Toc512612261"/>
      <w:bookmarkStart w:id="91" w:name="_Toc513658015"/>
      <w:bookmarkStart w:id="92" w:name="_Toc514178677"/>
      <w:bookmarkStart w:id="93" w:name="m403"/>
      <w:bookmarkEnd w:id="81"/>
      <w:bookmarkEnd w:id="82"/>
      <w:proofErr w:type="spellStart"/>
      <w:r>
        <w:rPr>
          <w:rFonts w:hint="eastAsia"/>
        </w:rPr>
        <w:t>报告期内本基金运作遵规守信情况说明</w:t>
      </w:r>
      <w:bookmarkEnd w:id="83"/>
      <w:bookmarkEnd w:id="84"/>
      <w:bookmarkEnd w:id="85"/>
      <w:bookmarkEnd w:id="86"/>
      <w:bookmarkEnd w:id="87"/>
      <w:bookmarkEnd w:id="88"/>
      <w:bookmarkEnd w:id="89"/>
      <w:bookmarkEnd w:id="90"/>
      <w:bookmarkEnd w:id="91"/>
      <w:bookmarkEnd w:id="92"/>
      <w:proofErr w:type="spellEnd"/>
      <w:r>
        <w:rPr>
          <w:rFonts w:hint="eastAsia"/>
        </w:rPr>
        <w:t xml:space="preserve"> </w:t>
      </w:r>
    </w:p>
    <w:p w:rsidR="00E05884" w:rsidRDefault="000B7AD6">
      <w:pPr>
        <w:spacing w:line="360" w:lineRule="auto"/>
        <w:ind w:firstLineChars="200" w:firstLine="420"/>
        <w:jc w:val="left"/>
      </w:pPr>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rsidR="00E05884" w:rsidRDefault="000B7AD6">
      <w:pPr>
        <w:pStyle w:val="XBRLTitle2"/>
        <w:spacing w:before="156" w:line="360" w:lineRule="auto"/>
        <w:ind w:left="454"/>
      </w:pPr>
      <w:bookmarkStart w:id="94" w:name="_Toc459213773"/>
      <w:bookmarkStart w:id="95" w:name="_Toc456107127"/>
      <w:bookmarkStart w:id="96" w:name="_Toc438654081"/>
      <w:bookmarkStart w:id="97" w:name="_Toc448480293"/>
      <w:bookmarkStart w:id="98" w:name="_Toc480465424"/>
      <w:bookmarkStart w:id="99" w:name="_Toc512611290"/>
      <w:bookmarkStart w:id="100" w:name="_Toc512612086"/>
      <w:bookmarkStart w:id="101" w:name="_Toc512612262"/>
      <w:bookmarkStart w:id="102" w:name="_Toc513658016"/>
      <w:bookmarkStart w:id="103" w:name="_Toc514178678"/>
      <w:bookmarkEnd w:id="93"/>
      <w:proofErr w:type="spellStart"/>
      <w:r>
        <w:rPr>
          <w:rFonts w:hint="eastAsia"/>
        </w:rPr>
        <w:t>公平交易专项说明</w:t>
      </w:r>
      <w:bookmarkEnd w:id="94"/>
      <w:bookmarkEnd w:id="95"/>
      <w:bookmarkEnd w:id="96"/>
      <w:bookmarkEnd w:id="97"/>
      <w:bookmarkEnd w:id="98"/>
      <w:bookmarkEnd w:id="99"/>
      <w:bookmarkEnd w:id="100"/>
      <w:bookmarkEnd w:id="101"/>
      <w:bookmarkEnd w:id="102"/>
      <w:bookmarkEnd w:id="103"/>
      <w:proofErr w:type="spellEnd"/>
      <w:r>
        <w:rPr>
          <w:rFonts w:hint="eastAsia"/>
        </w:rPr>
        <w:t xml:space="preserve"> </w:t>
      </w:r>
    </w:p>
    <w:p w:rsidR="00E05884" w:rsidRDefault="000B7AD6">
      <w:pPr>
        <w:pStyle w:val="XBRLTitle3"/>
        <w:spacing w:before="156"/>
        <w:ind w:left="0"/>
      </w:pPr>
      <w:bookmarkStart w:id="104" w:name="_Toc513658017"/>
      <w:bookmarkStart w:id="105" w:name="_Toc514178679"/>
      <w:bookmarkStart w:id="106" w:name="_Toc480465425"/>
      <w:bookmarkStart w:id="107" w:name="m404_01_0570"/>
      <w:proofErr w:type="spellStart"/>
      <w:r>
        <w:rPr>
          <w:rFonts w:hint="eastAsia"/>
        </w:rPr>
        <w:t>公平交易制度的执行情况</w:t>
      </w:r>
      <w:bookmarkEnd w:id="104"/>
      <w:bookmarkEnd w:id="105"/>
      <w:proofErr w:type="spellEnd"/>
    </w:p>
    <w:p w:rsidR="00E05884" w:rsidRDefault="000B7AD6">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w:t>
      </w:r>
      <w:r>
        <w:rPr>
          <w:rFonts w:ascii="宋体" w:hAnsi="宋体" w:cs="宋体" w:hint="eastAsia"/>
          <w:color w:val="000000"/>
          <w:kern w:val="0"/>
        </w:rPr>
        <w:lastRenderedPageBreak/>
        <w:t xml:space="preserve">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rsidR="00E05884" w:rsidRDefault="000B7AD6">
      <w:pPr>
        <w:pStyle w:val="XBRLTitle3"/>
        <w:spacing w:before="156"/>
        <w:ind w:left="0"/>
      </w:pPr>
      <w:bookmarkStart w:id="108" w:name="_Toc513658018"/>
      <w:bookmarkStart w:id="109" w:name="_Toc514178680"/>
      <w:bookmarkStart w:id="110" w:name="_Toc480465426"/>
      <w:bookmarkStart w:id="111" w:name="m404_01_0578"/>
      <w:proofErr w:type="spellStart"/>
      <w:r>
        <w:rPr>
          <w:rFonts w:hint="eastAsia"/>
        </w:rPr>
        <w:t>异常交易行为的专项说明</w:t>
      </w:r>
      <w:bookmarkEnd w:id="108"/>
      <w:bookmarkEnd w:id="109"/>
      <w:proofErr w:type="spellEnd"/>
    </w:p>
    <w:p w:rsidR="00E05884" w:rsidRDefault="000B7AD6">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rsidR="00E05884" w:rsidRDefault="000B7AD6">
      <w:pPr>
        <w:pStyle w:val="XBRLTitle2"/>
        <w:spacing w:before="156" w:line="360" w:lineRule="auto"/>
        <w:ind w:left="454"/>
      </w:pPr>
      <w:bookmarkStart w:id="112" w:name="_Toc459213774"/>
      <w:bookmarkStart w:id="113" w:name="_Toc456107128"/>
      <w:bookmarkStart w:id="114" w:name="_Toc438654082"/>
      <w:bookmarkStart w:id="115" w:name="_Toc448480294"/>
      <w:bookmarkStart w:id="116" w:name="_Toc480465427"/>
      <w:bookmarkStart w:id="117" w:name="_Toc512611291"/>
      <w:bookmarkStart w:id="118" w:name="_Toc512612087"/>
      <w:bookmarkStart w:id="119" w:name="_Toc512612263"/>
      <w:bookmarkStart w:id="120" w:name="_Toc513658019"/>
      <w:bookmarkStart w:id="121" w:name="_Toc514178681"/>
      <w:proofErr w:type="spellStart"/>
      <w:r>
        <w:rPr>
          <w:rFonts w:hint="eastAsia"/>
        </w:rPr>
        <w:t>报告期内基金的投资策略和业绩表现说明</w:t>
      </w:r>
      <w:bookmarkEnd w:id="112"/>
      <w:bookmarkEnd w:id="113"/>
      <w:bookmarkEnd w:id="114"/>
      <w:bookmarkEnd w:id="115"/>
      <w:bookmarkEnd w:id="116"/>
      <w:bookmarkEnd w:id="117"/>
      <w:bookmarkEnd w:id="118"/>
      <w:bookmarkEnd w:id="119"/>
      <w:bookmarkEnd w:id="120"/>
      <w:bookmarkEnd w:id="121"/>
      <w:proofErr w:type="spellEnd"/>
      <w:r>
        <w:rPr>
          <w:rFonts w:hint="eastAsia"/>
        </w:rPr>
        <w:t xml:space="preserve"> </w:t>
      </w:r>
    </w:p>
    <w:p w:rsidR="00E05884" w:rsidRDefault="000B7AD6">
      <w:pPr>
        <w:pStyle w:val="XBRLTitle3"/>
        <w:spacing w:before="156"/>
        <w:ind w:left="0"/>
      </w:pPr>
      <w:bookmarkStart w:id="122" w:name="_Toc51408825711"/>
      <w:bookmarkStart w:id="123" w:name="_Toc513542656"/>
      <w:proofErr w:type="spellStart"/>
      <w:r>
        <w:rPr>
          <w:rFonts w:hint="eastAsia"/>
        </w:rPr>
        <w:t>报告期内基金投资策略和运作分析</w:t>
      </w:r>
      <w:bookmarkEnd w:id="122"/>
      <w:bookmarkEnd w:id="106"/>
      <w:bookmarkEnd w:id="123"/>
      <w:proofErr w:type="spellEnd"/>
      <w:r>
        <w:rPr>
          <w:rFonts w:hint="eastAsia"/>
        </w:rPr>
        <w:t xml:space="preserve"> </w:t>
      </w:r>
    </w:p>
    <w:p w:rsidR="00E05884" w:rsidRDefault="000B7AD6">
      <w:pPr>
        <w:spacing w:line="360" w:lineRule="auto"/>
        <w:ind w:firstLineChars="200" w:firstLine="420"/>
        <w:divId w:val="134104492"/>
      </w:pPr>
      <w:r>
        <w:rPr>
          <w:rFonts w:ascii="宋体" w:hAnsi="宋体" w:hint="eastAsia"/>
          <w:color w:val="000000"/>
          <w:kern w:val="0"/>
          <w:szCs w:val="21"/>
          <w:lang w:eastAsia="zh-Hans"/>
        </w:rPr>
        <w:t>报告期内标普500指数在2月创新高后回落，一季度指数下跌4.59%，为2022年四季度以来的最大单季跌幅。</w:t>
      </w:r>
      <w:r>
        <w:rPr>
          <w:rFonts w:ascii="宋体" w:hAnsi="宋体" w:hint="eastAsia"/>
          <w:color w:val="000000"/>
          <w:kern w:val="0"/>
          <w:szCs w:val="21"/>
          <w:lang w:eastAsia="zh-Hans"/>
        </w:rPr>
        <w:br/>
        <w:t xml:space="preserve">　　科技龙头股的回调和特朗普关税政策叠加消弱了经济增长预期，推升了市场避险情绪，是指数回调的主要原因。</w:t>
      </w:r>
      <w:proofErr w:type="spellStart"/>
      <w:r>
        <w:rPr>
          <w:rFonts w:ascii="宋体" w:hAnsi="宋体" w:hint="eastAsia"/>
          <w:color w:val="000000"/>
          <w:kern w:val="0"/>
          <w:szCs w:val="21"/>
          <w:lang w:eastAsia="zh-Hans"/>
        </w:rPr>
        <w:t>DeepSeek</w:t>
      </w:r>
      <w:proofErr w:type="spellEnd"/>
      <w:r>
        <w:rPr>
          <w:rFonts w:ascii="宋体" w:hAnsi="宋体" w:hint="eastAsia"/>
          <w:color w:val="000000"/>
          <w:kern w:val="0"/>
          <w:szCs w:val="21"/>
          <w:lang w:eastAsia="zh-Hans"/>
        </w:rPr>
        <w:t>的出现引发投资人重新估算对AI未来的资本开支，难以匹配调整前的科技龙头股的过高估值。因此这轮科技股的下跌主要是估值下修，而非盈利不达预期。</w:t>
      </w:r>
      <w:r>
        <w:rPr>
          <w:rFonts w:ascii="宋体" w:hAnsi="宋体" w:hint="eastAsia"/>
          <w:color w:val="000000"/>
          <w:kern w:val="0"/>
          <w:szCs w:val="21"/>
          <w:lang w:eastAsia="zh-Hans"/>
        </w:rPr>
        <w:br/>
        <w:t xml:space="preserve">　　特朗普执政后密集推出一系列关税政策。关税影响表现在对供应链的冲击，将导致汽车、电子等行业成本上升，标普500成分股中跨国企业盈利预期下调。同时，关税也可能使2025年美国通胀率上行，GDP增速下降。</w:t>
      </w:r>
      <w:r>
        <w:rPr>
          <w:rFonts w:ascii="宋体" w:hAnsi="宋体" w:hint="eastAsia"/>
          <w:color w:val="000000"/>
          <w:kern w:val="0"/>
          <w:szCs w:val="21"/>
          <w:lang w:eastAsia="zh-Hans"/>
        </w:rPr>
        <w:br/>
        <w:t xml:space="preserve">　　3月美联储会议维持利率在4.25%-4.5%不变，但将2025年GDP增长预期从2.1%下调至1.7%，核心PCE通胀预期从2.5%上调至2.8%，暗示降息可能提前至下半年。</w:t>
      </w:r>
      <w:r>
        <w:rPr>
          <w:rFonts w:ascii="宋体" w:hAnsi="宋体" w:hint="eastAsia"/>
          <w:color w:val="000000"/>
          <w:kern w:val="0"/>
          <w:szCs w:val="21"/>
          <w:lang w:eastAsia="zh-Hans"/>
        </w:rPr>
        <w:br/>
        <w:t xml:space="preserve">　　展望后市，由于近期的波动源于对全球经济的宏观担忧和科技股估值下修风险，标普500指数在今年剩余时间的走势取决于这两个方面的最新消息。美国政府政策议程的不确定性导致企业和家庭都持“观望”态度，使消费者更加谨慎。鉴于家庭和企业的资产负债表看起来都相对健康，这种行为应该与美国经济活动放缓而非衰退相一致。但如果政策不确定性开始损害劳动力市场，衰退风险将上升。</w:t>
      </w:r>
      <w:r>
        <w:rPr>
          <w:rFonts w:ascii="宋体" w:hAnsi="宋体" w:hint="eastAsia"/>
          <w:color w:val="000000"/>
          <w:kern w:val="0"/>
          <w:szCs w:val="21"/>
          <w:lang w:eastAsia="zh-Hans"/>
        </w:rPr>
        <w:br/>
        <w:t xml:space="preserve">　　特朗普的贸易保护主义与美联储的抗通胀目标形成政策冲突，导致市场在“滞胀交易”与“衰退交易”间摇摆。对于美国联邦基金利率未来的水平，当前的利率市场定价到2025年底，美联储</w:t>
      </w:r>
      <w:r>
        <w:rPr>
          <w:rFonts w:ascii="宋体" w:hAnsi="宋体" w:hint="eastAsia"/>
          <w:color w:val="000000"/>
          <w:kern w:val="0"/>
          <w:szCs w:val="21"/>
          <w:lang w:eastAsia="zh-Hans"/>
        </w:rPr>
        <w:lastRenderedPageBreak/>
        <w:t>或有2-3次降息。指数的估值进一步扩张的可能性不大，但是正回报的公司范围或将扩大，因为在降息环境下，一些杠杆率较高的低估值公司会获益更多。</w:t>
      </w:r>
      <w:r>
        <w:rPr>
          <w:rFonts w:ascii="宋体" w:hAnsi="宋体" w:hint="eastAsia"/>
          <w:color w:val="000000"/>
          <w:kern w:val="0"/>
          <w:szCs w:val="21"/>
          <w:lang w:eastAsia="zh-Hans"/>
        </w:rPr>
        <w:br/>
        <w:t xml:space="preserve">　　本基金在报告期内持续采取被动复制的投资策略，紧密跟踪指数表现。报告期间，管理人严格依据指数成分股的变动信息进行股票组合的调整，基于申购赎回情况增减股票组合，保持股票资产权重处于90%以上的高仓位区间。</w:t>
      </w:r>
      <w:r>
        <w:rPr>
          <w:rFonts w:ascii="宋体" w:hAnsi="宋体" w:hint="eastAsia"/>
          <w:color w:val="000000"/>
          <w:kern w:val="0"/>
          <w:sz w:val="24"/>
        </w:rPr>
        <w:t xml:space="preserve"> </w:t>
      </w:r>
      <w:bookmarkEnd w:id="55"/>
    </w:p>
    <w:p w:rsidR="00E05884" w:rsidRDefault="000B7AD6">
      <w:pPr>
        <w:pStyle w:val="XBRLTitle3"/>
        <w:spacing w:before="156"/>
        <w:ind w:left="0"/>
      </w:pPr>
      <w:bookmarkStart w:id="124" w:name="_Toc51408825712"/>
      <w:bookmarkStart w:id="125" w:name="_Toc513542657"/>
      <w:bookmarkEnd w:id="107"/>
      <w:proofErr w:type="spellStart"/>
      <w:r>
        <w:rPr>
          <w:rFonts w:hint="eastAsia"/>
        </w:rPr>
        <w:t>报告期内基金的业绩表现</w:t>
      </w:r>
      <w:bookmarkEnd w:id="124"/>
      <w:bookmarkEnd w:id="110"/>
      <w:bookmarkEnd w:id="125"/>
      <w:proofErr w:type="spellEnd"/>
      <w:r>
        <w:rPr>
          <w:rFonts w:hint="eastAsia"/>
        </w:rPr>
        <w:t xml:space="preserve"> </w:t>
      </w:r>
    </w:p>
    <w:p w:rsidR="00E05884" w:rsidRDefault="000B7AD6">
      <w:pPr>
        <w:spacing w:line="360" w:lineRule="auto"/>
        <w:ind w:firstLineChars="200" w:firstLine="420"/>
        <w:jc w:val="left"/>
      </w:pPr>
      <w:r>
        <w:rPr>
          <w:rFonts w:ascii="宋体" w:hAnsi="宋体" w:cs="宋体" w:hint="eastAsia"/>
          <w:color w:val="000000"/>
          <w:kern w:val="0"/>
        </w:rPr>
        <w:t>本报告期</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500指数(QDII)人民币A份额净值增长率为：-4.38%，同期业绩比较基准收益率为:-4.48%;</w:t>
      </w:r>
      <w:r>
        <w:rPr>
          <w:rFonts w:ascii="宋体" w:hAnsi="宋体" w:cs="宋体" w:hint="eastAsia"/>
          <w:color w:val="000000"/>
          <w:kern w:val="0"/>
        </w:rPr>
        <w:br/>
        <w:t xml:space="preserve">　　</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500指数(QDII)人民币C份额净值增长率为：-4.46%，同期业绩比较基准收益率为:-4.48%。</w:t>
      </w:r>
      <w:bookmarkEnd w:id="111"/>
    </w:p>
    <w:p w:rsidR="00E05884" w:rsidRDefault="000B7AD6">
      <w:pPr>
        <w:pStyle w:val="XBRLTitle2"/>
        <w:spacing w:before="156" w:line="360" w:lineRule="auto"/>
        <w:ind w:left="454"/>
      </w:pPr>
      <w:bookmarkStart w:id="126" w:name="m405_01_2550"/>
      <w:bookmarkStart w:id="127" w:name="_Toc459213775"/>
      <w:bookmarkStart w:id="128" w:name="_Toc456107129"/>
      <w:bookmarkStart w:id="129" w:name="_Toc438654084"/>
      <w:bookmarkStart w:id="130" w:name="_Toc448480296"/>
      <w:bookmarkStart w:id="131" w:name="_Toc480465430"/>
      <w:bookmarkStart w:id="132" w:name="_Toc512611292"/>
      <w:bookmarkStart w:id="133" w:name="_Toc512612088"/>
      <w:bookmarkStart w:id="134" w:name="_Toc512612264"/>
      <w:bookmarkStart w:id="135" w:name="_Toc513658020"/>
      <w:bookmarkStart w:id="136" w:name="_Toc514178682"/>
      <w:bookmarkStart w:id="137" w:name="m407"/>
      <w:bookmarkEnd w:id="126"/>
      <w:proofErr w:type="spellStart"/>
      <w:r>
        <w:rPr>
          <w:rFonts w:hint="eastAsia"/>
        </w:rPr>
        <w:t>报告期内基金持有人数或基金资产净值预警说明</w:t>
      </w:r>
      <w:bookmarkEnd w:id="127"/>
      <w:bookmarkEnd w:id="128"/>
      <w:bookmarkEnd w:id="129"/>
      <w:bookmarkEnd w:id="130"/>
      <w:bookmarkEnd w:id="131"/>
      <w:bookmarkEnd w:id="132"/>
      <w:bookmarkEnd w:id="133"/>
      <w:bookmarkEnd w:id="134"/>
      <w:bookmarkEnd w:id="135"/>
      <w:bookmarkEnd w:id="136"/>
      <w:proofErr w:type="spellEnd"/>
      <w:r>
        <w:rPr>
          <w:rFonts w:hint="eastAsia"/>
        </w:rPr>
        <w:t xml:space="preserve"> </w:t>
      </w:r>
    </w:p>
    <w:p w:rsidR="00E05884" w:rsidRDefault="000B7AD6">
      <w:pPr>
        <w:spacing w:line="360" w:lineRule="auto"/>
        <w:ind w:firstLineChars="200" w:firstLine="420"/>
        <w:jc w:val="left"/>
      </w:pPr>
      <w:r>
        <w:rPr>
          <w:rFonts w:ascii="宋体" w:hAnsi="宋体" w:hint="eastAsia"/>
        </w:rPr>
        <w:t>无。</w:t>
      </w:r>
    </w:p>
    <w:p w:rsidR="00E05884" w:rsidRDefault="000B7AD6">
      <w:pPr>
        <w:pStyle w:val="XBRLTitle1"/>
        <w:spacing w:before="156" w:line="360" w:lineRule="auto"/>
        <w:ind w:left="425"/>
      </w:pPr>
      <w:bookmarkStart w:id="138" w:name="_Toc514178683"/>
      <w:bookmarkEnd w:id="137"/>
      <w:proofErr w:type="spellStart"/>
      <w:r>
        <w:rPr>
          <w:rFonts w:hint="eastAsia"/>
        </w:rPr>
        <w:t>投资组合报告</w:t>
      </w:r>
      <w:bookmarkEnd w:id="138"/>
      <w:bookmarkEnd w:id="71"/>
      <w:bookmarkEnd w:id="72"/>
      <w:bookmarkEnd w:id="73"/>
      <w:bookmarkEnd w:id="74"/>
      <w:proofErr w:type="spellEnd"/>
      <w:r>
        <w:rPr>
          <w:rFonts w:hint="eastAsia"/>
        </w:rPr>
        <w:t xml:space="preserve"> </w:t>
      </w:r>
    </w:p>
    <w:p w:rsidR="00E05884" w:rsidRDefault="000B7AD6">
      <w:pPr>
        <w:pStyle w:val="XBRLTitle2"/>
        <w:spacing w:before="156" w:line="360" w:lineRule="auto"/>
        <w:ind w:left="454"/>
      </w:pPr>
      <w:bookmarkStart w:id="139" w:name="_Toc459213777"/>
      <w:bookmarkStart w:id="140" w:name="_Toc456107131"/>
      <w:bookmarkStart w:id="141" w:name="_Toc438654086"/>
      <w:bookmarkStart w:id="142" w:name="_Toc448480298"/>
      <w:bookmarkStart w:id="143" w:name="_Toc480465432"/>
      <w:bookmarkStart w:id="144" w:name="_Toc514178684"/>
      <w:bookmarkStart w:id="145" w:name="_Toc512611294"/>
      <w:bookmarkStart w:id="146" w:name="_Toc512612090"/>
      <w:bookmarkStart w:id="147" w:name="_Toc512612266"/>
      <w:bookmarkStart w:id="148" w:name="_Toc513658022"/>
      <w:bookmarkStart w:id="149" w:name="m501"/>
      <w:bookmarkStart w:id="150" w:name="_Toc490050042"/>
      <w:bookmarkStart w:id="151" w:name="_Toc438646477"/>
      <w:bookmarkStart w:id="152" w:name="_Toc481075089"/>
      <w:bookmarkStart w:id="153" w:name="_Toc512519521"/>
      <w:bookmarkStart w:id="154" w:name="m601"/>
      <w:proofErr w:type="spellStart"/>
      <w:r>
        <w:rPr>
          <w:rFonts w:hint="eastAsia"/>
        </w:rPr>
        <w:t>报告期末基金资产组合情况</w:t>
      </w:r>
      <w:bookmarkEnd w:id="139"/>
      <w:bookmarkEnd w:id="140"/>
      <w:bookmarkEnd w:id="141"/>
      <w:bookmarkEnd w:id="142"/>
      <w:bookmarkEnd w:id="143"/>
      <w:bookmarkEnd w:id="144"/>
      <w:proofErr w:type="spellEnd"/>
      <w:r>
        <w:rPr>
          <w:rFonts w:hint="eastAsia"/>
        </w:rPr>
        <w:t xml:space="preserve"> </w:t>
      </w:r>
      <w:bookmarkEnd w:id="145"/>
      <w:bookmarkEnd w:id="146"/>
      <w:bookmarkEnd w:id="147"/>
      <w:bookmarkEnd w:id="148"/>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602"/>
        <w:gridCol w:w="3503"/>
        <w:gridCol w:w="2375"/>
        <w:gridCol w:w="2355"/>
      </w:tblGrid>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5884" w:rsidRDefault="000B7AD6">
            <w:pPr>
              <w:jc w:val="center"/>
            </w:pPr>
            <w:bookmarkStart w:id="155" w:name="m08QD_01_tab"/>
            <w:bookmarkStart w:id="156" w:name="OLE_LINK46"/>
            <w:bookmarkStart w:id="157" w:name="OLE_LINK45"/>
            <w:bookmarkStart w:id="158" w:name="OLE_LINK42"/>
            <w:bookmarkStart w:id="159" w:name="OLE_LINK41"/>
            <w:bookmarkEnd w:id="155"/>
            <w:r>
              <w:rPr>
                <w:rFonts w:ascii="宋体" w:hAnsi="宋体" w:hint="eastAsia"/>
                <w:color w:val="000000"/>
              </w:rPr>
              <w:t>序号</w:t>
            </w: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shd w:val="clear" w:color="auto" w:fill="D9D9D9"/>
            <w:vAlign w:val="center"/>
            <w:hideMark/>
          </w:tcPr>
          <w:p w:rsidR="00E05884" w:rsidRDefault="000B7AD6">
            <w:pPr>
              <w:jc w:val="center"/>
            </w:pPr>
            <w:r>
              <w:rPr>
                <w:rFonts w:ascii="宋体" w:hAnsi="宋体" w:hint="eastAsia"/>
                <w:color w:val="000000"/>
              </w:rPr>
              <w:t>项目</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shd w:val="clear" w:color="auto" w:fill="D9D9D9"/>
            <w:vAlign w:val="center"/>
            <w:hideMark/>
          </w:tcPr>
          <w:p w:rsidR="00E05884" w:rsidRDefault="000B7AD6">
            <w:pPr>
              <w:jc w:val="center"/>
            </w:pPr>
            <w:r>
              <w:rPr>
                <w:rFonts w:ascii="宋体" w:hAnsi="宋体" w:hint="eastAsia"/>
                <w:color w:val="000000"/>
              </w:rPr>
              <w:t>金额（人民币元）</w:t>
            </w:r>
            <w:r>
              <w:rPr>
                <w:rFonts w:ascii="宋体" w:hAnsi="宋体" w:hint="eastAsia"/>
                <w:color w:val="000000"/>
                <w:lang w:eastAsia="zh-Hans"/>
              </w:rPr>
              <w:t xml:space="preserve"> </w:t>
            </w:r>
          </w:p>
        </w:tc>
        <w:tc>
          <w:tcPr>
            <w:tcW w:w="2373" w:type="dxa"/>
            <w:tcBorders>
              <w:top w:val="single" w:sz="4" w:space="0" w:color="auto"/>
              <w:left w:val="nil"/>
              <w:bottom w:val="single" w:sz="4" w:space="0" w:color="auto"/>
              <w:right w:val="single" w:sz="4" w:space="0" w:color="auto"/>
            </w:tcBorders>
            <w:shd w:val="clear" w:color="auto" w:fill="D9D9D9"/>
            <w:vAlign w:val="center"/>
            <w:hideMark/>
          </w:tcPr>
          <w:p w:rsidR="00E05884" w:rsidRDefault="000B7AD6">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1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1,698,871,306.69</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92.94</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其中：普通股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1,698,871,306.69</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92.94</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color w:val="000000"/>
              </w:rPr>
              <w:t>优先股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color w:val="000000"/>
              </w:rPr>
              <w:t>存托凭证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rPr>
              <w:t>房地产信托凭证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2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3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资产支持证券</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4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其中：远期</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color w:val="000000"/>
              </w:rPr>
              <w:t>期货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color w:val="000000"/>
              </w:rPr>
              <w:t>期权</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firstLineChars="350" w:firstLine="735"/>
            </w:pPr>
            <w:r>
              <w:rPr>
                <w:rFonts w:ascii="宋体" w:hAnsi="宋体" w:hint="eastAsia"/>
                <w:color w:val="000000"/>
              </w:rPr>
              <w:t>权证</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5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rPr>
                <w:rFonts w:ascii="宋体" w:hAnsi="宋体"/>
                <w:color w:val="000000"/>
                <w:lang w:eastAsia="zh-Hans"/>
              </w:rPr>
            </w:pPr>
            <w:r>
              <w:rPr>
                <w:rFonts w:ascii="宋体" w:hAnsi="宋体" w:hint="eastAsia"/>
                <w:color w:val="000000"/>
                <w:lang w:eastAsia="zh-Hans"/>
              </w:rPr>
              <w:t xml:space="preserve">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6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货币市场工具</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7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116,082,226.27</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6.35</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lastRenderedPageBreak/>
              <w:t xml:space="preserve">8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13,021,214.30</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0.71</w:t>
            </w:r>
          </w:p>
        </w:tc>
      </w:tr>
      <w:tr w:rsidR="00E05884">
        <w:trPr>
          <w:divId w:val="120272401"/>
          <w:trHeight w:val="20"/>
        </w:trPr>
        <w:tc>
          <w:tcPr>
            <w:tcW w:w="606" w:type="dxa"/>
            <w:tcBorders>
              <w:top w:val="single" w:sz="4" w:space="0" w:color="auto"/>
              <w:left w:val="single" w:sz="4" w:space="0" w:color="auto"/>
              <w:bottom w:val="single" w:sz="4" w:space="0" w:color="auto"/>
              <w:right w:val="single" w:sz="4" w:space="0" w:color="auto"/>
            </w:tcBorders>
            <w:vAlign w:val="center"/>
            <w:hideMark/>
          </w:tcPr>
          <w:p w:rsidR="00E05884" w:rsidRDefault="000B7AD6">
            <w:pPr>
              <w:jc w:val="center"/>
            </w:pPr>
            <w:r>
              <w:rPr>
                <w:rFonts w:ascii="宋体" w:hAnsi="宋体" w:hint="eastAsia"/>
                <w:color w:val="000000"/>
                <w:lang w:eastAsia="zh-Hans"/>
              </w:rPr>
              <w:t xml:space="preserve">9 </w:t>
            </w:r>
          </w:p>
        </w:tc>
        <w:tc>
          <w:tcPr>
            <w:tcW w:w="3529" w:type="dxa"/>
            <w:tcBorders>
              <w:top w:val="single" w:sz="4" w:space="0" w:color="auto"/>
              <w:left w:val="nil"/>
              <w:bottom w:val="single" w:sz="4" w:space="0" w:color="auto"/>
              <w:right w:val="single" w:sz="4" w:space="0" w:color="auto"/>
            </w:tcBorders>
            <w:vAlign w:val="center"/>
            <w:hideMark/>
          </w:tcPr>
          <w:p w:rsidR="00E05884" w:rsidRDefault="000B7AD6">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2382"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1,827,974,747.26</w:t>
            </w:r>
          </w:p>
        </w:tc>
        <w:tc>
          <w:tcPr>
            <w:tcW w:w="2373" w:type="dxa"/>
            <w:tcBorders>
              <w:top w:val="single" w:sz="4" w:space="0" w:color="auto"/>
              <w:left w:val="nil"/>
              <w:bottom w:val="single" w:sz="4" w:space="0" w:color="auto"/>
              <w:right w:val="single" w:sz="4" w:space="0" w:color="auto"/>
            </w:tcBorders>
            <w:vAlign w:val="center"/>
            <w:hideMark/>
          </w:tcPr>
          <w:p w:rsidR="00E05884" w:rsidRDefault="000B7AD6">
            <w:pPr>
              <w:jc w:val="right"/>
            </w:pPr>
            <w:r>
              <w:rPr>
                <w:rFonts w:ascii="宋体" w:hAnsi="宋体" w:hint="eastAsia"/>
                <w:szCs w:val="24"/>
                <w:lang w:eastAsia="zh-Hans"/>
              </w:rPr>
              <w:t>100.00</w:t>
            </w:r>
          </w:p>
        </w:tc>
      </w:tr>
    </w:tbl>
    <w:p w:rsidR="00E05884" w:rsidRDefault="000B7AD6">
      <w:pPr>
        <w:pStyle w:val="XBRLTitle2"/>
        <w:spacing w:before="156" w:line="360" w:lineRule="auto"/>
        <w:ind w:left="454"/>
      </w:pPr>
      <w:bookmarkStart w:id="160" w:name="_Toc459213778"/>
      <w:bookmarkStart w:id="161" w:name="_Toc456107132"/>
      <w:bookmarkStart w:id="162" w:name="_Toc438654087"/>
      <w:bookmarkStart w:id="163" w:name="_Toc448480299"/>
      <w:bookmarkStart w:id="164" w:name="_Toc480465433"/>
      <w:bookmarkStart w:id="165" w:name="_Toc512611295"/>
      <w:bookmarkStart w:id="166" w:name="_Toc512612091"/>
      <w:bookmarkStart w:id="167" w:name="_Toc512612267"/>
      <w:bookmarkStart w:id="168" w:name="_Toc513658023"/>
      <w:bookmarkStart w:id="169" w:name="_Toc514178685"/>
      <w:bookmarkEnd w:id="149"/>
      <w:proofErr w:type="spellStart"/>
      <w:r>
        <w:rPr>
          <w:rFonts w:hint="eastAsia"/>
        </w:rPr>
        <w:t>报告期末在各个国家（地区）证券市场的股票及存托凭证投资分布</w:t>
      </w:r>
      <w:bookmarkEnd w:id="160"/>
      <w:bookmarkEnd w:id="161"/>
      <w:bookmarkEnd w:id="162"/>
      <w:bookmarkEnd w:id="163"/>
      <w:bookmarkEnd w:id="164"/>
      <w:bookmarkEnd w:id="165"/>
      <w:bookmarkEnd w:id="166"/>
      <w:bookmarkEnd w:id="167"/>
      <w:bookmarkEnd w:id="168"/>
      <w:bookmarkEnd w:id="169"/>
      <w:proofErr w:type="spellEnd"/>
      <w:r>
        <w:rPr>
          <w:rFonts w:hint="eastAsia"/>
        </w:rPr>
        <w:t xml:space="preserve"> </w:t>
      </w:r>
    </w:p>
    <w:tbl>
      <w:tblPr>
        <w:tblW w:w="5000" w:type="pct"/>
        <w:tblLook w:val="04A0" w:firstRow="1" w:lastRow="0" w:firstColumn="1" w:lastColumn="0" w:noHBand="0" w:noVBand="1"/>
      </w:tblPr>
      <w:tblGrid>
        <w:gridCol w:w="2032"/>
        <w:gridCol w:w="3621"/>
        <w:gridCol w:w="3182"/>
      </w:tblGrid>
      <w:tr w:rsidR="00E05884">
        <w:trPr>
          <w:divId w:val="2087216011"/>
        </w:trPr>
        <w:tc>
          <w:tcPr>
            <w:tcW w:w="1150"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05884" w:rsidRDefault="000B7AD6">
            <w:pPr>
              <w:jc w:val="center"/>
            </w:pPr>
            <w:bookmarkStart w:id="170" w:name="m08QD_02"/>
            <w:bookmarkStart w:id="171" w:name="m502_tab"/>
            <w:r>
              <w:rPr>
                <w:rFonts w:ascii="宋体" w:hAnsi="宋体" w:hint="eastAsia"/>
                <w:szCs w:val="21"/>
              </w:rPr>
              <w:t>国家（地区）</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E05884" w:rsidRDefault="000B7AD6">
            <w:pPr>
              <w:jc w:val="center"/>
            </w:pPr>
            <w:r>
              <w:rPr>
                <w:rFonts w:ascii="宋体" w:hAnsi="宋体" w:hint="eastAsia"/>
                <w:szCs w:val="21"/>
              </w:rPr>
              <w:t>公允价值（人民币元）</w:t>
            </w:r>
            <w:r>
              <w:rPr>
                <w:rFonts w:ascii="宋体" w:hAnsi="宋体" w:hint="eastAsia"/>
                <w:szCs w:val="21"/>
                <w:lang w:eastAsia="zh-Hans"/>
              </w:rPr>
              <w:t xml:space="preserve"> </w:t>
            </w:r>
          </w:p>
        </w:tc>
        <w:tc>
          <w:tcPr>
            <w:tcW w:w="1801" w:type="pct"/>
            <w:tcBorders>
              <w:top w:val="single" w:sz="4" w:space="0" w:color="auto"/>
              <w:left w:val="nil"/>
              <w:bottom w:val="single" w:sz="4" w:space="0" w:color="auto"/>
              <w:right w:val="single" w:sz="4" w:space="0" w:color="auto"/>
            </w:tcBorders>
            <w:shd w:val="clear" w:color="auto" w:fill="D9D9D9"/>
            <w:tcMar>
              <w:top w:w="0" w:type="dxa"/>
              <w:left w:w="0" w:type="dxa"/>
              <w:bottom w:w="0" w:type="dxa"/>
              <w:right w:w="0" w:type="dxa"/>
            </w:tcMar>
            <w:vAlign w:val="center"/>
            <w:hideMark/>
          </w:tcPr>
          <w:p w:rsidR="00E05884" w:rsidRDefault="000B7AD6">
            <w:pPr>
              <w:jc w:val="center"/>
            </w:pPr>
            <w:r>
              <w:rPr>
                <w:rFonts w:ascii="宋体" w:hAnsi="宋体" w:hint="eastAsia"/>
                <w:szCs w:val="21"/>
              </w:rPr>
              <w:t>占基金资产净值比例（%）</w:t>
            </w:r>
            <w:r>
              <w:rPr>
                <w:rFonts w:ascii="宋体" w:hAnsi="宋体" w:hint="eastAsia"/>
                <w:szCs w:val="21"/>
                <w:lang w:eastAsia="zh-Hans"/>
              </w:rPr>
              <w:t xml:space="preserve"> </w:t>
            </w:r>
          </w:p>
        </w:tc>
      </w:tr>
      <w:tr w:rsidR="00E05884">
        <w:trPr>
          <w:divId w:val="208721601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r>
              <w:rPr>
                <w:rFonts w:ascii="宋体" w:hAnsi="宋体" w:hint="eastAsia"/>
                <w:szCs w:val="21"/>
                <w:lang w:eastAsia="zh-Hans"/>
              </w:rPr>
              <w:t>美国</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szCs w:val="21"/>
                <w:lang w:eastAsia="zh-Hans"/>
              </w:rPr>
              <w:t>1,698,871,306.69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szCs w:val="21"/>
                <w:lang w:eastAsia="zh-Hans"/>
              </w:rPr>
              <w:t>93.53</w:t>
            </w:r>
          </w:p>
        </w:tc>
      </w:tr>
      <w:tr w:rsidR="00E05884">
        <w:trPr>
          <w:divId w:val="2087216011"/>
        </w:trPr>
        <w:tc>
          <w:tcPr>
            <w:tcW w:w="115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r>
              <w:rPr>
                <w:rFonts w:ascii="宋体" w:hAnsi="宋体" w:hint="eastAsia"/>
                <w:szCs w:val="21"/>
              </w:rPr>
              <w:t>合计</w:t>
            </w:r>
            <w:r>
              <w:rPr>
                <w:rFonts w:ascii="宋体" w:hAnsi="宋体" w:hint="eastAsia"/>
                <w:szCs w:val="21"/>
                <w:lang w:eastAsia="zh-Hans"/>
              </w:rPr>
              <w:t xml:space="preserve"> </w:t>
            </w:r>
          </w:p>
        </w:tc>
        <w:tc>
          <w:tcPr>
            <w:tcW w:w="2049"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szCs w:val="21"/>
                <w:lang w:eastAsia="zh-Hans"/>
              </w:rPr>
              <w:t>1,698,871,306.69</w:t>
            </w:r>
          </w:p>
        </w:tc>
        <w:tc>
          <w:tcPr>
            <w:tcW w:w="1801" w:type="pct"/>
            <w:tcBorders>
              <w:top w:val="single" w:sz="4" w:space="0" w:color="auto"/>
              <w:left w:val="nil"/>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szCs w:val="21"/>
                <w:lang w:eastAsia="zh-Hans"/>
              </w:rPr>
              <w:t>93.53</w:t>
            </w:r>
            <w:bookmarkEnd w:id="170"/>
          </w:p>
        </w:tc>
      </w:tr>
    </w:tbl>
    <w:p w:rsidR="00E05884" w:rsidRDefault="000B7AD6">
      <w:pPr>
        <w:spacing w:line="360" w:lineRule="auto"/>
        <w:jc w:val="left"/>
      </w:pPr>
      <w:r>
        <w:rPr>
          <w:rFonts w:ascii="宋体" w:hAnsi="宋体" w:hint="eastAsia"/>
          <w:szCs w:val="21"/>
        </w:rPr>
        <w:t>注：</w:t>
      </w:r>
      <w:r>
        <w:rPr>
          <w:rFonts w:ascii="宋体" w:hAnsi="宋体" w:hint="eastAsia"/>
        </w:rPr>
        <w:t>国家（地区）类别根据其所在的证券交易所确定，ADR、GDR按照存托凭证本身挂牌的证券交易所确定。</w:t>
      </w:r>
    </w:p>
    <w:p w:rsidR="00E05884" w:rsidRDefault="000B7AD6">
      <w:pPr>
        <w:pStyle w:val="XBRLTitle2"/>
        <w:spacing w:before="156" w:line="360" w:lineRule="auto"/>
        <w:ind w:left="454"/>
      </w:pPr>
      <w:bookmarkStart w:id="172" w:name="_Toc459213779"/>
      <w:bookmarkStart w:id="173" w:name="_Toc456107133"/>
      <w:bookmarkStart w:id="174" w:name="_Toc438654088"/>
      <w:bookmarkStart w:id="175" w:name="_Toc448480300"/>
      <w:bookmarkStart w:id="176" w:name="_Toc480465434"/>
      <w:bookmarkStart w:id="177" w:name="_Toc512611296"/>
      <w:bookmarkStart w:id="178" w:name="_Toc512612092"/>
      <w:bookmarkStart w:id="179" w:name="_Toc512612268"/>
      <w:bookmarkStart w:id="180" w:name="_Toc513658024"/>
      <w:bookmarkStart w:id="181" w:name="_Toc514178686"/>
      <w:bookmarkStart w:id="182" w:name="m503"/>
      <w:bookmarkEnd w:id="171"/>
      <w:proofErr w:type="spellStart"/>
      <w:r>
        <w:rPr>
          <w:rFonts w:hint="eastAsia"/>
        </w:rPr>
        <w:t>报告期末按行业分类的股票及存托凭证投资组合</w:t>
      </w:r>
      <w:bookmarkStart w:id="183" w:name="_Toc513637368"/>
      <w:bookmarkEnd w:id="172"/>
      <w:bookmarkEnd w:id="173"/>
      <w:bookmarkEnd w:id="174"/>
      <w:bookmarkEnd w:id="175"/>
      <w:bookmarkEnd w:id="176"/>
      <w:bookmarkEnd w:id="177"/>
      <w:bookmarkEnd w:id="178"/>
      <w:bookmarkEnd w:id="179"/>
      <w:bookmarkEnd w:id="180"/>
      <w:bookmarkEnd w:id="181"/>
      <w:bookmarkEnd w:id="183"/>
      <w:proofErr w:type="spellEnd"/>
      <w:r>
        <w:rPr>
          <w:rFonts w:hint="eastAsia"/>
          <w:lang w:eastAsia="zh-CN"/>
        </w:rPr>
        <w:t xml:space="preserve"> </w:t>
      </w:r>
    </w:p>
    <w:p w:rsidR="00E05884" w:rsidRDefault="000B7AD6">
      <w:pPr>
        <w:pStyle w:val="XBRLTitle3"/>
        <w:spacing w:before="156"/>
        <w:ind w:left="0"/>
      </w:pPr>
      <w:bookmarkStart w:id="184" w:name="_Toc513658025"/>
      <w:bookmarkStart w:id="185" w:name="_Toc514178687"/>
      <w:proofErr w:type="spellStart"/>
      <w:r>
        <w:rPr>
          <w:rFonts w:hint="eastAsia"/>
          <w:kern w:val="0"/>
        </w:rPr>
        <w:t>报告期末指数投资按行业分类的股票及存托凭证投资组合</w:t>
      </w:r>
      <w:bookmarkEnd w:id="184"/>
      <w:bookmarkEnd w:id="185"/>
      <w:proofErr w:type="spellEnd"/>
      <w:r>
        <w:rPr>
          <w:rFonts w:hint="eastAsia"/>
        </w:rPr>
        <w:t xml:space="preserve"> </w:t>
      </w:r>
    </w:p>
    <w:tbl>
      <w:tblPr>
        <w:tblW w:w="5000" w:type="pct"/>
        <w:tblBorders>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3777"/>
        <w:gridCol w:w="3496"/>
        <w:gridCol w:w="1562"/>
      </w:tblGrid>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05884" w:rsidRDefault="000B7AD6">
            <w:pPr>
              <w:jc w:val="center"/>
            </w:pPr>
            <w:bookmarkStart w:id="186" w:name="_Toc247616244"/>
            <w:bookmarkStart w:id="187" w:name="_Toc433036708"/>
            <w:bookmarkStart w:id="188" w:name="_Toc247613259"/>
            <w:bookmarkStart w:id="189" w:name="m08QD_03_01_tab"/>
            <w:bookmarkStart w:id="190" w:name="m08QD_03_tab"/>
            <w:bookmarkStart w:id="191" w:name="m08QD_04_01"/>
            <w:r>
              <w:rPr>
                <w:rFonts w:ascii="宋体" w:hAnsi="宋体" w:hint="eastAsia"/>
                <w:color w:val="000000"/>
              </w:rPr>
              <w:t>行业类别</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05884" w:rsidRDefault="000B7AD6">
            <w:pPr>
              <w:jc w:val="center"/>
            </w:pPr>
            <w:r>
              <w:rPr>
                <w:rFonts w:ascii="宋体" w:hAnsi="宋体" w:hint="eastAsia"/>
                <w:color w:val="000000"/>
              </w:rPr>
              <w:t>公允价值（人民币元）</w:t>
            </w:r>
            <w:r>
              <w:rPr>
                <w:rFonts w:ascii="宋体" w:hAnsi="宋体" w:hint="eastAsia"/>
                <w:color w:val="000000"/>
                <w:lang w:eastAsia="zh-Hans"/>
              </w:rPr>
              <w:t xml:space="preserve"> </w:t>
            </w:r>
          </w:p>
        </w:tc>
        <w:tc>
          <w:tcPr>
            <w:tcW w:w="15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E05884" w:rsidRDefault="000B7AD6">
            <w:r>
              <w:rPr>
                <w:rFonts w:ascii="宋体" w:hAnsi="宋体" w:hint="eastAsia"/>
                <w:color w:val="000000"/>
              </w:rPr>
              <w:t>占基金资产净值比例</w:t>
            </w:r>
            <w:r>
              <w:rPr>
                <w:rFonts w:ascii="宋体" w:hAnsi="宋体" w:hint="eastAsia"/>
                <w:color w:val="000000"/>
                <w:lang w:eastAsia="zh-Hans"/>
              </w:rPr>
              <w:t>(%)</w:t>
            </w:r>
            <w:r>
              <w:rPr>
                <w:rFonts w:ascii="宋体" w:hAnsi="宋体" w:hint="eastAsia"/>
                <w:b/>
                <w:color w:val="000000"/>
                <w:lang w:eastAsia="zh-Hans"/>
              </w:rPr>
              <w:t xml:space="preserve"> </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基础材料</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34,337,812.65</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1.89</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消费者非必需品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178,153,435.53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9.81</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消费者常用品</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102,645,321.58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5.65</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能源</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62,107,138.00</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3.42</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金融</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246,809,042.66</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13.59</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医疗保健</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189,595,384.03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10.44</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工业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131,220,458.45</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7.22</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信息技术</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515,312,689.26</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28.37</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电信服务</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159,895,212.32</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8.80</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公用事业</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41,342,567.13</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2.28</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left"/>
            </w:pPr>
            <w:r>
              <w:rPr>
                <w:rFonts w:ascii="宋体" w:hAnsi="宋体" w:hint="eastAsia"/>
                <w:color w:val="000000"/>
                <w:lang w:eastAsia="zh-Hans"/>
              </w:rPr>
              <w:t>房地产</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37,452,245.08</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2.06</w:t>
            </w:r>
          </w:p>
        </w:tc>
      </w:tr>
      <w:tr w:rsidR="00E05884">
        <w:trPr>
          <w:divId w:val="1745760055"/>
        </w:trPr>
        <w:tc>
          <w:tcPr>
            <w:tcW w:w="38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center"/>
            </w:pPr>
            <w:r>
              <w:rPr>
                <w:rFonts w:ascii="宋体" w:hAnsi="宋体" w:hint="eastAsia"/>
              </w:rPr>
              <w:t>合计</w:t>
            </w:r>
            <w:r>
              <w:rPr>
                <w:rFonts w:ascii="宋体" w:hAnsi="宋体" w:hint="eastAsia"/>
                <w:color w:val="000000"/>
                <w:lang w:eastAsia="zh-Hans"/>
              </w:rPr>
              <w:t xml:space="preserve"> </w:t>
            </w:r>
          </w:p>
        </w:tc>
        <w:tc>
          <w:tcPr>
            <w:tcW w:w="35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1,698,871,306.69</w:t>
            </w:r>
          </w:p>
        </w:tc>
        <w:tc>
          <w:tcPr>
            <w:tcW w:w="15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05884" w:rsidRDefault="000B7AD6">
            <w:pPr>
              <w:jc w:val="right"/>
            </w:pPr>
            <w:r>
              <w:rPr>
                <w:rFonts w:ascii="宋体" w:hAnsi="宋体" w:hint="eastAsia"/>
                <w:color w:val="000000"/>
                <w:lang w:eastAsia="zh-Hans"/>
              </w:rPr>
              <w:t>93.53</w:t>
            </w:r>
            <w:bookmarkEnd w:id="186"/>
            <w:bookmarkEnd w:id="187"/>
            <w:bookmarkEnd w:id="188"/>
          </w:p>
        </w:tc>
      </w:tr>
    </w:tbl>
    <w:bookmarkEnd w:id="189"/>
    <w:bookmarkEnd w:id="190"/>
    <w:p w:rsidR="00E05884" w:rsidRDefault="000B7AD6">
      <w:pPr>
        <w:widowControl/>
        <w:spacing w:line="315" w:lineRule="atLeast"/>
        <w:divId w:val="1768229065"/>
      </w:pPr>
      <w:r>
        <w:rPr>
          <w:rFonts w:ascii="宋体" w:hAnsi="宋体" w:cs="宋体" w:hint="eastAsia"/>
          <w:color w:val="000000"/>
          <w:kern w:val="0"/>
          <w:szCs w:val="21"/>
        </w:rPr>
        <w:t>注：以上分类采用全球行业分类标准(GICS)。</w:t>
      </w:r>
    </w:p>
    <w:p w:rsidR="00E05884" w:rsidRDefault="000B7AD6">
      <w:pPr>
        <w:pStyle w:val="XBRLTitle3"/>
        <w:spacing w:before="156"/>
        <w:ind w:left="0"/>
      </w:pPr>
      <w:bookmarkStart w:id="192" w:name="_Toc513658026"/>
      <w:bookmarkStart w:id="193" w:name="_Toc514178688"/>
      <w:proofErr w:type="spellStart"/>
      <w:r>
        <w:rPr>
          <w:rFonts w:hint="eastAsia"/>
          <w:kern w:val="0"/>
        </w:rPr>
        <w:t>报告期末积极投资按行业分类的股票及存托凭证投资组合</w:t>
      </w:r>
      <w:bookmarkEnd w:id="192"/>
      <w:bookmarkEnd w:id="193"/>
      <w:proofErr w:type="spellEnd"/>
      <w:r>
        <w:rPr>
          <w:rFonts w:hint="eastAsia"/>
        </w:rPr>
        <w:t xml:space="preserve"> </w:t>
      </w:r>
    </w:p>
    <w:p w:rsidR="00E05884" w:rsidRDefault="000B7AD6">
      <w:pPr>
        <w:widowControl/>
        <w:spacing w:line="315" w:lineRule="atLeast"/>
        <w:ind w:firstLineChars="200" w:firstLine="420"/>
        <w:divId w:val="216472955"/>
      </w:pPr>
      <w:r>
        <w:rPr>
          <w:rFonts w:ascii="宋体" w:hAnsi="宋体" w:cs="宋体" w:hint="eastAsia"/>
          <w:color w:val="000000"/>
          <w:kern w:val="0"/>
          <w:szCs w:val="21"/>
        </w:rPr>
        <w:t>本基金本报告期末未持有积极投资股票。</w:t>
      </w:r>
    </w:p>
    <w:p w:rsidR="00E05884" w:rsidRDefault="000B7AD6">
      <w:pPr>
        <w:pStyle w:val="XBRLTitle2"/>
        <w:spacing w:before="156" w:line="360" w:lineRule="auto"/>
        <w:ind w:left="454"/>
      </w:pPr>
      <w:bookmarkStart w:id="194" w:name="_Toc459213780"/>
      <w:bookmarkStart w:id="195" w:name="_Toc456107134"/>
      <w:bookmarkStart w:id="196" w:name="_Toc438654089"/>
      <w:bookmarkStart w:id="197" w:name="_Toc448480301"/>
      <w:bookmarkStart w:id="198" w:name="_Toc480465435"/>
      <w:bookmarkStart w:id="199" w:name="_Toc512611297"/>
      <w:bookmarkStart w:id="200" w:name="_Toc512612093"/>
      <w:bookmarkStart w:id="201" w:name="_Toc512612269"/>
      <w:bookmarkStart w:id="202" w:name="_Toc513658027"/>
      <w:bookmarkStart w:id="203" w:name="_Toc514178689"/>
      <w:bookmarkEnd w:id="182"/>
      <w:proofErr w:type="spellStart"/>
      <w:r>
        <w:rPr>
          <w:rFonts w:hint="eastAsia"/>
        </w:rPr>
        <w:t>期末按公允价值占基金资产净值比例大小排序的权益投资明细</w:t>
      </w:r>
      <w:bookmarkStart w:id="204" w:name="_Toc513637371"/>
      <w:bookmarkEnd w:id="194"/>
      <w:bookmarkEnd w:id="195"/>
      <w:bookmarkEnd w:id="196"/>
      <w:bookmarkEnd w:id="197"/>
      <w:bookmarkEnd w:id="198"/>
      <w:bookmarkEnd w:id="199"/>
      <w:bookmarkEnd w:id="200"/>
      <w:bookmarkEnd w:id="201"/>
      <w:bookmarkEnd w:id="202"/>
      <w:bookmarkEnd w:id="203"/>
      <w:bookmarkEnd w:id="204"/>
      <w:proofErr w:type="spellEnd"/>
      <w:r>
        <w:rPr>
          <w:rFonts w:hint="eastAsia"/>
        </w:rPr>
        <w:t xml:space="preserve"> </w:t>
      </w:r>
    </w:p>
    <w:p w:rsidR="00E05884" w:rsidRDefault="000B7AD6">
      <w:pPr>
        <w:pStyle w:val="XBRLTitle3"/>
        <w:spacing w:before="156"/>
        <w:ind w:left="0"/>
      </w:pPr>
      <w:bookmarkStart w:id="205" w:name="_Toc513658028"/>
      <w:bookmarkStart w:id="206" w:name="_Toc514178690"/>
      <w:proofErr w:type="spellStart"/>
      <w:r>
        <w:rPr>
          <w:rFonts w:hint="eastAsia"/>
        </w:rPr>
        <w:t>报告期末指数投资按公允价值占基金资产净值比例大小排序的前十名股票及存托凭证投资明细</w:t>
      </w:r>
      <w:bookmarkEnd w:id="205"/>
      <w:bookmarkEnd w:id="206"/>
      <w:proofErr w:type="spellEnd"/>
      <w:r>
        <w:rPr>
          <w:rFonts w:hint="eastAsia"/>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1161"/>
        <w:gridCol w:w="1183"/>
        <w:gridCol w:w="842"/>
        <w:gridCol w:w="906"/>
        <w:gridCol w:w="821"/>
        <w:gridCol w:w="799"/>
        <w:gridCol w:w="1474"/>
        <w:gridCol w:w="934"/>
      </w:tblGrid>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bookmarkStart w:id="207" w:name="m08QD_04_01_tab"/>
            <w:bookmarkStart w:id="208" w:name="_Toc433036709"/>
            <w:bookmarkStart w:id="209" w:name="_Toc247616246"/>
            <w:bookmarkStart w:id="210" w:name="_Toc458182097"/>
            <w:bookmarkStart w:id="211" w:name="_Toc443558285"/>
            <w:r>
              <w:rPr>
                <w:rFonts w:ascii="宋体" w:hAnsi="宋体" w:hint="eastAsia"/>
              </w:rPr>
              <w:t>序号</w:t>
            </w:r>
            <w:r>
              <w:rPr>
                <w:rFonts w:ascii="宋体" w:hAnsi="宋体" w:hint="eastAsia"/>
                <w:lang w:eastAsia="zh-Hans"/>
              </w:rPr>
              <w:t xml:space="preserve"> </w:t>
            </w:r>
          </w:p>
        </w:tc>
        <w:tc>
          <w:tcPr>
            <w:tcW w:w="112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公司名称</w:t>
            </w:r>
            <w:r>
              <w:rPr>
                <w:rFonts w:ascii="宋体" w:hAnsi="宋体" w:hint="eastAsia"/>
                <w:lang w:eastAsia="zh-Hans"/>
              </w:rPr>
              <w:t>(</w:t>
            </w:r>
            <w:r>
              <w:rPr>
                <w:rFonts w:ascii="宋体" w:hAnsi="宋体" w:hint="eastAsia"/>
              </w:rPr>
              <w:t>英文</w:t>
            </w:r>
            <w:r>
              <w:rPr>
                <w:rFonts w:ascii="宋体" w:hAnsi="宋体" w:hint="eastAsia"/>
                <w:lang w:eastAsia="zh-Hans"/>
              </w:rPr>
              <w:t xml:space="preserve">) </w:t>
            </w:r>
          </w:p>
        </w:tc>
        <w:tc>
          <w:tcPr>
            <w:tcW w:w="114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公司名称</w:t>
            </w:r>
            <w:r>
              <w:rPr>
                <w:rFonts w:ascii="宋体" w:hAnsi="宋体" w:hint="eastAsia"/>
                <w:lang w:eastAsia="zh-Hans"/>
              </w:rPr>
              <w:t>(</w:t>
            </w:r>
            <w:r>
              <w:rPr>
                <w:rFonts w:ascii="宋体" w:hAnsi="宋体" w:hint="eastAsia"/>
              </w:rPr>
              <w:t>中文</w:t>
            </w:r>
            <w:r>
              <w:rPr>
                <w:rFonts w:ascii="宋体" w:hAnsi="宋体" w:hint="eastAsia"/>
                <w:lang w:eastAsia="zh-Hans"/>
              </w:rPr>
              <w:t xml:space="preserve">) </w:t>
            </w:r>
          </w:p>
        </w:tc>
        <w:tc>
          <w:tcPr>
            <w:tcW w:w="81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证券代码</w:t>
            </w:r>
            <w:r>
              <w:rPr>
                <w:rFonts w:ascii="宋体" w:hAnsi="宋体" w:hint="eastAsia"/>
                <w:lang w:eastAsia="zh-Hans"/>
              </w:rPr>
              <w:t xml:space="preserve"> </w:t>
            </w:r>
          </w:p>
        </w:tc>
        <w:tc>
          <w:tcPr>
            <w:tcW w:w="8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所在证券市场</w:t>
            </w:r>
            <w:r>
              <w:rPr>
                <w:rFonts w:ascii="宋体" w:hAnsi="宋体" w:hint="eastAsia"/>
                <w:lang w:eastAsia="zh-Hans"/>
              </w:rPr>
              <w:t xml:space="preserve"> </w:t>
            </w:r>
          </w:p>
        </w:tc>
        <w:tc>
          <w:tcPr>
            <w:tcW w:w="79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所属国家（地区）</w:t>
            </w:r>
            <w:r>
              <w:rPr>
                <w:rFonts w:ascii="宋体" w:hAnsi="宋体" w:hint="eastAsia"/>
                <w:lang w:eastAsia="zh-Hans"/>
              </w:rPr>
              <w:t xml:space="preserve"> </w:t>
            </w:r>
          </w:p>
        </w:tc>
        <w:tc>
          <w:tcPr>
            <w:tcW w:w="7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数量</w:t>
            </w:r>
            <w:r>
              <w:rPr>
                <w:rFonts w:ascii="宋体" w:hAnsi="宋体" w:hint="eastAsia"/>
                <w:lang w:eastAsia="zh-Hans"/>
              </w:rPr>
              <w:t>(</w:t>
            </w:r>
            <w:r>
              <w:rPr>
                <w:rFonts w:ascii="宋体" w:hAnsi="宋体" w:hint="eastAsia"/>
              </w:rPr>
              <w:t>股</w:t>
            </w:r>
            <w:r>
              <w:rPr>
                <w:rFonts w:ascii="宋体" w:hAnsi="宋体" w:hint="eastAsia"/>
                <w:lang w:eastAsia="zh-Hans"/>
              </w:rPr>
              <w:t xml:space="preserve">) </w:t>
            </w:r>
          </w:p>
        </w:tc>
        <w:tc>
          <w:tcPr>
            <w:tcW w:w="142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 xml:space="preserve">公允价值（人民币元） </w:t>
            </w:r>
          </w:p>
        </w:tc>
        <w:tc>
          <w:tcPr>
            <w:tcW w:w="90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05884" w:rsidRDefault="000B7AD6">
            <w:pPr>
              <w:jc w:val="center"/>
            </w:pPr>
            <w:r>
              <w:rPr>
                <w:rFonts w:ascii="宋体" w:hAnsi="宋体" w:hint="eastAsia"/>
              </w:rPr>
              <w:t>占基金资产净值比例</w:t>
            </w:r>
            <w:r>
              <w:rPr>
                <w:rFonts w:ascii="宋体" w:hAnsi="宋体" w:hint="eastAsia"/>
                <w:lang w:eastAsia="zh-Hans"/>
              </w:rPr>
              <w:t xml:space="preserve">(%) </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1</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APPLE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苹果公司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AAPL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77,438</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123,474,392.76</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6.80</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lastRenderedPageBreak/>
              <w:t>2</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MICROSOFT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微软</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MSFT</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38,322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103,263,400.01</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5.69</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3</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NVIDIA CORP</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英伟达</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NVDA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126,246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98,216,019.25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5.41</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4</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AMAZON.COM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亚马逊公司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AMZN</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48,622</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66,404,248.47</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3.66</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5</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META PLATFORMS INC-CLASS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Meta平台股份有限公司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META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11,289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46,705,159.58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2.57</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6</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BERKSHIRE HATHAWAY INC-CL B</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伯克希尔哈撒韦公司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BRK/B</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纽约证券交易所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9,449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36,123,203.43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1.99</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7</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ALPHABET INC-CL A</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GOOGL</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30,069</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33,377,697.98</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1.84</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8</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BROADCOM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博通股份有限公司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AVGO</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24,163</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29,040,205.53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1.60</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9</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ALPHABET INC-CL 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ALPHABET公司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GOOG</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24,370</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27,329,741.03</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1.50</w:t>
            </w:r>
          </w:p>
        </w:tc>
      </w:tr>
      <w:tr w:rsidR="00E05884">
        <w:trPr>
          <w:divId w:val="753822027"/>
        </w:trPr>
        <w:tc>
          <w:tcPr>
            <w:tcW w:w="689"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10</w:t>
            </w:r>
          </w:p>
        </w:tc>
        <w:tc>
          <w:tcPr>
            <w:tcW w:w="1120"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TESLA INC</w:t>
            </w:r>
          </w:p>
        </w:tc>
        <w:tc>
          <w:tcPr>
            <w:tcW w:w="114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特斯拉公司</w:t>
            </w:r>
          </w:p>
        </w:tc>
        <w:tc>
          <w:tcPr>
            <w:tcW w:w="81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center"/>
            </w:pPr>
            <w:r>
              <w:rPr>
                <w:rFonts w:ascii="宋体" w:hAnsi="宋体" w:hint="eastAsia"/>
                <w:color w:val="000000"/>
                <w:lang w:eastAsia="zh-Hans"/>
              </w:rPr>
              <w:t>TSLA</w:t>
            </w:r>
          </w:p>
        </w:tc>
        <w:tc>
          <w:tcPr>
            <w:tcW w:w="874"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纳斯达克交易所</w:t>
            </w:r>
          </w:p>
        </w:tc>
        <w:tc>
          <w:tcPr>
            <w:tcW w:w="79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r>
              <w:rPr>
                <w:rFonts w:ascii="宋体" w:hAnsi="宋体" w:hint="eastAsia"/>
                <w:color w:val="000000"/>
                <w:lang w:eastAsia="zh-Hans"/>
              </w:rPr>
              <w:t>美国</w:t>
            </w:r>
          </w:p>
        </w:tc>
        <w:tc>
          <w:tcPr>
            <w:tcW w:w="77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14,426</w:t>
            </w:r>
          </w:p>
        </w:tc>
        <w:tc>
          <w:tcPr>
            <w:tcW w:w="1422"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26,836,721.15</w:t>
            </w:r>
          </w:p>
        </w:tc>
        <w:tc>
          <w:tcPr>
            <w:tcW w:w="901" w:type="dxa"/>
            <w:tcBorders>
              <w:top w:val="single" w:sz="4" w:space="0" w:color="000000"/>
              <w:left w:val="single" w:sz="4" w:space="0" w:color="000000"/>
              <w:bottom w:val="single" w:sz="4" w:space="0" w:color="000000"/>
              <w:right w:val="single" w:sz="4" w:space="0" w:color="000000"/>
            </w:tcBorders>
            <w:vAlign w:val="center"/>
            <w:hideMark/>
          </w:tcPr>
          <w:p w:rsidR="00E05884" w:rsidRDefault="000B7AD6">
            <w:pPr>
              <w:jc w:val="right"/>
            </w:pPr>
            <w:r>
              <w:rPr>
                <w:rFonts w:ascii="宋体" w:hAnsi="宋体" w:hint="eastAsia"/>
                <w:color w:val="000000"/>
                <w:lang w:eastAsia="zh-Hans"/>
              </w:rPr>
              <w:t>1.48</w:t>
            </w:r>
          </w:p>
        </w:tc>
      </w:tr>
    </w:tbl>
    <w:p w:rsidR="00E05884" w:rsidRDefault="000B7AD6">
      <w:pPr>
        <w:spacing w:line="360" w:lineRule="auto"/>
        <w:divId w:val="354119276"/>
      </w:pPr>
      <w:bookmarkStart w:id="212" w:name="m07_04_07_02"/>
      <w:bookmarkEnd w:id="207"/>
      <w:r>
        <w:rPr>
          <w:rFonts w:ascii="宋体" w:hAnsi="宋体" w:hint="eastAsia"/>
          <w:kern w:val="0"/>
          <w:szCs w:val="21"/>
        </w:rPr>
        <w:t>注：</w:t>
      </w:r>
      <w:r>
        <w:rPr>
          <w:rFonts w:ascii="宋体" w:hAnsi="宋体" w:hint="eastAsia"/>
          <w:lang w:eastAsia="zh-Hans"/>
        </w:rPr>
        <w:t>此处所用证券代码的类别是当地市场代码。</w:t>
      </w:r>
      <w:bookmarkEnd w:id="191"/>
      <w:bookmarkEnd w:id="208"/>
      <w:bookmarkEnd w:id="209"/>
      <w:bookmarkEnd w:id="210"/>
      <w:bookmarkEnd w:id="211"/>
    </w:p>
    <w:p w:rsidR="00E05884" w:rsidRDefault="000B7AD6">
      <w:pPr>
        <w:pStyle w:val="XBRLTitle3"/>
        <w:spacing w:before="156"/>
        <w:ind w:left="0"/>
      </w:pPr>
      <w:bookmarkStart w:id="213" w:name="_Toc513658029"/>
      <w:bookmarkStart w:id="214" w:name="_Toc514178691"/>
      <w:proofErr w:type="spellStart"/>
      <w:r>
        <w:rPr>
          <w:rFonts w:hint="eastAsia"/>
        </w:rPr>
        <w:t>报告期末积极投资按公允价值占基金资产净值比例大小排序的前五名股票及存托凭证投资明细</w:t>
      </w:r>
      <w:bookmarkEnd w:id="213"/>
      <w:bookmarkEnd w:id="214"/>
      <w:proofErr w:type="spellEnd"/>
      <w:r>
        <w:rPr>
          <w:rFonts w:hint="eastAsia"/>
        </w:rPr>
        <w:t xml:space="preserve"> </w:t>
      </w:r>
    </w:p>
    <w:p w:rsidR="00E05884" w:rsidRDefault="000B7AD6">
      <w:pPr>
        <w:spacing w:line="360" w:lineRule="auto"/>
        <w:ind w:firstLineChars="200" w:firstLine="420"/>
        <w:jc w:val="left"/>
      </w:pPr>
      <w:r>
        <w:rPr>
          <w:rFonts w:ascii="宋体" w:hAnsi="宋体" w:hint="eastAsia"/>
        </w:rPr>
        <w:t>本基金本报告期末未持有积极投资股票。</w:t>
      </w:r>
    </w:p>
    <w:p w:rsidR="00E05884" w:rsidRDefault="000B7AD6">
      <w:pPr>
        <w:pStyle w:val="XBRLTitle2"/>
        <w:spacing w:before="156" w:line="360" w:lineRule="auto"/>
        <w:ind w:left="454"/>
      </w:pPr>
      <w:bookmarkStart w:id="215" w:name="_Toc459213781"/>
      <w:bookmarkStart w:id="216" w:name="_Toc456107135"/>
      <w:bookmarkStart w:id="217" w:name="_Toc438654090"/>
      <w:bookmarkStart w:id="218" w:name="_Toc448480302"/>
      <w:bookmarkStart w:id="219" w:name="_Toc480465436"/>
      <w:bookmarkStart w:id="220" w:name="_Toc512611298"/>
      <w:bookmarkStart w:id="221" w:name="_Toc512612094"/>
      <w:bookmarkStart w:id="222" w:name="_Toc512612270"/>
      <w:bookmarkStart w:id="223" w:name="_Toc513658030"/>
      <w:bookmarkStart w:id="224" w:name="_Toc514178692"/>
      <w:bookmarkStart w:id="225" w:name="m505"/>
      <w:proofErr w:type="spellStart"/>
      <w:r>
        <w:rPr>
          <w:rFonts w:hint="eastAsia"/>
        </w:rPr>
        <w:t>报告期末按债券信用等级分类的债券投资组合</w:t>
      </w:r>
      <w:bookmarkEnd w:id="215"/>
      <w:bookmarkEnd w:id="216"/>
      <w:bookmarkEnd w:id="217"/>
      <w:bookmarkEnd w:id="218"/>
      <w:bookmarkEnd w:id="219"/>
      <w:bookmarkEnd w:id="220"/>
      <w:bookmarkEnd w:id="221"/>
      <w:bookmarkEnd w:id="222"/>
      <w:bookmarkEnd w:id="223"/>
      <w:bookmarkEnd w:id="224"/>
      <w:proofErr w:type="spellEnd"/>
      <w:r>
        <w:rPr>
          <w:rFonts w:hint="eastAsia"/>
        </w:rPr>
        <w:t xml:space="preserve"> </w:t>
      </w:r>
    </w:p>
    <w:p w:rsidR="00E05884" w:rsidRDefault="000B7AD6">
      <w:pPr>
        <w:spacing w:line="360" w:lineRule="auto"/>
        <w:ind w:firstLineChars="200" w:firstLine="420"/>
        <w:jc w:val="left"/>
      </w:pPr>
      <w:r>
        <w:rPr>
          <w:rFonts w:ascii="宋体" w:hAnsi="宋体" w:hint="eastAsia"/>
        </w:rPr>
        <w:t>本基金本报告期末未持有债券。</w:t>
      </w:r>
    </w:p>
    <w:p w:rsidR="00E05884" w:rsidRDefault="000B7AD6">
      <w:pPr>
        <w:pStyle w:val="XBRLTitle2"/>
        <w:spacing w:before="156" w:line="360" w:lineRule="auto"/>
        <w:ind w:left="454"/>
      </w:pPr>
      <w:bookmarkStart w:id="226" w:name="_Toc459213782"/>
      <w:bookmarkStart w:id="227" w:name="_Toc456107136"/>
      <w:bookmarkStart w:id="228" w:name="_Toc438654091"/>
      <w:bookmarkStart w:id="229" w:name="_Toc448480303"/>
      <w:bookmarkStart w:id="230" w:name="_Toc480465437"/>
      <w:bookmarkStart w:id="231" w:name="_Toc514178693"/>
      <w:bookmarkStart w:id="232" w:name="_Toc512611299"/>
      <w:bookmarkStart w:id="233" w:name="_Toc512612095"/>
      <w:bookmarkStart w:id="234" w:name="_Toc512612271"/>
      <w:bookmarkStart w:id="235" w:name="_Toc513658031"/>
      <w:bookmarkStart w:id="236" w:name="m506"/>
      <w:bookmarkEnd w:id="225"/>
      <w:proofErr w:type="spellStart"/>
      <w:r>
        <w:rPr>
          <w:rFonts w:hint="eastAsia"/>
        </w:rPr>
        <w:t>报告期末按公允价值占基金资产净值比例大小排名的前五名债券投资明细</w:t>
      </w:r>
      <w:bookmarkEnd w:id="226"/>
      <w:bookmarkEnd w:id="227"/>
      <w:bookmarkEnd w:id="228"/>
      <w:bookmarkEnd w:id="229"/>
      <w:bookmarkEnd w:id="230"/>
      <w:bookmarkEnd w:id="231"/>
      <w:proofErr w:type="spellEnd"/>
      <w:r>
        <w:rPr>
          <w:rFonts w:hint="eastAsia"/>
        </w:rPr>
        <w:t xml:space="preserve"> </w:t>
      </w:r>
      <w:bookmarkEnd w:id="232"/>
      <w:bookmarkEnd w:id="233"/>
      <w:bookmarkEnd w:id="234"/>
      <w:bookmarkEnd w:id="235"/>
    </w:p>
    <w:p w:rsidR="00E05884" w:rsidRDefault="000B7AD6">
      <w:pPr>
        <w:spacing w:line="360" w:lineRule="auto"/>
        <w:ind w:firstLineChars="200" w:firstLine="420"/>
        <w:jc w:val="left"/>
        <w:divId w:val="1439761015"/>
      </w:pPr>
      <w:r>
        <w:rPr>
          <w:rFonts w:ascii="宋体" w:hAnsi="宋体" w:hint="eastAsia"/>
          <w:color w:val="000000"/>
          <w:szCs w:val="21"/>
          <w:lang w:eastAsia="zh-Hans"/>
        </w:rPr>
        <w:t>本基金本报告期末未持有债券。</w:t>
      </w:r>
    </w:p>
    <w:p w:rsidR="00E05884" w:rsidRDefault="000B7AD6">
      <w:pPr>
        <w:pStyle w:val="XBRLTitle2"/>
        <w:spacing w:before="156" w:line="360" w:lineRule="auto"/>
        <w:ind w:left="454"/>
      </w:pPr>
      <w:bookmarkStart w:id="237" w:name="_Toc459213783"/>
      <w:bookmarkStart w:id="238" w:name="_Toc456107137"/>
      <w:bookmarkStart w:id="239" w:name="_Toc438654092"/>
      <w:bookmarkStart w:id="240" w:name="_Toc448480304"/>
      <w:bookmarkStart w:id="241" w:name="_Toc480465438"/>
      <w:bookmarkStart w:id="242" w:name="_Toc514178694"/>
      <w:bookmarkStart w:id="243" w:name="_Toc512611300"/>
      <w:bookmarkStart w:id="244" w:name="_Toc512612096"/>
      <w:bookmarkStart w:id="245" w:name="_Toc512612272"/>
      <w:bookmarkStart w:id="246" w:name="_Toc513658032"/>
      <w:bookmarkStart w:id="247" w:name="m507"/>
      <w:bookmarkEnd w:id="236"/>
      <w:proofErr w:type="spellStart"/>
      <w:r>
        <w:rPr>
          <w:rFonts w:hint="eastAsia"/>
        </w:rPr>
        <w:t>报告期末按公允价值占基金资产净值比例大小排名的前十名资产支持证券投资明细</w:t>
      </w:r>
      <w:bookmarkEnd w:id="237"/>
      <w:bookmarkEnd w:id="238"/>
      <w:bookmarkEnd w:id="239"/>
      <w:bookmarkEnd w:id="240"/>
      <w:bookmarkEnd w:id="241"/>
      <w:bookmarkEnd w:id="242"/>
      <w:proofErr w:type="spellEnd"/>
      <w:r>
        <w:rPr>
          <w:rFonts w:hint="eastAsia"/>
        </w:rPr>
        <w:t xml:space="preserve"> </w:t>
      </w:r>
      <w:bookmarkEnd w:id="243"/>
      <w:bookmarkEnd w:id="244"/>
      <w:bookmarkEnd w:id="245"/>
      <w:bookmarkEnd w:id="246"/>
    </w:p>
    <w:p w:rsidR="00E05884" w:rsidRDefault="000B7AD6">
      <w:pPr>
        <w:spacing w:line="360" w:lineRule="auto"/>
        <w:ind w:firstLineChars="200" w:firstLine="420"/>
        <w:jc w:val="left"/>
        <w:divId w:val="670838941"/>
      </w:pPr>
      <w:r>
        <w:rPr>
          <w:rFonts w:ascii="宋体" w:hAnsi="宋体" w:hint="eastAsia"/>
          <w:color w:val="000000"/>
          <w:szCs w:val="21"/>
          <w:lang w:eastAsia="zh-Hans"/>
        </w:rPr>
        <w:lastRenderedPageBreak/>
        <w:t>本基金本报告期末未持有资产支持证券。</w:t>
      </w:r>
    </w:p>
    <w:p w:rsidR="00E05884" w:rsidRDefault="000B7AD6">
      <w:pPr>
        <w:pStyle w:val="XBRLTitle2"/>
        <w:spacing w:before="156" w:line="360" w:lineRule="auto"/>
        <w:ind w:left="454"/>
      </w:pPr>
      <w:bookmarkStart w:id="248" w:name="_Toc448480305"/>
      <w:bookmarkStart w:id="249" w:name="_Toc438654093"/>
      <w:bookmarkStart w:id="250" w:name="_Toc456107138"/>
      <w:bookmarkStart w:id="251" w:name="_Toc459213784"/>
      <w:bookmarkStart w:id="252" w:name="_Toc480465439"/>
      <w:bookmarkStart w:id="253" w:name="_Toc514178695"/>
      <w:bookmarkStart w:id="254" w:name="_Toc512611301"/>
      <w:bookmarkStart w:id="255" w:name="_Toc512612097"/>
      <w:bookmarkStart w:id="256" w:name="_Toc512612273"/>
      <w:bookmarkStart w:id="257" w:name="_Toc513658033"/>
      <w:bookmarkStart w:id="258" w:name="m508"/>
      <w:bookmarkEnd w:id="247"/>
      <w:proofErr w:type="spellStart"/>
      <w:r>
        <w:rPr>
          <w:rFonts w:hint="eastAsia"/>
        </w:rPr>
        <w:t>报告期末按公允价值占基金资产净值比例大小排名的前五名金融衍生品投资明细</w:t>
      </w:r>
      <w:bookmarkEnd w:id="248"/>
      <w:bookmarkEnd w:id="249"/>
      <w:bookmarkEnd w:id="250"/>
      <w:bookmarkEnd w:id="251"/>
      <w:bookmarkEnd w:id="252"/>
      <w:bookmarkEnd w:id="253"/>
      <w:proofErr w:type="spellEnd"/>
      <w:r>
        <w:rPr>
          <w:rFonts w:hint="eastAsia"/>
        </w:rPr>
        <w:t xml:space="preserve"> </w:t>
      </w:r>
      <w:bookmarkEnd w:id="254"/>
      <w:bookmarkEnd w:id="255"/>
      <w:bookmarkEnd w:id="256"/>
      <w:bookmarkEnd w:id="257"/>
    </w:p>
    <w:p w:rsidR="00E05884" w:rsidRDefault="000B7AD6">
      <w:pPr>
        <w:spacing w:line="360" w:lineRule="auto"/>
        <w:ind w:firstLineChars="200" w:firstLine="420"/>
        <w:divId w:val="218327856"/>
      </w:pPr>
      <w:bookmarkStart w:id="259" w:name="m08QD_09"/>
      <w:r>
        <w:rPr>
          <w:rFonts w:ascii="宋体" w:hAnsi="宋体" w:hint="eastAsia"/>
          <w:szCs w:val="24"/>
          <w:lang w:eastAsia="zh-Hans"/>
        </w:rPr>
        <w:t>本基金本报告期末未持有金融衍生品。</w:t>
      </w:r>
      <w:r>
        <w:rPr>
          <w:rFonts w:ascii="宋体" w:hAnsi="宋体" w:hint="eastAsia"/>
          <w:lang w:eastAsia="zh-Hans"/>
        </w:rPr>
        <w:t xml:space="preserve"> </w:t>
      </w:r>
      <w:r>
        <w:rPr>
          <w:rFonts w:ascii="宋体" w:hAnsi="宋体" w:hint="eastAsia"/>
          <w:szCs w:val="24"/>
          <w:lang w:eastAsia="zh-Hans"/>
        </w:rPr>
        <w:t xml:space="preserve"> </w:t>
      </w:r>
      <w:bookmarkEnd w:id="259"/>
      <w:r>
        <w:rPr>
          <w:rFonts w:ascii="宋体" w:hAnsi="宋体" w:hint="eastAsia"/>
          <w:szCs w:val="24"/>
          <w:lang w:eastAsia="zh-Hans"/>
        </w:rPr>
        <w:t xml:space="preserve"> </w:t>
      </w:r>
    </w:p>
    <w:p w:rsidR="00E05884" w:rsidRDefault="000B7AD6">
      <w:pPr>
        <w:pStyle w:val="XBRLTitle2"/>
        <w:spacing w:before="156" w:line="360" w:lineRule="auto"/>
        <w:ind w:left="454"/>
      </w:pPr>
      <w:bookmarkStart w:id="260" w:name="_Toc448480306"/>
      <w:bookmarkStart w:id="261" w:name="_Toc438654094"/>
      <w:bookmarkStart w:id="262" w:name="_Toc456107139"/>
      <w:bookmarkStart w:id="263" w:name="_Toc459213785"/>
      <w:bookmarkStart w:id="264" w:name="_Toc480465440"/>
      <w:bookmarkStart w:id="265" w:name="_Toc514178696"/>
      <w:bookmarkStart w:id="266" w:name="_Toc512611302"/>
      <w:bookmarkStart w:id="267" w:name="_Toc512612098"/>
      <w:bookmarkStart w:id="268" w:name="_Toc512612274"/>
      <w:bookmarkStart w:id="269" w:name="_Toc513658034"/>
      <w:bookmarkStart w:id="270" w:name="m509"/>
      <w:bookmarkEnd w:id="258"/>
      <w:proofErr w:type="spellStart"/>
      <w:r>
        <w:rPr>
          <w:rFonts w:hint="eastAsia"/>
        </w:rPr>
        <w:t>报告期末按公允价值占基金资产净值比例大小排序的前十名基金投资明细</w:t>
      </w:r>
      <w:bookmarkEnd w:id="260"/>
      <w:bookmarkEnd w:id="261"/>
      <w:bookmarkEnd w:id="262"/>
      <w:bookmarkEnd w:id="263"/>
      <w:bookmarkEnd w:id="264"/>
      <w:bookmarkEnd w:id="265"/>
      <w:proofErr w:type="spellEnd"/>
      <w:r>
        <w:rPr>
          <w:rFonts w:hint="eastAsia"/>
        </w:rPr>
        <w:t xml:space="preserve"> </w:t>
      </w:r>
      <w:bookmarkEnd w:id="266"/>
      <w:bookmarkEnd w:id="267"/>
      <w:bookmarkEnd w:id="268"/>
      <w:bookmarkEnd w:id="269"/>
    </w:p>
    <w:p w:rsidR="00E05884" w:rsidRDefault="000B7AD6">
      <w:pPr>
        <w:spacing w:line="360" w:lineRule="auto"/>
        <w:ind w:firstLineChars="200" w:firstLine="420"/>
      </w:pPr>
      <w:bookmarkStart w:id="271" w:name="m08QD_10"/>
      <w:bookmarkEnd w:id="212"/>
      <w:r>
        <w:rPr>
          <w:rFonts w:ascii="宋体" w:hAnsi="宋体" w:hint="eastAsia"/>
          <w:szCs w:val="21"/>
          <w:lang w:eastAsia="zh-Hans"/>
        </w:rPr>
        <w:t>本基金本报告期末未持有基金。</w:t>
      </w:r>
      <w:r>
        <w:rPr>
          <w:rFonts w:ascii="宋体" w:hAnsi="宋体" w:hint="eastAsia"/>
          <w:lang w:eastAsia="zh-Hans"/>
        </w:rPr>
        <w:t xml:space="preserve"> </w:t>
      </w:r>
      <w:bookmarkEnd w:id="271"/>
      <w:bookmarkEnd w:id="156"/>
      <w:bookmarkEnd w:id="157"/>
      <w:bookmarkEnd w:id="158"/>
      <w:bookmarkEnd w:id="159"/>
    </w:p>
    <w:p w:rsidR="00E05884" w:rsidRDefault="000B7AD6">
      <w:pPr>
        <w:pStyle w:val="XBRLTitle2"/>
        <w:spacing w:before="156" w:line="360" w:lineRule="auto"/>
        <w:ind w:left="454"/>
      </w:pPr>
      <w:bookmarkStart w:id="272" w:name="_Toc448480307"/>
      <w:bookmarkStart w:id="273" w:name="_Toc438654095"/>
      <w:bookmarkStart w:id="274" w:name="_Toc456107140"/>
      <w:bookmarkStart w:id="275" w:name="_Toc459213786"/>
      <w:bookmarkStart w:id="276" w:name="_Toc480465441"/>
      <w:bookmarkStart w:id="277" w:name="_Toc512611303"/>
      <w:bookmarkStart w:id="278" w:name="_Toc512612099"/>
      <w:bookmarkStart w:id="279" w:name="_Toc512612275"/>
      <w:bookmarkStart w:id="280" w:name="_Toc513658035"/>
      <w:bookmarkStart w:id="281" w:name="_Toc514178697"/>
      <w:bookmarkEnd w:id="270"/>
      <w:proofErr w:type="spellStart"/>
      <w:r>
        <w:rPr>
          <w:rFonts w:hint="eastAsia"/>
        </w:rPr>
        <w:t>投资组合报告附注</w:t>
      </w:r>
      <w:bookmarkEnd w:id="272"/>
      <w:bookmarkEnd w:id="273"/>
      <w:bookmarkEnd w:id="274"/>
      <w:bookmarkEnd w:id="275"/>
      <w:bookmarkEnd w:id="276"/>
      <w:bookmarkEnd w:id="277"/>
      <w:bookmarkEnd w:id="278"/>
      <w:bookmarkEnd w:id="279"/>
      <w:bookmarkEnd w:id="280"/>
      <w:bookmarkEnd w:id="281"/>
      <w:proofErr w:type="spellEnd"/>
      <w:r>
        <w:rPr>
          <w:rFonts w:hint="eastAsia"/>
        </w:rPr>
        <w:t xml:space="preserve"> </w:t>
      </w:r>
    </w:p>
    <w:p w:rsidR="00E05884" w:rsidRDefault="000B7AD6">
      <w:pPr>
        <w:pStyle w:val="XBRLTitle3"/>
        <w:spacing w:before="156"/>
        <w:ind w:left="0"/>
      </w:pPr>
      <w:bookmarkStart w:id="282" w:name="m510_01_1597"/>
      <w:r>
        <w:rPr>
          <w:rFonts w:hint="eastAsia"/>
          <w:lang w:eastAsia="zh-CN"/>
        </w:rPr>
        <w:t xml:space="preserve"> </w:t>
      </w:r>
      <w:bookmarkStart w:id="283" w:name="_Toc514088270"/>
      <w:bookmarkStart w:id="284" w:name="_Toc513542671"/>
      <w:bookmarkStart w:id="285" w:name="_Toc480465442"/>
      <w:bookmarkEnd w:id="283"/>
      <w:bookmarkEnd w:id="284"/>
      <w:bookmarkEnd w:id="285"/>
      <w:r>
        <w:rPr>
          <w:rFonts w:hint="eastAsia"/>
        </w:rPr>
        <w:t xml:space="preserve"> </w:t>
      </w:r>
    </w:p>
    <w:p w:rsidR="00E05884" w:rsidRDefault="000B7AD6">
      <w:pPr>
        <w:spacing w:line="360" w:lineRule="auto"/>
        <w:ind w:firstLineChars="200" w:firstLine="420"/>
      </w:pPr>
      <w:r>
        <w:rPr>
          <w:rFonts w:ascii="宋体" w:hAnsi="宋体" w:hint="eastAsia"/>
        </w:rPr>
        <w:t>本基金投资的前十名证券的发行主体</w:t>
      </w:r>
      <w:proofErr w:type="gramStart"/>
      <w:r>
        <w:rPr>
          <w:rFonts w:ascii="宋体" w:hAnsi="宋体" w:hint="eastAsia"/>
        </w:rPr>
        <w:t>本期未</w:t>
      </w:r>
      <w:proofErr w:type="gramEnd"/>
      <w:r>
        <w:rPr>
          <w:rFonts w:ascii="宋体" w:hAnsi="宋体" w:hint="eastAsia"/>
        </w:rPr>
        <w:t>出现被监管部门立案调查，或在报告编制日前一年内受到公开谴责、处罚的情形。</w:t>
      </w:r>
    </w:p>
    <w:p w:rsidR="00E05884" w:rsidRDefault="000B7AD6">
      <w:pPr>
        <w:pStyle w:val="XBRLTitle3"/>
        <w:spacing w:before="156"/>
        <w:ind w:left="0"/>
      </w:pPr>
      <w:bookmarkStart w:id="286" w:name="m510_01_1598"/>
      <w:bookmarkEnd w:id="282"/>
      <w:r>
        <w:rPr>
          <w:rFonts w:hint="eastAsia"/>
          <w:lang w:eastAsia="zh-CN"/>
        </w:rPr>
        <w:t xml:space="preserve"> </w:t>
      </w:r>
      <w:bookmarkStart w:id="287" w:name="_Toc514088271"/>
      <w:bookmarkStart w:id="288" w:name="_Toc513542672"/>
      <w:bookmarkStart w:id="289" w:name="_Toc480465443"/>
      <w:bookmarkEnd w:id="287"/>
      <w:bookmarkEnd w:id="288"/>
      <w:bookmarkEnd w:id="289"/>
      <w:r>
        <w:rPr>
          <w:rFonts w:hint="eastAsia"/>
        </w:rPr>
        <w:t xml:space="preserve"> </w:t>
      </w:r>
    </w:p>
    <w:p w:rsidR="00E05884" w:rsidRDefault="000B7AD6">
      <w:pPr>
        <w:spacing w:line="360" w:lineRule="auto"/>
        <w:ind w:firstLineChars="200" w:firstLine="420"/>
      </w:pPr>
      <w:r>
        <w:rPr>
          <w:rFonts w:ascii="宋体" w:hAnsi="宋体" w:hint="eastAsia"/>
        </w:rPr>
        <w:t>报告期内本基金投资的前十名股票中没有在基金合同规定备选股票库之外的股票。</w:t>
      </w:r>
    </w:p>
    <w:p w:rsidR="00E05884" w:rsidRDefault="000B7AD6">
      <w:pPr>
        <w:pStyle w:val="XBRLTitle3"/>
        <w:spacing w:before="156"/>
        <w:ind w:left="0"/>
      </w:pPr>
      <w:bookmarkStart w:id="290" w:name="_Toc480465444"/>
      <w:bookmarkStart w:id="291" w:name="_Toc514178700"/>
      <w:bookmarkStart w:id="292" w:name="_Toc513658038"/>
      <w:bookmarkStart w:id="293" w:name="m510_02"/>
      <w:bookmarkEnd w:id="286"/>
      <w:proofErr w:type="spellStart"/>
      <w:r>
        <w:rPr>
          <w:rFonts w:hint="eastAsia"/>
        </w:rPr>
        <w:t>其他资产构成</w:t>
      </w:r>
      <w:bookmarkEnd w:id="290"/>
      <w:bookmarkEnd w:id="291"/>
      <w:proofErr w:type="spellEnd"/>
      <w:r>
        <w:rPr>
          <w:rFonts w:hint="eastAsia"/>
        </w:rPr>
        <w:t xml:space="preserve"> </w:t>
      </w:r>
      <w:bookmarkEnd w:id="2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E05884">
        <w:trPr>
          <w:divId w:val="262690787"/>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E05884" w:rsidRDefault="000B7AD6">
            <w:pPr>
              <w:jc w:val="center"/>
            </w:pPr>
            <w:r>
              <w:rPr>
                <w:rFonts w:ascii="宋体" w:hAnsi="宋体" w:hint="eastAsia"/>
              </w:rPr>
              <w:t>金额（人民币元）</w:t>
            </w:r>
            <w:r>
              <w:t xml:space="preserve"> </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794,060.36</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12,227,153.94</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w:t>
            </w:r>
          </w:p>
        </w:tc>
      </w:tr>
      <w:tr w:rsidR="00E05884">
        <w:trPr>
          <w:divId w:val="262690787"/>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05884" w:rsidRDefault="000B7AD6">
            <w:pPr>
              <w:jc w:val="right"/>
            </w:pPr>
            <w:r>
              <w:rPr>
                <w:rFonts w:ascii="宋体" w:hAnsi="宋体" w:hint="eastAsia"/>
              </w:rPr>
              <w:t>13,021,214.30</w:t>
            </w:r>
          </w:p>
        </w:tc>
      </w:tr>
    </w:tbl>
    <w:p w:rsidR="00E05884" w:rsidRDefault="000B7AD6">
      <w:pPr>
        <w:pStyle w:val="XBRLTitle3"/>
        <w:spacing w:before="156"/>
        <w:ind w:left="0"/>
      </w:pPr>
      <w:bookmarkStart w:id="294" w:name="_Toc480465445"/>
      <w:bookmarkStart w:id="295" w:name="_Toc514178701"/>
      <w:bookmarkStart w:id="296" w:name="_Toc513658039"/>
      <w:bookmarkStart w:id="297" w:name="m510_03"/>
      <w:bookmarkEnd w:id="293"/>
      <w:proofErr w:type="spellStart"/>
      <w:r>
        <w:rPr>
          <w:rFonts w:hint="eastAsia"/>
        </w:rPr>
        <w:t>报告期末持有的处于转股期的可转换债券明细</w:t>
      </w:r>
      <w:bookmarkEnd w:id="294"/>
      <w:bookmarkEnd w:id="295"/>
      <w:proofErr w:type="spellEnd"/>
      <w:r>
        <w:rPr>
          <w:rFonts w:hint="eastAsia"/>
        </w:rPr>
        <w:t xml:space="preserve"> </w:t>
      </w:r>
      <w:bookmarkEnd w:id="296"/>
    </w:p>
    <w:p w:rsidR="00E05884" w:rsidRDefault="000B7AD6">
      <w:pPr>
        <w:spacing w:line="360" w:lineRule="auto"/>
        <w:ind w:firstLineChars="200" w:firstLine="420"/>
        <w:jc w:val="left"/>
        <w:divId w:val="1040206572"/>
      </w:pPr>
      <w:r>
        <w:rPr>
          <w:rFonts w:ascii="宋体" w:hAnsi="宋体" w:hint="eastAsia"/>
        </w:rPr>
        <w:t xml:space="preserve">本基金本报告期末未持有处于转股期的可转换债券。 </w:t>
      </w:r>
    </w:p>
    <w:p w:rsidR="00E05884" w:rsidRDefault="000B7AD6">
      <w:pPr>
        <w:pStyle w:val="XBRLTitle3"/>
        <w:spacing w:before="156"/>
        <w:ind w:left="0"/>
      </w:pPr>
      <w:bookmarkStart w:id="298" w:name="_Toc480465446"/>
      <w:bookmarkStart w:id="299" w:name="_Toc513658040"/>
      <w:bookmarkStart w:id="300" w:name="_Toc514178702"/>
      <w:bookmarkStart w:id="301" w:name="m510_04"/>
      <w:bookmarkEnd w:id="297"/>
      <w:proofErr w:type="spellStart"/>
      <w:r>
        <w:rPr>
          <w:rFonts w:hint="eastAsia"/>
        </w:rPr>
        <w:t>报告期末前十名股票中存在流通受限情况的说明</w:t>
      </w:r>
      <w:bookmarkEnd w:id="298"/>
      <w:bookmarkEnd w:id="299"/>
      <w:bookmarkEnd w:id="300"/>
      <w:proofErr w:type="spellEnd"/>
    </w:p>
    <w:p w:rsidR="00E05884" w:rsidRDefault="000B7AD6">
      <w:pPr>
        <w:pStyle w:val="XBRLTitle4"/>
        <w:numPr>
          <w:ilvl w:val="0"/>
          <w:numId w:val="0"/>
        </w:numPr>
        <w:spacing w:before="156"/>
      </w:pPr>
      <w:bookmarkStart w:id="302" w:name="_Toc513658041"/>
      <w:bookmarkStart w:id="303" w:name="_Toc514178703"/>
      <w:r>
        <w:rPr>
          <w:rFonts w:hint="eastAsia"/>
        </w:rPr>
        <w:t xml:space="preserve">5.10.5.1 </w:t>
      </w:r>
      <w:proofErr w:type="spellStart"/>
      <w:r>
        <w:rPr>
          <w:rFonts w:hint="eastAsia"/>
        </w:rPr>
        <w:t>报告期末指数投资前十名股票中存在流通受限情况的说明</w:t>
      </w:r>
      <w:bookmarkEnd w:id="302"/>
      <w:bookmarkEnd w:id="303"/>
      <w:proofErr w:type="spellEnd"/>
      <w:r>
        <w:rPr>
          <w:rFonts w:hint="eastAsia"/>
        </w:rPr>
        <w:t xml:space="preserve"> </w:t>
      </w:r>
    </w:p>
    <w:p w:rsidR="00E05884" w:rsidRDefault="000B7AD6">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p>
    <w:p w:rsidR="00E05884" w:rsidRDefault="000B7AD6">
      <w:pPr>
        <w:pStyle w:val="XBRLTitle4"/>
        <w:numPr>
          <w:ilvl w:val="0"/>
          <w:numId w:val="0"/>
        </w:numPr>
        <w:spacing w:before="156"/>
      </w:pPr>
      <w:bookmarkStart w:id="304" w:name="_Toc513658042"/>
      <w:bookmarkStart w:id="305" w:name="_Toc514178704"/>
      <w:r>
        <w:rPr>
          <w:rFonts w:hint="eastAsia"/>
        </w:rPr>
        <w:t xml:space="preserve">5.10.5.2 </w:t>
      </w:r>
      <w:proofErr w:type="spellStart"/>
      <w:r>
        <w:rPr>
          <w:rFonts w:hint="eastAsia"/>
        </w:rPr>
        <w:t>报告期末积极投资前五名股票中存在流通受限情况的说明</w:t>
      </w:r>
      <w:bookmarkEnd w:id="304"/>
      <w:bookmarkEnd w:id="305"/>
      <w:proofErr w:type="spellEnd"/>
      <w:r>
        <w:rPr>
          <w:rFonts w:hint="eastAsia"/>
        </w:rPr>
        <w:t xml:space="preserve"> </w:t>
      </w:r>
    </w:p>
    <w:p w:rsidR="00E05884" w:rsidRDefault="000B7AD6">
      <w:pPr>
        <w:spacing w:line="360" w:lineRule="auto"/>
        <w:ind w:firstLineChars="200" w:firstLine="420"/>
        <w:jc w:val="left"/>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五名积极投资中不存在流通受限情况。</w:t>
      </w:r>
      <w:bookmarkEnd w:id="14"/>
      <w:bookmarkEnd w:id="15"/>
      <w:bookmarkEnd w:id="16"/>
      <w:bookmarkEnd w:id="17"/>
      <w:bookmarkEnd w:id="18"/>
    </w:p>
    <w:p w:rsidR="00E05884" w:rsidRDefault="000B7AD6">
      <w:pPr>
        <w:pStyle w:val="XBRLTitle3"/>
        <w:spacing w:before="156"/>
        <w:ind w:left="0"/>
      </w:pPr>
      <w:bookmarkStart w:id="306" w:name="_Toc480465447"/>
      <w:bookmarkStart w:id="307" w:name="_Toc513658043"/>
      <w:bookmarkStart w:id="308" w:name="_Toc514178705"/>
      <w:bookmarkEnd w:id="301"/>
      <w:proofErr w:type="spellStart"/>
      <w:r>
        <w:rPr>
          <w:rFonts w:hint="eastAsia"/>
        </w:rPr>
        <w:t>投资组合报告附注的其他文字描述部分</w:t>
      </w:r>
      <w:bookmarkEnd w:id="306"/>
      <w:bookmarkEnd w:id="307"/>
      <w:bookmarkEnd w:id="308"/>
      <w:proofErr w:type="spellEnd"/>
    </w:p>
    <w:p w:rsidR="00E05884" w:rsidRDefault="000B7AD6">
      <w:pPr>
        <w:spacing w:line="360" w:lineRule="auto"/>
        <w:ind w:firstLineChars="200" w:firstLine="420"/>
        <w:jc w:val="left"/>
      </w:pPr>
      <w:r>
        <w:rPr>
          <w:rFonts w:ascii="宋体" w:hAnsi="宋体" w:hint="eastAsia"/>
        </w:rPr>
        <w:lastRenderedPageBreak/>
        <w:t>因四舍五入原因，投资组合报告中分项之和与合计可能存在尾差。</w:t>
      </w:r>
    </w:p>
    <w:p w:rsidR="00E05884" w:rsidRDefault="000B7AD6">
      <w:pPr>
        <w:pStyle w:val="XBRLTitle1"/>
        <w:spacing w:before="156" w:line="360" w:lineRule="auto"/>
        <w:ind w:left="425"/>
      </w:pPr>
      <w:bookmarkStart w:id="309" w:name="_Toc514178706"/>
      <w:proofErr w:type="spellStart"/>
      <w:r>
        <w:rPr>
          <w:rFonts w:hint="eastAsia"/>
        </w:rPr>
        <w:t>开放式基金份额变动</w:t>
      </w:r>
      <w:bookmarkStart w:id="310" w:name="m601_tab"/>
      <w:bookmarkEnd w:id="309"/>
      <w:bookmarkEnd w:id="150"/>
      <w:bookmarkEnd w:id="151"/>
      <w:bookmarkEnd w:id="152"/>
      <w:bookmarkEnd w:id="153"/>
      <w:proofErr w:type="spellEnd"/>
    </w:p>
    <w:p w:rsidR="00E05884" w:rsidRDefault="000B7AD6">
      <w:pPr>
        <w:wordWrap w:val="0"/>
        <w:spacing w:line="360" w:lineRule="auto"/>
        <w:jc w:val="right"/>
      </w:pPr>
      <w:bookmarkStart w:id="311" w:name="m10_01_tab"/>
      <w:bookmarkEnd w:id="12"/>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2610"/>
        <w:gridCol w:w="2610"/>
      </w:tblGrid>
      <w:tr w:rsidR="00E05884">
        <w:trPr>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bookmarkStart w:id="312" w:name="m10_01" w:colFirst="1" w:colLast="2"/>
            <w:bookmarkEnd w:id="311"/>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5884" w:rsidRDefault="000B7AD6">
            <w:pPr>
              <w:ind w:right="3"/>
              <w:jc w:val="center"/>
            </w:pPr>
            <w:r>
              <w:rPr>
                <w:rFonts w:ascii="宋体" w:hAnsi="宋体" w:hint="eastAsia"/>
                <w:lang w:eastAsia="zh-Hans"/>
              </w:rPr>
              <w:t>摩根标普500指数(QDII)人民币A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05884" w:rsidRDefault="000B7AD6">
            <w:pPr>
              <w:ind w:right="3"/>
              <w:jc w:val="center"/>
            </w:pPr>
            <w:r>
              <w:rPr>
                <w:rFonts w:ascii="宋体" w:hAnsi="宋体" w:hint="eastAsia"/>
                <w:lang w:eastAsia="zh-Hans"/>
              </w:rPr>
              <w:t>摩根标普500指数(QDII)人民币C</w:t>
            </w:r>
            <w:r>
              <w:rPr>
                <w:rFonts w:ascii="宋体" w:hAnsi="宋体" w:hint="eastAsia"/>
                <w:kern w:val="0"/>
                <w:szCs w:val="24"/>
                <w:lang w:eastAsia="zh-Hans"/>
              </w:rPr>
              <w:t xml:space="preserve"> </w:t>
            </w:r>
          </w:p>
        </w:tc>
      </w:tr>
      <w:tr w:rsidR="00E0588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942,546,986.45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455,116,457.57</w:t>
            </w:r>
          </w:p>
        </w:tc>
      </w:tr>
      <w:tr w:rsidR="00E0588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102,760,102.72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90,944,768.84</w:t>
            </w:r>
          </w:p>
        </w:tc>
      </w:tr>
      <w:tr w:rsidR="00E0588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105,101,783.74</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117,185,254.86</w:t>
            </w:r>
          </w:p>
        </w:tc>
      </w:tr>
      <w:tr w:rsidR="00E0588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w:t>
            </w:r>
          </w:p>
        </w:tc>
      </w:tr>
      <w:tr w:rsidR="00E05884">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940,205,305.43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E05884" w:rsidRDefault="000B7AD6">
            <w:pPr>
              <w:jc w:val="right"/>
            </w:pPr>
            <w:r>
              <w:rPr>
                <w:rFonts w:ascii="宋体" w:hAnsi="宋体" w:hint="eastAsia"/>
              </w:rPr>
              <w:t>428,875,971.55</w:t>
            </w:r>
          </w:p>
        </w:tc>
      </w:tr>
    </w:tbl>
    <w:p w:rsidR="00E05884" w:rsidRDefault="000B7AD6">
      <w:pPr>
        <w:spacing w:line="360" w:lineRule="auto"/>
        <w:jc w:val="left"/>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12"/>
      <w:r>
        <w:rPr>
          <w:rFonts w:ascii="宋体" w:hAnsi="宋体" w:hint="eastAsia"/>
        </w:rPr>
        <w:t xml:space="preserve"> </w:t>
      </w:r>
    </w:p>
    <w:p w:rsidR="00E05884" w:rsidRDefault="000B7AD6">
      <w:pPr>
        <w:pStyle w:val="XBRLTitle1"/>
        <w:spacing w:before="156" w:line="360" w:lineRule="auto"/>
        <w:ind w:left="425"/>
      </w:pPr>
      <w:bookmarkStart w:id="313" w:name="m7manage01"/>
      <w:bookmarkStart w:id="314" w:name="_Toc512519522"/>
      <w:bookmarkStart w:id="315" w:name="_Toc481075090"/>
      <w:bookmarkStart w:id="316" w:name="_Toc438646478"/>
      <w:bookmarkStart w:id="317" w:name="_Toc490050043"/>
      <w:bookmarkStart w:id="318" w:name="_Toc514178707"/>
      <w:bookmarkEnd w:id="154"/>
      <w:bookmarkEnd w:id="310"/>
      <w:proofErr w:type="spellStart"/>
      <w:r>
        <w:rPr>
          <w:rFonts w:hint="eastAsia"/>
        </w:rPr>
        <w:t>基金管理人运用固有资金投资本基金交易明细</w:t>
      </w:r>
      <w:bookmarkEnd w:id="313"/>
      <w:bookmarkEnd w:id="314"/>
      <w:bookmarkEnd w:id="315"/>
      <w:bookmarkEnd w:id="316"/>
      <w:bookmarkEnd w:id="317"/>
      <w:bookmarkEnd w:id="318"/>
      <w:proofErr w:type="spellEnd"/>
      <w:r>
        <w:rPr>
          <w:rFonts w:hint="eastAsia"/>
        </w:rPr>
        <w:t xml:space="preserve"> </w:t>
      </w:r>
    </w:p>
    <w:p w:rsidR="00E05884" w:rsidRDefault="000B7AD6">
      <w:pPr>
        <w:spacing w:line="360" w:lineRule="auto"/>
        <w:ind w:firstLineChars="200" w:firstLine="420"/>
        <w:jc w:val="left"/>
      </w:pPr>
      <w:r>
        <w:rPr>
          <w:rFonts w:ascii="宋体" w:hAnsi="宋体" w:hint="eastAsia"/>
          <w:lang w:eastAsia="zh-Hans"/>
        </w:rPr>
        <w:t>无。</w:t>
      </w:r>
      <w:r>
        <w:rPr>
          <w:rFonts w:ascii="宋体" w:hAnsi="宋体" w:hint="eastAsia"/>
        </w:rPr>
        <w:t xml:space="preserve"> </w:t>
      </w:r>
    </w:p>
    <w:p w:rsidR="00E05884" w:rsidRDefault="000B7AD6">
      <w:pPr>
        <w:pStyle w:val="XBRLTitle1"/>
        <w:spacing w:before="156" w:line="360" w:lineRule="auto"/>
        <w:ind w:left="425"/>
      </w:pPr>
      <w:bookmarkStart w:id="319" w:name="_Toc513295937"/>
      <w:bookmarkStart w:id="320" w:name="_Toc513295874"/>
      <w:bookmarkStart w:id="321" w:name="_Toc490050053"/>
      <w:bookmarkStart w:id="322" w:name="_Toc481074873"/>
      <w:bookmarkStart w:id="323" w:name="_Toc512519525"/>
      <w:bookmarkStart w:id="324" w:name="_Toc514507557"/>
      <w:proofErr w:type="spellStart"/>
      <w:r>
        <w:rPr>
          <w:rFonts w:hint="eastAsia"/>
        </w:rPr>
        <w:t>报告期末发起式基金发起资金持有份额情况</w:t>
      </w:r>
      <w:bookmarkEnd w:id="319"/>
      <w:bookmarkEnd w:id="320"/>
      <w:bookmarkEnd w:id="321"/>
      <w:bookmarkEnd w:id="322"/>
      <w:bookmarkEnd w:id="323"/>
      <w:bookmarkEnd w:id="324"/>
      <w:proofErr w:type="spellEnd"/>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1"/>
        <w:gridCol w:w="1395"/>
        <w:gridCol w:w="1727"/>
        <w:gridCol w:w="1395"/>
        <w:gridCol w:w="1727"/>
        <w:gridCol w:w="1240"/>
      </w:tblGrid>
      <w:tr w:rsidR="00E05884">
        <w:trPr>
          <w:divId w:val="1765614372"/>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E05884" w:rsidRDefault="000B7AD6">
            <w:pPr>
              <w:jc w:val="center"/>
            </w:pPr>
            <w:r>
              <w:rPr>
                <w:rFonts w:hint="eastAsia"/>
                <w:color w:val="000000"/>
                <w:szCs w:val="21"/>
              </w:rPr>
              <w:t>发起份额承诺持有期限</w:t>
            </w:r>
            <w:r>
              <w:rPr>
                <w:rFonts w:ascii="宋体" w:hAnsi="宋体" w:hint="eastAsia"/>
                <w:color w:val="000000"/>
              </w:rPr>
              <w:t xml:space="preserve"> </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pPr>
            <w:r>
              <w:rPr>
                <w:rFonts w:hint="eastAsia"/>
                <w:color w:val="000000"/>
                <w:szCs w:val="21"/>
              </w:rPr>
              <w:t>基金管理人</w:t>
            </w:r>
            <w:proofErr w:type="gramStart"/>
            <w:r>
              <w:rPr>
                <w:rFonts w:hint="eastAsia"/>
                <w:color w:val="000000"/>
                <w:szCs w:val="21"/>
              </w:rPr>
              <w:t>固有资金</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0.73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0.73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3年</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jc w:val="left"/>
            </w:pPr>
            <w:r>
              <w:rPr>
                <w:rFonts w:hint="eastAsia"/>
                <w:color w:val="000000"/>
                <w:szCs w:val="21"/>
              </w:rPr>
              <w:t>基金管理</w:t>
            </w:r>
            <w:proofErr w:type="gramStart"/>
            <w:r>
              <w:rPr>
                <w:rFonts w:hint="eastAsia"/>
                <w:color w:val="000000"/>
                <w:szCs w:val="21"/>
              </w:rPr>
              <w:t>人股东</w:t>
            </w:r>
            <w:proofErr w:type="gramEnd"/>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w:t>
            </w:r>
          </w:p>
        </w:tc>
      </w:tr>
      <w:tr w:rsidR="00E05884">
        <w:trPr>
          <w:divId w:val="1765614372"/>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0.73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10,001,111.19</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0.73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E05884" w:rsidRDefault="000B7AD6">
            <w:pPr>
              <w:widowControl/>
              <w:jc w:val="right"/>
            </w:pPr>
            <w:r>
              <w:rPr>
                <w:rFonts w:ascii="宋体" w:hAnsi="宋体" w:hint="eastAsia"/>
                <w:color w:val="000000"/>
                <w:szCs w:val="21"/>
              </w:rPr>
              <w:t>3年</w:t>
            </w:r>
          </w:p>
        </w:tc>
      </w:tr>
    </w:tbl>
    <w:p w:rsidR="00E05884" w:rsidRDefault="000B7AD6">
      <w:pPr>
        <w:pStyle w:val="XBRLTitle1"/>
        <w:spacing w:before="156" w:line="360" w:lineRule="auto"/>
        <w:ind w:left="425"/>
      </w:pPr>
      <w:bookmarkStart w:id="325" w:name="_Toc512519526"/>
      <w:bookmarkStart w:id="326" w:name="_Toc490050046"/>
      <w:bookmarkStart w:id="327" w:name="_Toc481075094"/>
      <w:bookmarkStart w:id="328" w:name="_Toc479856294"/>
      <w:bookmarkStart w:id="329" w:name="_Toc514178710"/>
      <w:bookmarkStart w:id="330" w:name="m701"/>
      <w:proofErr w:type="spellStart"/>
      <w:r>
        <w:rPr>
          <w:rFonts w:hint="eastAsia"/>
        </w:rPr>
        <w:t>影响投资者决策的其他重要信息</w:t>
      </w:r>
      <w:bookmarkEnd w:id="325"/>
      <w:bookmarkEnd w:id="326"/>
      <w:bookmarkEnd w:id="327"/>
      <w:bookmarkEnd w:id="328"/>
      <w:bookmarkEnd w:id="329"/>
      <w:proofErr w:type="spellEnd"/>
      <w:r>
        <w:rPr>
          <w:rFonts w:hint="eastAsia"/>
          <w:lang w:eastAsia="zh-CN"/>
        </w:rPr>
        <w:t xml:space="preserve"> </w:t>
      </w:r>
    </w:p>
    <w:p w:rsidR="00E05884" w:rsidRDefault="000B7AD6">
      <w:pPr>
        <w:pStyle w:val="XBRLTitle2"/>
        <w:spacing w:before="156" w:line="360" w:lineRule="auto"/>
        <w:ind w:left="454"/>
      </w:pPr>
      <w:bookmarkStart w:id="331" w:name="_Toc512519527"/>
      <w:bookmarkStart w:id="332" w:name="_Toc481075095"/>
      <w:bookmarkStart w:id="333" w:name="_Toc490050047"/>
      <w:bookmarkStart w:id="334" w:name="_Toc514178711"/>
      <w:r>
        <w:rPr>
          <w:rFonts w:hint="eastAsia"/>
          <w:kern w:val="0"/>
        </w:rPr>
        <w:t>报告期内单一投资者持有基金份额比例达到或超过20%的情况</w:t>
      </w:r>
      <w:bookmarkEnd w:id="331"/>
      <w:bookmarkEnd w:id="332"/>
      <w:bookmarkEnd w:id="333"/>
      <w:bookmarkEnd w:id="334"/>
      <w:r>
        <w:rPr>
          <w:rFonts w:hint="eastAsia"/>
          <w:kern w:val="0"/>
          <w:lang w:eastAsia="zh-CN"/>
        </w:rPr>
        <w:t xml:space="preserve"> </w:t>
      </w:r>
    </w:p>
    <w:bookmarkEnd w:id="19"/>
    <w:bookmarkEnd w:id="33"/>
    <w:bookmarkEnd w:id="34"/>
    <w:p w:rsidR="00E05884" w:rsidRDefault="000B7AD6">
      <w:pPr>
        <w:spacing w:line="360" w:lineRule="auto"/>
        <w:ind w:firstLineChars="200" w:firstLine="420"/>
        <w:rPr>
          <w:rFonts w:ascii="宋体" w:hAnsi="宋体"/>
          <w:szCs w:val="21"/>
          <w:lang w:eastAsia="zh-Hans"/>
        </w:rPr>
      </w:pPr>
      <w:r>
        <w:rPr>
          <w:rFonts w:ascii="宋体" w:hAnsi="宋体" w:hint="eastAsia"/>
          <w:szCs w:val="21"/>
          <w:lang w:eastAsia="zh-Hans"/>
        </w:rPr>
        <w:t>无。</w:t>
      </w:r>
    </w:p>
    <w:p w:rsidR="00E05884" w:rsidRDefault="000B7AD6">
      <w:pPr>
        <w:pStyle w:val="XBRLTitle1"/>
        <w:spacing w:before="156" w:line="360" w:lineRule="auto"/>
        <w:ind w:left="425"/>
      </w:pPr>
      <w:bookmarkStart w:id="335" w:name="_Toc512519529"/>
      <w:bookmarkStart w:id="336" w:name="_Toc490050049"/>
      <w:bookmarkStart w:id="337" w:name="_Toc481075097"/>
      <w:bookmarkStart w:id="338" w:name="_Toc438646481"/>
      <w:bookmarkStart w:id="339" w:name="_Toc514178713"/>
      <w:bookmarkEnd w:id="330"/>
      <w:proofErr w:type="spellStart"/>
      <w:r>
        <w:rPr>
          <w:rFonts w:hint="eastAsia"/>
        </w:rPr>
        <w:t>备查文件目录</w:t>
      </w:r>
      <w:bookmarkEnd w:id="335"/>
      <w:bookmarkEnd w:id="336"/>
      <w:bookmarkEnd w:id="337"/>
      <w:bookmarkEnd w:id="338"/>
      <w:bookmarkEnd w:id="339"/>
      <w:proofErr w:type="spellEnd"/>
      <w:r>
        <w:rPr>
          <w:rFonts w:hint="eastAsia"/>
        </w:rPr>
        <w:t xml:space="preserve"> </w:t>
      </w:r>
    </w:p>
    <w:p w:rsidR="00E05884" w:rsidRDefault="000B7AD6">
      <w:pPr>
        <w:pStyle w:val="XBRLTitle2"/>
        <w:spacing w:before="156" w:line="360" w:lineRule="auto"/>
        <w:ind w:left="454"/>
      </w:pPr>
      <w:bookmarkStart w:id="340" w:name="_Toc438646482"/>
      <w:bookmarkStart w:id="341" w:name="_Toc512519530"/>
      <w:bookmarkStart w:id="342" w:name="_Toc481075098"/>
      <w:bookmarkStart w:id="343" w:name="_Toc490050050"/>
      <w:bookmarkStart w:id="344" w:name="_Toc514178714"/>
      <w:bookmarkStart w:id="345" w:name="m801_01_1733"/>
      <w:proofErr w:type="spellStart"/>
      <w:r>
        <w:rPr>
          <w:rFonts w:hint="eastAsia"/>
        </w:rPr>
        <w:lastRenderedPageBreak/>
        <w:t>备查文件目录</w:t>
      </w:r>
      <w:bookmarkEnd w:id="340"/>
      <w:bookmarkEnd w:id="341"/>
      <w:bookmarkEnd w:id="342"/>
      <w:bookmarkEnd w:id="343"/>
      <w:bookmarkEnd w:id="344"/>
      <w:proofErr w:type="spellEnd"/>
      <w:r>
        <w:rPr>
          <w:rFonts w:hint="eastAsia"/>
        </w:rPr>
        <w:t xml:space="preserve"> </w:t>
      </w:r>
    </w:p>
    <w:p w:rsidR="00E05884" w:rsidRDefault="000B7AD6">
      <w:pPr>
        <w:spacing w:line="360" w:lineRule="auto"/>
        <w:ind w:firstLineChars="200" w:firstLine="420"/>
        <w:jc w:val="left"/>
      </w:pPr>
      <w:r>
        <w:rPr>
          <w:rFonts w:ascii="宋体" w:hAnsi="宋体" w:cs="宋体" w:hint="eastAsia"/>
          <w:color w:val="000000"/>
          <w:kern w:val="0"/>
        </w:rPr>
        <w:t>(</w:t>
      </w:r>
      <w:proofErr w:type="gramStart"/>
      <w:r>
        <w:rPr>
          <w:rFonts w:ascii="宋体" w:hAnsi="宋体" w:cs="宋体" w:hint="eastAsia"/>
          <w:color w:val="000000"/>
          <w:kern w:val="0"/>
        </w:rPr>
        <w:t>一</w:t>
      </w:r>
      <w:proofErr w:type="gramEnd"/>
      <w:r>
        <w:rPr>
          <w:rFonts w:ascii="宋体" w:hAnsi="宋体" w:cs="宋体" w:hint="eastAsia"/>
          <w:color w:val="000000"/>
          <w:kern w:val="0"/>
        </w:rPr>
        <w:t>)中国证监会准予本基金募集注册的文件</w:t>
      </w:r>
      <w:r>
        <w:rPr>
          <w:rFonts w:ascii="宋体" w:hAnsi="宋体" w:cs="宋体" w:hint="eastAsia"/>
          <w:color w:val="000000"/>
          <w:kern w:val="0"/>
        </w:rPr>
        <w:br/>
        <w:t xml:space="preserve">　　(二)</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500指数型发起式证券投资基金(QDII)基金合同</w:t>
      </w:r>
      <w:r>
        <w:rPr>
          <w:rFonts w:ascii="宋体" w:hAnsi="宋体" w:cs="宋体" w:hint="eastAsia"/>
          <w:color w:val="000000"/>
          <w:kern w:val="0"/>
        </w:rPr>
        <w:br/>
        <w:t xml:space="preserve">　　(三)</w:t>
      </w:r>
      <w:proofErr w:type="gramStart"/>
      <w:r>
        <w:rPr>
          <w:rFonts w:ascii="宋体" w:hAnsi="宋体" w:cs="宋体" w:hint="eastAsia"/>
          <w:color w:val="000000"/>
          <w:kern w:val="0"/>
        </w:rPr>
        <w:t>摩根标普</w:t>
      </w:r>
      <w:proofErr w:type="gramEnd"/>
      <w:r>
        <w:rPr>
          <w:rFonts w:ascii="宋体" w:hAnsi="宋体" w:cs="宋体" w:hint="eastAsia"/>
          <w:color w:val="000000"/>
          <w:kern w:val="0"/>
        </w:rPr>
        <w:t>500指数型发起式证券投资基金(QDII)托管协议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rsidR="00E05884" w:rsidRDefault="000B7AD6">
      <w:pPr>
        <w:pStyle w:val="XBRLTitle2"/>
        <w:spacing w:before="156" w:line="360" w:lineRule="auto"/>
        <w:ind w:left="454"/>
      </w:pPr>
      <w:bookmarkStart w:id="346" w:name="_Toc438646483"/>
      <w:bookmarkStart w:id="347" w:name="_Toc512519531"/>
      <w:bookmarkStart w:id="348" w:name="_Toc481075099"/>
      <w:bookmarkStart w:id="349" w:name="_Toc490050051"/>
      <w:bookmarkStart w:id="350" w:name="_Toc514178715"/>
      <w:bookmarkStart w:id="351" w:name="m801_01_1734"/>
      <w:bookmarkEnd w:id="345"/>
      <w:proofErr w:type="spellStart"/>
      <w:r>
        <w:rPr>
          <w:rFonts w:hint="eastAsia"/>
        </w:rPr>
        <w:t>存放地点</w:t>
      </w:r>
      <w:bookmarkEnd w:id="346"/>
      <w:bookmarkEnd w:id="347"/>
      <w:bookmarkEnd w:id="348"/>
      <w:bookmarkEnd w:id="349"/>
      <w:bookmarkEnd w:id="350"/>
      <w:proofErr w:type="spellEnd"/>
      <w:r>
        <w:rPr>
          <w:rFonts w:hint="eastAsia"/>
        </w:rPr>
        <w:t xml:space="preserve"> </w:t>
      </w:r>
    </w:p>
    <w:p w:rsidR="00E05884" w:rsidRDefault="000B7AD6">
      <w:pPr>
        <w:spacing w:line="360" w:lineRule="auto"/>
        <w:ind w:firstLineChars="200" w:firstLine="420"/>
        <w:jc w:val="left"/>
      </w:pPr>
      <w:r>
        <w:rPr>
          <w:rFonts w:ascii="宋体" w:hAnsi="宋体" w:cs="宋体" w:hint="eastAsia"/>
          <w:color w:val="000000"/>
          <w:kern w:val="0"/>
        </w:rPr>
        <w:t>基金管理人或基金托管人住所。</w:t>
      </w:r>
    </w:p>
    <w:p w:rsidR="00E05884" w:rsidRDefault="000B7AD6">
      <w:pPr>
        <w:pStyle w:val="XBRLTitle2"/>
        <w:spacing w:before="156" w:line="360" w:lineRule="auto"/>
        <w:ind w:left="454"/>
      </w:pPr>
      <w:bookmarkStart w:id="352" w:name="_Toc438646484"/>
      <w:bookmarkStart w:id="353" w:name="_Toc512519532"/>
      <w:bookmarkStart w:id="354" w:name="_Toc481075100"/>
      <w:bookmarkStart w:id="355" w:name="_Toc490050052"/>
      <w:bookmarkStart w:id="356" w:name="_Toc514178716"/>
      <w:bookmarkStart w:id="357" w:name="m801_01_1735"/>
      <w:bookmarkEnd w:id="351"/>
      <w:proofErr w:type="spellStart"/>
      <w:r>
        <w:rPr>
          <w:rFonts w:hint="eastAsia"/>
        </w:rPr>
        <w:t>查阅方式</w:t>
      </w:r>
      <w:bookmarkEnd w:id="352"/>
      <w:bookmarkEnd w:id="353"/>
      <w:bookmarkEnd w:id="354"/>
      <w:bookmarkEnd w:id="355"/>
      <w:bookmarkEnd w:id="356"/>
      <w:proofErr w:type="spellEnd"/>
      <w:r>
        <w:rPr>
          <w:rFonts w:hint="eastAsia"/>
        </w:rPr>
        <w:t xml:space="preserve"> </w:t>
      </w:r>
    </w:p>
    <w:p w:rsidR="00E05884" w:rsidRDefault="000B7AD6">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57"/>
    <w:p w:rsidR="00E05884" w:rsidRDefault="000B7AD6">
      <w:pPr>
        <w:spacing w:line="360" w:lineRule="auto"/>
        <w:ind w:firstLineChars="600" w:firstLine="1687"/>
        <w:jc w:val="left"/>
      </w:pPr>
      <w:r>
        <w:rPr>
          <w:rFonts w:ascii="宋体" w:hAnsi="宋体" w:hint="eastAsia"/>
          <w:b/>
          <w:bCs/>
          <w:sz w:val="28"/>
          <w:szCs w:val="30"/>
        </w:rPr>
        <w:t xml:space="preserve">　 </w:t>
      </w:r>
    </w:p>
    <w:p w:rsidR="00E05884" w:rsidRDefault="000B7AD6">
      <w:pPr>
        <w:spacing w:line="360" w:lineRule="auto"/>
        <w:ind w:firstLineChars="600" w:firstLine="1687"/>
        <w:jc w:val="left"/>
      </w:pPr>
      <w:r>
        <w:rPr>
          <w:rFonts w:ascii="宋体" w:hAnsi="宋体" w:hint="eastAsia"/>
          <w:b/>
          <w:bCs/>
          <w:sz w:val="28"/>
          <w:szCs w:val="30"/>
        </w:rPr>
        <w:t xml:space="preserve">　 </w:t>
      </w:r>
    </w:p>
    <w:p w:rsidR="00E05884" w:rsidRDefault="000B7AD6">
      <w:pPr>
        <w:spacing w:line="360" w:lineRule="auto"/>
        <w:ind w:firstLineChars="600" w:firstLine="1446"/>
        <w:jc w:val="right"/>
      </w:pPr>
      <w:r>
        <w:rPr>
          <w:rFonts w:ascii="宋体" w:hAnsi="宋体" w:hint="eastAsia"/>
          <w:b/>
          <w:bCs/>
          <w:sz w:val="24"/>
          <w:szCs w:val="24"/>
        </w:rPr>
        <w:t>摩根基金管理（中国）有限公司</w:t>
      </w:r>
    </w:p>
    <w:p w:rsidR="00E05884" w:rsidRDefault="000B7AD6">
      <w:pPr>
        <w:spacing w:line="360" w:lineRule="auto"/>
        <w:ind w:firstLineChars="600" w:firstLine="1446"/>
        <w:jc w:val="right"/>
      </w:pPr>
      <w:r>
        <w:rPr>
          <w:rFonts w:ascii="宋体" w:hAnsi="宋体" w:hint="eastAsia"/>
          <w:b/>
          <w:bCs/>
          <w:sz w:val="24"/>
          <w:szCs w:val="24"/>
        </w:rPr>
        <w:t>2025年4月22日</w:t>
      </w:r>
      <w:bookmarkEnd w:id="20"/>
    </w:p>
    <w:sectPr w:rsidR="00E05884">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884" w:rsidRDefault="000B7AD6">
      <w:pPr>
        <w:rPr>
          <w:szCs w:val="21"/>
        </w:rPr>
      </w:pPr>
      <w:r>
        <w:rPr>
          <w:szCs w:val="21"/>
        </w:rPr>
        <w:separator/>
      </w:r>
      <w:r>
        <w:rPr>
          <w:szCs w:val="21"/>
        </w:rPr>
        <w:t xml:space="preserve"> </w:t>
      </w:r>
    </w:p>
  </w:endnote>
  <w:endnote w:type="continuationSeparator" w:id="0">
    <w:p w:rsidR="00E05884" w:rsidRDefault="000B7AD6">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84" w:rsidRDefault="000B7AD6">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D31918">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D31918">
      <w:rPr>
        <w:rFonts w:ascii="宋体" w:hAnsi="宋体"/>
        <w:noProof/>
        <w:sz w:val="18"/>
        <w:szCs w:val="18"/>
      </w:rPr>
      <w:t>14</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884" w:rsidRDefault="000B7AD6">
      <w:pPr>
        <w:rPr>
          <w:szCs w:val="21"/>
        </w:rPr>
      </w:pPr>
      <w:r>
        <w:rPr>
          <w:szCs w:val="21"/>
        </w:rPr>
        <w:separator/>
      </w:r>
      <w:r>
        <w:rPr>
          <w:szCs w:val="21"/>
        </w:rPr>
        <w:t xml:space="preserve"> </w:t>
      </w:r>
    </w:p>
  </w:footnote>
  <w:footnote w:type="continuationSeparator" w:id="0">
    <w:p w:rsidR="00E05884" w:rsidRDefault="000B7AD6">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884" w:rsidRDefault="000B7AD6">
    <w:pPr>
      <w:pStyle w:val="a8"/>
      <w:jc w:val="right"/>
    </w:pPr>
    <w:proofErr w:type="gramStart"/>
    <w:r>
      <w:rPr>
        <w:rFonts w:ascii="宋体" w:hAnsi="宋体" w:hint="eastAsia"/>
      </w:rPr>
      <w:t>摩根标普</w:t>
    </w:r>
    <w:proofErr w:type="gramEnd"/>
    <w:r>
      <w:rPr>
        <w:rFonts w:ascii="宋体" w:hAnsi="宋体" w:hint="eastAsia"/>
      </w:rPr>
      <w:t>500指数型发起式证券投资基金(QDII)2025年第1季度报告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F34B85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1078" w:hanging="794"/>
      </w:pPr>
      <w:rPr>
        <w:sz w:val="24"/>
        <w:szCs w:val="24"/>
      </w:r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379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AD6"/>
    <w:rsid w:val="000B7AD6"/>
    <w:rsid w:val="00D31918"/>
    <w:rsid w:val="00E05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DF7AA0A4-FE9F-4DA3-892E-28E18CA5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宋体" w:hAnsi="宋体"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宋体" w:hAnsi="宋体"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eastAsia"/>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eastAsia"/>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42">
    <w:name w:val="toc 4"/>
    <w:basedOn w:val="a"/>
    <w:next w:val="a"/>
    <w:autoRedefine/>
    <w:uiPriority w:val="39"/>
    <w:semiHidden/>
    <w:unhideWhenUsed/>
    <w:pPr>
      <w:ind w:leftChars="600" w:left="1260"/>
    </w:pPr>
  </w:style>
  <w:style w:type="paragraph" w:styleId="a6">
    <w:name w:val="footnote text"/>
    <w:basedOn w:val="a"/>
    <w:link w:val="13"/>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3"/>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4"/>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5"/>
    <w:uiPriority w:val="10"/>
    <w:qFormat/>
    <w:pPr>
      <w:keepNext w:val="0"/>
      <w:keepLines w:val="0"/>
      <w:spacing w:before="240" w:after="60" w:line="240" w:lineRule="auto"/>
      <w:jc w:val="center"/>
    </w:pPr>
    <w:rPr>
      <w:rFonts w:ascii="宋体" w:hAnsi="宋体"/>
      <w:kern w:val="0"/>
      <w:sz w:val="32"/>
      <w:szCs w:val="32"/>
    </w:rPr>
  </w:style>
  <w:style w:type="character" w:customStyle="1" w:styleId="ad">
    <w:name w:val="标题 字符"/>
    <w:basedOn w:val="a0"/>
    <w:uiPriority w:val="10"/>
    <w:locked/>
    <w:rPr>
      <w:rFonts w:asciiTheme="majorHAnsi" w:eastAsiaTheme="majorEastAsia" w:hAnsiTheme="majorHAnsi" w:cstheme="majorBidi" w:hint="eastAsia"/>
      <w:b/>
      <w:bCs/>
      <w:kern w:val="2"/>
      <w:sz w:val="32"/>
      <w:szCs w:val="32"/>
    </w:rPr>
  </w:style>
  <w:style w:type="paragraph" w:styleId="ae">
    <w:name w:val="Subtitle"/>
    <w:basedOn w:val="2"/>
    <w:next w:val="3"/>
    <w:link w:val="16"/>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7"/>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8"/>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9"/>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宋体" w:hAnsi="宋体"/>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宋体"/>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宋体" w:hAnsi="宋体"/>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keepNext w:val="0"/>
      <w:keepLines w:val="0"/>
      <w:numPr>
        <w:ilvl w:val="3"/>
        <w:numId w:val="2"/>
      </w:numPr>
      <w:spacing w:beforeLines="50" w:before="0" w:after="0" w:line="240" w:lineRule="auto"/>
      <w:ind w:firstLine="0"/>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kinsoku w:val="0"/>
      <w:overflowPunct w:val="0"/>
      <w:adjustRightInd w:val="0"/>
      <w:snapToGrid w:val="0"/>
      <w:spacing w:beforeLines="50" w:before="0" w:after="0" w:line="360" w:lineRule="auto"/>
      <w:ind w:firstLine="0"/>
      <w:outlineLvl w:val="9"/>
    </w:pPr>
    <w:rPr>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eastAsia"/>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eastAsia"/>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eastAsia"/>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eastAsia="宋体" w:hAnsiTheme="majorHAnsi" w:cstheme="majorBidi" w:hint="eastAsia"/>
      <w:b/>
      <w:bCs/>
      <w:kern w:val="2"/>
      <w:sz w:val="32"/>
      <w:szCs w:val="32"/>
    </w:rPr>
  </w:style>
  <w:style w:type="character" w:customStyle="1" w:styleId="Char4">
    <w:name w:val="副标题 Char"/>
    <w:basedOn w:val="a0"/>
    <w:locked/>
    <w:rPr>
      <w:rFonts w:asciiTheme="majorHAnsi" w:eastAsia="宋体" w:hAnsiTheme="majorHAnsi" w:cstheme="majorBidi" w:hint="eastAsia"/>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宋体" w:eastAsia="宋体" w:hAnsi="宋体" w:cs="Times New Roman" w:hint="eastAsia"/>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宋体" w:eastAsia="宋体" w:hAnsi="宋体" w:cs="Times New Roman" w:hint="eastAsia"/>
      <w:b/>
      <w:bCs/>
      <w:sz w:val="28"/>
      <w:szCs w:val="28"/>
    </w:rPr>
  </w:style>
  <w:style w:type="character" w:customStyle="1" w:styleId="13">
    <w:name w:val="脚注文本 字符1"/>
    <w:basedOn w:val="a0"/>
    <w:link w:val="a6"/>
    <w:locked/>
    <w:rPr>
      <w:kern w:val="2"/>
      <w:sz w:val="18"/>
      <w:szCs w:val="18"/>
    </w:rPr>
  </w:style>
  <w:style w:type="character" w:customStyle="1" w:styleId="23">
    <w:name w:val="页眉 字符2"/>
    <w:basedOn w:val="a0"/>
    <w:link w:val="a8"/>
    <w:locked/>
    <w:rPr>
      <w:kern w:val="2"/>
      <w:sz w:val="18"/>
      <w:szCs w:val="18"/>
    </w:rPr>
  </w:style>
  <w:style w:type="character" w:customStyle="1" w:styleId="14">
    <w:name w:val="页脚 字符1"/>
    <w:basedOn w:val="a0"/>
    <w:link w:val="aa"/>
    <w:uiPriority w:val="99"/>
    <w:locked/>
    <w:rPr>
      <w:kern w:val="2"/>
      <w:sz w:val="18"/>
      <w:szCs w:val="18"/>
    </w:rPr>
  </w:style>
  <w:style w:type="character" w:customStyle="1" w:styleId="15">
    <w:name w:val="标题 字符1"/>
    <w:link w:val="ac"/>
    <w:uiPriority w:val="10"/>
    <w:locked/>
    <w:rPr>
      <w:rFonts w:ascii="宋体" w:eastAsia="宋体" w:hAnsi="宋体" w:cs="Times New Roman" w:hint="eastAsia"/>
      <w:b/>
      <w:bCs/>
      <w:sz w:val="32"/>
      <w:szCs w:val="32"/>
    </w:rPr>
  </w:style>
  <w:style w:type="character" w:customStyle="1" w:styleId="16">
    <w:name w:val="副标题 字符1"/>
    <w:link w:val="ae"/>
    <w:locked/>
    <w:rPr>
      <w:rFonts w:ascii="宋体" w:eastAsia="宋体" w:hAnsi="宋体" w:cs="Times New Roman" w:hint="eastAsia"/>
      <w:b/>
      <w:bCs w:val="0"/>
      <w:kern w:val="28"/>
      <w:sz w:val="24"/>
      <w:szCs w:val="32"/>
    </w:rPr>
  </w:style>
  <w:style w:type="character" w:customStyle="1" w:styleId="17">
    <w:name w:val="日期 字符1"/>
    <w:link w:val="af0"/>
    <w:locked/>
    <w:rPr>
      <w:rFonts w:ascii="宋体" w:eastAsia="宋体" w:hAnsi="宋体" w:hint="eastAsia"/>
      <w:kern w:val="2"/>
      <w:sz w:val="32"/>
    </w:rPr>
  </w:style>
  <w:style w:type="character" w:customStyle="1" w:styleId="18">
    <w:name w:val="文档结构图 字符1"/>
    <w:basedOn w:val="a0"/>
    <w:link w:val="af2"/>
    <w:locked/>
    <w:rPr>
      <w:rFonts w:ascii="宋体" w:eastAsia="宋体" w:hAnsi="宋体" w:hint="eastAsia"/>
      <w:kern w:val="2"/>
      <w:sz w:val="18"/>
      <w:szCs w:val="18"/>
    </w:rPr>
  </w:style>
  <w:style w:type="character" w:customStyle="1" w:styleId="19">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eastAsia"/>
      <w:b/>
      <w:bCs/>
      <w:kern w:val="2"/>
      <w:sz w:val="24"/>
      <w:szCs w:val="24"/>
    </w:rPr>
  </w:style>
  <w:style w:type="character" w:customStyle="1" w:styleId="1a">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97">
      <w:marLeft w:val="0"/>
      <w:marRight w:val="0"/>
      <w:marTop w:val="0"/>
      <w:marBottom w:val="0"/>
      <w:divBdr>
        <w:top w:val="none" w:sz="0" w:space="0" w:color="auto"/>
        <w:left w:val="none" w:sz="0" w:space="0" w:color="auto"/>
        <w:bottom w:val="none" w:sz="0" w:space="0" w:color="auto"/>
        <w:right w:val="none" w:sz="0" w:space="0" w:color="auto"/>
      </w:divBdr>
    </w:div>
    <w:div w:id="118106835">
      <w:marLeft w:val="0"/>
      <w:marRight w:val="0"/>
      <w:marTop w:val="0"/>
      <w:marBottom w:val="0"/>
      <w:divBdr>
        <w:top w:val="none" w:sz="0" w:space="0" w:color="auto"/>
        <w:left w:val="none" w:sz="0" w:space="0" w:color="auto"/>
        <w:bottom w:val="none" w:sz="0" w:space="0" w:color="auto"/>
        <w:right w:val="none" w:sz="0" w:space="0" w:color="auto"/>
      </w:divBdr>
      <w:divsChild>
        <w:div w:id="758872683">
          <w:marLeft w:val="0"/>
          <w:marRight w:val="0"/>
          <w:marTop w:val="0"/>
          <w:marBottom w:val="0"/>
          <w:divBdr>
            <w:top w:val="none" w:sz="0" w:space="0" w:color="auto"/>
            <w:left w:val="none" w:sz="0" w:space="0" w:color="auto"/>
            <w:bottom w:val="none" w:sz="0" w:space="0" w:color="auto"/>
            <w:right w:val="none" w:sz="0" w:space="0" w:color="auto"/>
          </w:divBdr>
          <w:divsChild>
            <w:div w:id="4502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401">
      <w:marLeft w:val="0"/>
      <w:marRight w:val="0"/>
      <w:marTop w:val="0"/>
      <w:marBottom w:val="0"/>
      <w:divBdr>
        <w:top w:val="none" w:sz="0" w:space="0" w:color="auto"/>
        <w:left w:val="none" w:sz="0" w:space="0" w:color="auto"/>
        <w:bottom w:val="none" w:sz="0" w:space="0" w:color="auto"/>
        <w:right w:val="none" w:sz="0" w:space="0" w:color="auto"/>
      </w:divBdr>
    </w:div>
    <w:div w:id="134104492">
      <w:marLeft w:val="0"/>
      <w:marRight w:val="0"/>
      <w:marTop w:val="0"/>
      <w:marBottom w:val="0"/>
      <w:divBdr>
        <w:top w:val="none" w:sz="0" w:space="0" w:color="auto"/>
        <w:left w:val="none" w:sz="0" w:space="0" w:color="auto"/>
        <w:bottom w:val="none" w:sz="0" w:space="0" w:color="auto"/>
        <w:right w:val="none" w:sz="0" w:space="0" w:color="auto"/>
      </w:divBdr>
    </w:div>
    <w:div w:id="216472955">
      <w:marLeft w:val="0"/>
      <w:marRight w:val="0"/>
      <w:marTop w:val="0"/>
      <w:marBottom w:val="0"/>
      <w:divBdr>
        <w:top w:val="none" w:sz="0" w:space="0" w:color="auto"/>
        <w:left w:val="none" w:sz="0" w:space="0" w:color="auto"/>
        <w:bottom w:val="none" w:sz="0" w:space="0" w:color="auto"/>
        <w:right w:val="none" w:sz="0" w:space="0" w:color="auto"/>
      </w:divBdr>
    </w:div>
    <w:div w:id="218327856">
      <w:marLeft w:val="0"/>
      <w:marRight w:val="0"/>
      <w:marTop w:val="0"/>
      <w:marBottom w:val="0"/>
      <w:divBdr>
        <w:top w:val="none" w:sz="0" w:space="0" w:color="auto"/>
        <w:left w:val="none" w:sz="0" w:space="0" w:color="auto"/>
        <w:bottom w:val="none" w:sz="0" w:space="0" w:color="auto"/>
        <w:right w:val="none" w:sz="0" w:space="0" w:color="auto"/>
      </w:divBdr>
    </w:div>
    <w:div w:id="262690787">
      <w:marLeft w:val="0"/>
      <w:marRight w:val="0"/>
      <w:marTop w:val="0"/>
      <w:marBottom w:val="0"/>
      <w:divBdr>
        <w:top w:val="none" w:sz="0" w:space="0" w:color="auto"/>
        <w:left w:val="none" w:sz="0" w:space="0" w:color="auto"/>
        <w:bottom w:val="none" w:sz="0" w:space="0" w:color="auto"/>
        <w:right w:val="none" w:sz="0" w:space="0" w:color="auto"/>
      </w:divBdr>
    </w:div>
    <w:div w:id="325398924">
      <w:marLeft w:val="0"/>
      <w:marRight w:val="0"/>
      <w:marTop w:val="0"/>
      <w:marBottom w:val="0"/>
      <w:divBdr>
        <w:top w:val="none" w:sz="0" w:space="0" w:color="auto"/>
        <w:left w:val="none" w:sz="0" w:space="0" w:color="auto"/>
        <w:bottom w:val="none" w:sz="0" w:space="0" w:color="auto"/>
        <w:right w:val="none" w:sz="0" w:space="0" w:color="auto"/>
      </w:divBdr>
    </w:div>
    <w:div w:id="354119276">
      <w:marLeft w:val="0"/>
      <w:marRight w:val="0"/>
      <w:marTop w:val="0"/>
      <w:marBottom w:val="0"/>
      <w:divBdr>
        <w:top w:val="none" w:sz="0" w:space="0" w:color="auto"/>
        <w:left w:val="none" w:sz="0" w:space="0" w:color="auto"/>
        <w:bottom w:val="none" w:sz="0" w:space="0" w:color="auto"/>
        <w:right w:val="none" w:sz="0" w:space="0" w:color="auto"/>
      </w:divBdr>
      <w:divsChild>
        <w:div w:id="753822027">
          <w:marLeft w:val="0"/>
          <w:marRight w:val="0"/>
          <w:marTop w:val="0"/>
          <w:marBottom w:val="0"/>
          <w:divBdr>
            <w:top w:val="none" w:sz="0" w:space="0" w:color="auto"/>
            <w:left w:val="none" w:sz="0" w:space="0" w:color="auto"/>
            <w:bottom w:val="none" w:sz="0" w:space="0" w:color="auto"/>
            <w:right w:val="none" w:sz="0" w:space="0" w:color="auto"/>
          </w:divBdr>
        </w:div>
      </w:divsChild>
    </w:div>
    <w:div w:id="670838941">
      <w:marLeft w:val="0"/>
      <w:marRight w:val="0"/>
      <w:marTop w:val="0"/>
      <w:marBottom w:val="0"/>
      <w:divBdr>
        <w:top w:val="none" w:sz="0" w:space="0" w:color="auto"/>
        <w:left w:val="none" w:sz="0" w:space="0" w:color="auto"/>
        <w:bottom w:val="none" w:sz="0" w:space="0" w:color="auto"/>
        <w:right w:val="none" w:sz="0" w:space="0" w:color="auto"/>
      </w:divBdr>
    </w:div>
    <w:div w:id="979968204">
      <w:marLeft w:val="0"/>
      <w:marRight w:val="0"/>
      <w:marTop w:val="0"/>
      <w:marBottom w:val="0"/>
      <w:divBdr>
        <w:top w:val="none" w:sz="0" w:space="0" w:color="auto"/>
        <w:left w:val="none" w:sz="0" w:space="0" w:color="auto"/>
        <w:bottom w:val="none" w:sz="0" w:space="0" w:color="auto"/>
        <w:right w:val="none" w:sz="0" w:space="0" w:color="auto"/>
      </w:divBdr>
      <w:divsChild>
        <w:div w:id="1790970385">
          <w:marLeft w:val="0"/>
          <w:marRight w:val="0"/>
          <w:marTop w:val="0"/>
          <w:marBottom w:val="0"/>
          <w:divBdr>
            <w:top w:val="none" w:sz="0" w:space="0" w:color="auto"/>
            <w:left w:val="none" w:sz="0" w:space="0" w:color="auto"/>
            <w:bottom w:val="none" w:sz="0" w:space="0" w:color="auto"/>
            <w:right w:val="none" w:sz="0" w:space="0" w:color="auto"/>
          </w:divBdr>
        </w:div>
      </w:divsChild>
    </w:div>
    <w:div w:id="1040206572">
      <w:marLeft w:val="0"/>
      <w:marRight w:val="0"/>
      <w:marTop w:val="0"/>
      <w:marBottom w:val="0"/>
      <w:divBdr>
        <w:top w:val="none" w:sz="0" w:space="0" w:color="auto"/>
        <w:left w:val="none" w:sz="0" w:space="0" w:color="auto"/>
        <w:bottom w:val="none" w:sz="0" w:space="0" w:color="auto"/>
        <w:right w:val="none" w:sz="0" w:space="0" w:color="auto"/>
      </w:divBdr>
    </w:div>
    <w:div w:id="1051926458">
      <w:marLeft w:val="0"/>
      <w:marRight w:val="0"/>
      <w:marTop w:val="0"/>
      <w:marBottom w:val="0"/>
      <w:divBdr>
        <w:top w:val="none" w:sz="0" w:space="0" w:color="auto"/>
        <w:left w:val="none" w:sz="0" w:space="0" w:color="auto"/>
        <w:bottom w:val="none" w:sz="0" w:space="0" w:color="auto"/>
        <w:right w:val="none" w:sz="0" w:space="0" w:color="auto"/>
      </w:divBdr>
    </w:div>
    <w:div w:id="1348369097">
      <w:marLeft w:val="0"/>
      <w:marRight w:val="0"/>
      <w:marTop w:val="0"/>
      <w:marBottom w:val="0"/>
      <w:divBdr>
        <w:top w:val="none" w:sz="0" w:space="0" w:color="auto"/>
        <w:left w:val="none" w:sz="0" w:space="0" w:color="auto"/>
        <w:bottom w:val="none" w:sz="0" w:space="0" w:color="auto"/>
        <w:right w:val="none" w:sz="0" w:space="0" w:color="auto"/>
      </w:divBdr>
    </w:div>
    <w:div w:id="1439761015">
      <w:marLeft w:val="0"/>
      <w:marRight w:val="0"/>
      <w:marTop w:val="0"/>
      <w:marBottom w:val="0"/>
      <w:divBdr>
        <w:top w:val="none" w:sz="0" w:space="0" w:color="auto"/>
        <w:left w:val="none" w:sz="0" w:space="0" w:color="auto"/>
        <w:bottom w:val="none" w:sz="0" w:space="0" w:color="auto"/>
        <w:right w:val="none" w:sz="0" w:space="0" w:color="auto"/>
      </w:divBdr>
    </w:div>
    <w:div w:id="1566212050">
      <w:marLeft w:val="0"/>
      <w:marRight w:val="0"/>
      <w:marTop w:val="0"/>
      <w:marBottom w:val="0"/>
      <w:divBdr>
        <w:top w:val="none" w:sz="0" w:space="0" w:color="auto"/>
        <w:left w:val="none" w:sz="0" w:space="0" w:color="auto"/>
        <w:bottom w:val="none" w:sz="0" w:space="0" w:color="auto"/>
        <w:right w:val="none" w:sz="0" w:space="0" w:color="auto"/>
      </w:divBdr>
    </w:div>
    <w:div w:id="1765614372">
      <w:marLeft w:val="0"/>
      <w:marRight w:val="0"/>
      <w:marTop w:val="0"/>
      <w:marBottom w:val="0"/>
      <w:divBdr>
        <w:top w:val="none" w:sz="0" w:space="0" w:color="auto"/>
        <w:left w:val="none" w:sz="0" w:space="0" w:color="auto"/>
        <w:bottom w:val="none" w:sz="0" w:space="0" w:color="auto"/>
        <w:right w:val="none" w:sz="0" w:space="0" w:color="auto"/>
      </w:divBdr>
    </w:div>
    <w:div w:id="1768229065">
      <w:marLeft w:val="0"/>
      <w:marRight w:val="0"/>
      <w:marTop w:val="0"/>
      <w:marBottom w:val="0"/>
      <w:divBdr>
        <w:top w:val="none" w:sz="0" w:space="0" w:color="auto"/>
        <w:left w:val="none" w:sz="0" w:space="0" w:color="auto"/>
        <w:bottom w:val="none" w:sz="0" w:space="0" w:color="auto"/>
        <w:right w:val="none" w:sz="0" w:space="0" w:color="auto"/>
      </w:divBdr>
      <w:divsChild>
        <w:div w:id="1745760055">
          <w:marLeft w:val="0"/>
          <w:marRight w:val="0"/>
          <w:marTop w:val="0"/>
          <w:marBottom w:val="0"/>
          <w:divBdr>
            <w:top w:val="none" w:sz="0" w:space="0" w:color="auto"/>
            <w:left w:val="none" w:sz="0" w:space="0" w:color="auto"/>
            <w:bottom w:val="none" w:sz="0" w:space="0" w:color="auto"/>
            <w:right w:val="none" w:sz="0" w:space="0" w:color="auto"/>
          </w:divBdr>
        </w:div>
      </w:divsChild>
    </w:div>
    <w:div w:id="1876887488">
      <w:marLeft w:val="0"/>
      <w:marRight w:val="0"/>
      <w:marTop w:val="0"/>
      <w:marBottom w:val="0"/>
      <w:divBdr>
        <w:top w:val="none" w:sz="0" w:space="0" w:color="auto"/>
        <w:left w:val="none" w:sz="0" w:space="0" w:color="auto"/>
        <w:bottom w:val="none" w:sz="0" w:space="0" w:color="auto"/>
        <w:right w:val="none" w:sz="0" w:space="0" w:color="auto"/>
      </w:divBdr>
    </w:div>
    <w:div w:id="2000379129">
      <w:marLeft w:val="0"/>
      <w:marRight w:val="0"/>
      <w:marTop w:val="0"/>
      <w:marBottom w:val="0"/>
      <w:divBdr>
        <w:top w:val="none" w:sz="0" w:space="0" w:color="auto"/>
        <w:left w:val="none" w:sz="0" w:space="0" w:color="auto"/>
        <w:bottom w:val="none" w:sz="0" w:space="0" w:color="auto"/>
        <w:right w:val="none" w:sz="0" w:space="0" w:color="auto"/>
      </w:divBdr>
    </w:div>
    <w:div w:id="2087216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B9FA0-1035-40AA-A04A-80F87809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6557</Words>
  <Characters>2742</Characters>
  <Application>Microsoft Office Word</Application>
  <DocSecurity>0</DocSecurity>
  <Lines>22</Lines>
  <Paragraphs>18</Paragraphs>
  <ScaleCrop>false</ScaleCrop>
  <Company/>
  <LinksUpToDate>false</LinksUpToDate>
  <CharactersWithSpaces>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QD指数季报</dc:title>
  <dc:subject/>
  <dc:creator>yss</dc:creator>
  <cp:keywords/>
  <dc:description/>
  <cp:lastModifiedBy>Melody.Ling@FA</cp:lastModifiedBy>
  <cp:revision>3</cp:revision>
  <dcterms:created xsi:type="dcterms:W3CDTF">2025-04-15T12:24:00Z</dcterms:created>
  <dcterms:modified xsi:type="dcterms:W3CDTF">2025-04-21T07:06:00Z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