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5C2F" w:rsidRDefault="00CB3C6C">
      <w:pPr>
        <w:spacing w:line="360" w:lineRule="auto"/>
        <w:rPr>
          <w:rFonts w:ascii="宋体" w:hAnsi="宋体"/>
          <w:sz w:val="48"/>
        </w:rPr>
      </w:pPr>
      <w:bookmarkStart w:id="0" w:name="_GoBack"/>
      <w:bookmarkEnd w:id="0"/>
      <w:r>
        <w:rPr>
          <w:rFonts w:ascii="宋体" w:hAnsi="宋体" w:hint="eastAsia"/>
          <w:sz w:val="48"/>
        </w:rPr>
        <w:t xml:space="preserve">　 </w:t>
      </w:r>
    </w:p>
    <w:p w:rsidR="00195C2F" w:rsidRDefault="00CB3C6C">
      <w:pPr>
        <w:spacing w:line="360" w:lineRule="auto"/>
        <w:rPr>
          <w:rFonts w:ascii="宋体" w:hAnsi="宋体"/>
          <w:sz w:val="48"/>
        </w:rPr>
      </w:pPr>
      <w:r>
        <w:rPr>
          <w:rFonts w:ascii="宋体" w:hAnsi="宋体" w:hint="eastAsia"/>
          <w:sz w:val="48"/>
        </w:rPr>
        <w:t xml:space="preserve">　 </w:t>
      </w:r>
    </w:p>
    <w:p w:rsidR="00195C2F" w:rsidRDefault="00CB3C6C">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sz w:val="48"/>
          <w:szCs w:val="48"/>
        </w:rPr>
        <w:t>摩根恒生科技交易型开放式指数证券投资基金发起式联接基金(QDII)</w:t>
      </w:r>
      <w:r>
        <w:rPr>
          <w:rFonts w:ascii="宋体" w:hAnsi="宋体" w:hint="eastAsia"/>
          <w:b/>
          <w:bCs/>
          <w:sz w:val="48"/>
          <w:szCs w:val="48"/>
        </w:rPr>
        <w:br/>
        <w:t>2025年第1季度报告</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pPr>
      <w:r>
        <w:rPr>
          <w:rFonts w:ascii="宋体" w:hAnsi="宋体" w:hint="eastAsia"/>
          <w:b/>
          <w:bCs/>
          <w:sz w:val="28"/>
          <w:szCs w:val="30"/>
        </w:rPr>
        <w:t>2025年3月31日</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jc w:val="center"/>
        <w:rPr>
          <w:rFonts w:ascii="宋体" w:hAnsi="宋体"/>
          <w:sz w:val="28"/>
          <w:szCs w:val="30"/>
        </w:rPr>
      </w:pPr>
      <w:r>
        <w:rPr>
          <w:rFonts w:ascii="宋体" w:hAnsi="宋体" w:hint="eastAsia"/>
          <w:sz w:val="28"/>
          <w:szCs w:val="30"/>
        </w:rPr>
        <w:t xml:space="preserve">　 </w:t>
      </w:r>
    </w:p>
    <w:p w:rsidR="00195C2F" w:rsidRDefault="00CB3C6C">
      <w:pPr>
        <w:spacing w:line="360" w:lineRule="auto"/>
        <w:ind w:firstLineChars="800" w:firstLine="2249"/>
        <w:jc w:val="left"/>
      </w:pPr>
      <w:r>
        <w:rPr>
          <w:rFonts w:ascii="宋体" w:hAnsi="宋体" w:hint="eastAsia"/>
          <w:b/>
          <w:bCs/>
          <w:sz w:val="28"/>
          <w:szCs w:val="30"/>
        </w:rPr>
        <w:t>基金管理人：摩根基金管理（中国）有限公司</w:t>
      </w:r>
    </w:p>
    <w:p w:rsidR="00195C2F" w:rsidRDefault="00CB3C6C">
      <w:pPr>
        <w:spacing w:line="360" w:lineRule="auto"/>
        <w:ind w:firstLineChars="800" w:firstLine="2249"/>
        <w:jc w:val="left"/>
      </w:pPr>
      <w:r>
        <w:rPr>
          <w:rFonts w:ascii="宋体" w:hAnsi="宋体" w:hint="eastAsia"/>
          <w:b/>
          <w:bCs/>
          <w:sz w:val="28"/>
          <w:szCs w:val="30"/>
        </w:rPr>
        <w:t>基金托管人：中国工商银行股份有限公司</w:t>
      </w:r>
    </w:p>
    <w:p w:rsidR="00195C2F" w:rsidRDefault="00CB3C6C">
      <w:pPr>
        <w:spacing w:line="360" w:lineRule="auto"/>
        <w:ind w:firstLineChars="800" w:firstLine="2249"/>
        <w:jc w:val="left"/>
      </w:pPr>
      <w:r>
        <w:rPr>
          <w:rFonts w:ascii="宋体" w:hAnsi="宋体" w:hint="eastAsia"/>
          <w:b/>
          <w:bCs/>
          <w:sz w:val="28"/>
          <w:szCs w:val="30"/>
        </w:rPr>
        <w:t>报告送出日期：2025年4月22日</w:t>
      </w:r>
    </w:p>
    <w:p w:rsidR="00195C2F" w:rsidRDefault="00CB3C6C">
      <w:pPr>
        <w:pStyle w:val="XBRLTitle1"/>
        <w:spacing w:before="156" w:line="360" w:lineRule="auto"/>
        <w:ind w:left="425"/>
      </w:pPr>
      <w:r>
        <w:rPr>
          <w:rFonts w:cs="宋体" w:hint="eastAsia"/>
          <w:color w:val="404040"/>
          <w:kern w:val="0"/>
        </w:rPr>
        <w:br w:type="page"/>
      </w:r>
      <w:bookmarkStart w:id="8" w:name="_Toc512519480"/>
      <w:bookmarkStart w:id="9" w:name="_Toc481075046"/>
      <w:bookmarkStart w:id="10" w:name="_Toc438646451"/>
      <w:bookmarkStart w:id="11" w:name="_Toc490050000"/>
      <w:bookmarkStart w:id="12" w:name="_Toc514178667"/>
      <w:bookmarkStart w:id="13" w:name="m101"/>
      <w:proofErr w:type="spellStart"/>
      <w:r>
        <w:rPr>
          <w:rFonts w:hint="eastAsia"/>
        </w:rPr>
        <w:lastRenderedPageBreak/>
        <w:t>重要提示</w:t>
      </w:r>
      <w:bookmarkEnd w:id="8"/>
      <w:bookmarkEnd w:id="9"/>
      <w:bookmarkEnd w:id="10"/>
      <w:bookmarkEnd w:id="11"/>
      <w:bookmarkEnd w:id="12"/>
      <w:proofErr w:type="spellEnd"/>
      <w:r>
        <w:rPr>
          <w:rFonts w:hint="eastAsia"/>
        </w:rPr>
        <w:t xml:space="preserve"> </w:t>
      </w:r>
    </w:p>
    <w:p w:rsidR="00195C2F" w:rsidRDefault="00CB3C6C">
      <w:pPr>
        <w:spacing w:line="360" w:lineRule="auto"/>
        <w:ind w:firstLineChars="200" w:firstLine="420"/>
        <w:divId w:val="1040663813"/>
      </w:pPr>
      <w:bookmarkStart w:id="14" w:name="m502"/>
      <w:bookmarkStart w:id="15" w:name="_Toc438646470"/>
      <w:bookmarkStart w:id="16" w:name="m504"/>
      <w:bookmarkStart w:id="17" w:name="m08QD_01"/>
      <w:bookmarkStart w:id="18" w:name="_Toc194311890"/>
      <w:bookmarkStart w:id="19" w:name="m201"/>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195C2F" w:rsidRDefault="00CB3C6C">
      <w:pPr>
        <w:pStyle w:val="XBRLTitle1"/>
        <w:spacing w:before="156"/>
        <w:ind w:left="425"/>
      </w:pPr>
      <w:bookmarkStart w:id="21" w:name="_Toc17881664"/>
      <w:bookmarkStart w:id="22" w:name="_Toc492299861"/>
      <w:bookmarkStart w:id="23" w:name="_Toc466644445"/>
      <w:bookmarkStart w:id="24" w:name="_Toc447872909"/>
      <w:bookmarkStart w:id="25" w:name="_Toc438646452"/>
      <w:bookmarkStart w:id="26" w:name="_Toc512627215"/>
      <w:bookmarkStart w:id="27" w:name="_Toc512694295"/>
      <w:bookmarkStart w:id="28" w:name="m01_01"/>
      <w:proofErr w:type="spellStart"/>
      <w:r>
        <w:rPr>
          <w:rFonts w:hint="eastAsia"/>
        </w:rPr>
        <w:t>基金产品概况</w:t>
      </w:r>
      <w:bookmarkEnd w:id="21"/>
      <w:bookmarkEnd w:id="22"/>
      <w:bookmarkEnd w:id="23"/>
      <w:bookmarkEnd w:id="24"/>
      <w:bookmarkEnd w:id="25"/>
      <w:bookmarkEnd w:id="26"/>
      <w:bookmarkEnd w:id="27"/>
      <w:proofErr w:type="spellEnd"/>
      <w:r>
        <w:rPr>
          <w:rFonts w:hint="eastAsia"/>
        </w:rPr>
        <w:t xml:space="preserve"> </w:t>
      </w:r>
    </w:p>
    <w:p w:rsidR="00195C2F" w:rsidRDefault="00CB3C6C">
      <w:pPr>
        <w:pStyle w:val="XBRLTitle2"/>
        <w:spacing w:before="156"/>
        <w:ind w:left="454"/>
      </w:pPr>
      <w:bookmarkStart w:id="29" w:name="_Toc17881665"/>
      <w:bookmarkStart w:id="30" w:name="_Toc492299866"/>
      <w:bookmarkStart w:id="31" w:name="_Toc466644450"/>
      <w:bookmarkStart w:id="32" w:name="_Toc447872912"/>
      <w:bookmarkStart w:id="33" w:name="_Toc512627218"/>
      <w:bookmarkStart w:id="34" w:name="_Toc512694298"/>
      <w:bookmarkStart w:id="35" w:name="_Toc438646456"/>
      <w:bookmarkStart w:id="36" w:name="m401_tab"/>
      <w:bookmarkStart w:id="37" w:name="m401"/>
      <w:proofErr w:type="spellStart"/>
      <w:r>
        <w:rPr>
          <w:rFonts w:hint="eastAsia"/>
        </w:rPr>
        <w:t>基金基本情况</w:t>
      </w:r>
      <w:bookmarkEnd w:id="29"/>
      <w:bookmarkEnd w:id="30"/>
      <w:bookmarkEnd w:id="31"/>
      <w:bookmarkEnd w:id="32"/>
      <w:bookmarkEnd w:id="33"/>
      <w:bookmarkEnd w:id="34"/>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195C2F">
        <w:trPr>
          <w:divId w:val="301233489"/>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bookmarkStart w:id="38" w:name="OLE_LINK1"/>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szCs w:val="24"/>
                <w:lang w:eastAsia="zh-Hans"/>
              </w:rPr>
              <w:t>摩根恒生科技ETF发起式联接(QDII)</w:t>
            </w:r>
            <w:r>
              <w:rPr>
                <w:rFonts w:ascii="宋体" w:hAnsi="宋体" w:hint="eastAsia"/>
                <w:lang w:eastAsia="zh-Hans"/>
              </w:rPr>
              <w:t xml:space="preserve"> </w:t>
            </w:r>
          </w:p>
        </w:tc>
      </w:tr>
      <w:tr w:rsidR="00195C2F">
        <w:trPr>
          <w:divId w:val="30123348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018577</w:t>
            </w:r>
          </w:p>
        </w:tc>
      </w:tr>
      <w:tr w:rsidR="00195C2F">
        <w:trPr>
          <w:divId w:val="30123348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契约型开放式</w:t>
            </w:r>
          </w:p>
        </w:tc>
      </w:tr>
      <w:tr w:rsidR="00195C2F">
        <w:trPr>
          <w:divId w:val="30123348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2023年7月18日</w:t>
            </w:r>
          </w:p>
        </w:tc>
      </w:tr>
      <w:tr w:rsidR="00195C2F">
        <w:trPr>
          <w:divId w:val="30123348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153,515,819.94</w:t>
            </w:r>
            <w:r>
              <w:rPr>
                <w:rFonts w:asciiTheme="minorHAnsi" w:eastAsiaTheme="minorEastAsia" w:hAnsiTheme="minorHAnsi" w:hint="eastAsia"/>
              </w:rPr>
              <w:t>份</w:t>
            </w:r>
            <w:r>
              <w:rPr>
                <w:rFonts w:ascii="宋体" w:hAnsi="宋体" w:hint="eastAsia"/>
                <w:lang w:eastAsia="zh-Hans"/>
              </w:rPr>
              <w:t xml:space="preserve"> </w:t>
            </w:r>
          </w:p>
        </w:tc>
      </w:tr>
      <w:tr w:rsidR="00195C2F">
        <w:trPr>
          <w:divId w:val="30123348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通过对目标ETF基金份额的投资，追求跟踪标的指数，获得与指数收益相似的回报。</w:t>
            </w:r>
          </w:p>
        </w:tc>
      </w:tr>
      <w:tr w:rsidR="00195C2F">
        <w:trPr>
          <w:divId w:val="30123348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本基金为摩根恒生科技交易型开放式指数证券投资基金(QDII)的联接基金，通过将基金资产主要投资于目标ETF基金份额，以实现对标的指数的跟踪。本基金力争日均跟踪偏离度的绝对值不超过0.35%，年跟踪误差不超过4%。如因标的指数编制规则调整或其他因素导致跟踪误差超过上述范围，基金管理人应采取合理措施避免跟踪误差进一步扩大。</w:t>
            </w:r>
            <w:r>
              <w:rPr>
                <w:rFonts w:ascii="宋体" w:hAnsi="宋体" w:hint="eastAsia"/>
                <w:lang w:eastAsia="zh-Hans"/>
              </w:rPr>
              <w:br/>
              <w:t>基金也可以通过买入标的指数成份股来跟踪标的指数。为了提高投资效率，基金还可以根据风险管理原则，少量投资于股指期货、股票期权和其他经中国证监会允许的衍生工具等。</w:t>
            </w:r>
            <w:r>
              <w:rPr>
                <w:rFonts w:ascii="宋体" w:hAnsi="宋体" w:hint="eastAsia"/>
                <w:lang w:eastAsia="zh-Hans"/>
              </w:rPr>
              <w:br/>
            </w:r>
            <w:r>
              <w:rPr>
                <w:rFonts w:ascii="宋体" w:hAnsi="宋体" w:hint="eastAsia"/>
                <w:lang w:eastAsia="zh-Hans"/>
              </w:rPr>
              <w:lastRenderedPageBreak/>
              <w:t>1、目标ETF投资策略</w:t>
            </w:r>
            <w:r>
              <w:rPr>
                <w:rFonts w:ascii="宋体" w:hAnsi="宋体" w:hint="eastAsia"/>
                <w:lang w:eastAsia="zh-Hans"/>
              </w:rPr>
              <w:br/>
              <w:t>为了实现追踪误差最小化，本基金投资于目标ETF基金份额的比例不低于基金资产净值的90%。本基金主要通过申购、赎回或二级市场买卖的方式投资于目标ETF。当目标ETF申购、赎回或交易模式进行了变更或调整，本基金也将作相应的变更或调整，无须召开基金份额持有人大会。本基金在综合考虑合规、风险、效率、成本等因素的基础上，决定采用申赎的方式或二级市场交易的方式进行目标ETF的买卖。本基金还可适度参与目标ETF基金份额交易和申购、赎回之间的套利，以增强基金收益。</w:t>
            </w:r>
            <w:r>
              <w:rPr>
                <w:rFonts w:ascii="宋体" w:hAnsi="宋体" w:hint="eastAsia"/>
                <w:lang w:eastAsia="zh-Hans"/>
              </w:rPr>
              <w:br/>
              <w:t>本基金可以基金资产特殊申购目标ETF份额，以进行基金建仓。</w:t>
            </w:r>
            <w:r>
              <w:rPr>
                <w:rFonts w:ascii="宋体" w:hAnsi="宋体" w:hint="eastAsia"/>
                <w:lang w:eastAsia="zh-Hans"/>
              </w:rPr>
              <w:br/>
              <w:t>2、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195C2F">
        <w:trPr>
          <w:divId w:val="30123348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经估值汇率调整的恒生科技指数收益率×95%＋活期存款利率（税后）×5%</w:t>
            </w:r>
          </w:p>
        </w:tc>
      </w:tr>
      <w:tr w:rsidR="00195C2F">
        <w:trPr>
          <w:divId w:val="30123348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本基金为ETF联接基金，具有与目标ETF相似的风险收益特征。目标ETF为股票型指数基金，因此本基金的预期风险和预期收益高于货币市场基金、债券型基金和混合型基金，且具有与标的指数以及标的指数所代表的股票市场相似的风险收益特征。</w:t>
            </w:r>
            <w:r>
              <w:rPr>
                <w:rFonts w:ascii="宋体" w:hAnsi="宋体" w:hint="eastAsia"/>
                <w:lang w:eastAsia="zh-Hans"/>
              </w:rPr>
              <w:br/>
              <w:t>本基金可投资于境外证券，除了需要承担与境内证券投资基金类似的市场波动风险等一般投资风险之外，本基金还面临汇率风险等境外证券市场投资所面临的特别投资风险。</w:t>
            </w:r>
          </w:p>
        </w:tc>
      </w:tr>
      <w:tr w:rsidR="00195C2F">
        <w:trPr>
          <w:divId w:val="301233489"/>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摩根基金管理（中国）有限公司</w:t>
            </w:r>
          </w:p>
        </w:tc>
      </w:tr>
      <w:tr w:rsidR="00195C2F">
        <w:trPr>
          <w:divId w:val="301233489"/>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中国工商银行股份有限公司</w:t>
            </w:r>
          </w:p>
        </w:tc>
      </w:tr>
      <w:tr w:rsidR="00195C2F">
        <w:trPr>
          <w:divId w:val="30123348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95C2F" w:rsidRDefault="00CB3C6C">
            <w:pPr>
              <w:spacing w:line="360" w:lineRule="auto"/>
              <w:jc w:val="left"/>
            </w:pPr>
            <w:bookmarkStart w:id="39"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center"/>
            </w:pPr>
            <w:r>
              <w:rPr>
                <w:rFonts w:ascii="宋体" w:hAnsi="宋体" w:hint="eastAsia"/>
                <w:lang w:eastAsia="zh-Hans"/>
              </w:rPr>
              <w:t>摩根恒生科技ETF发起式联接</w:t>
            </w:r>
            <w:r>
              <w:rPr>
                <w:rFonts w:ascii="宋体" w:hAnsi="宋体" w:hint="eastAsia"/>
                <w:lang w:eastAsia="zh-Hans"/>
              </w:rPr>
              <w:lastRenderedPageBreak/>
              <w:t>(QDII)A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center"/>
            </w:pPr>
            <w:r>
              <w:rPr>
                <w:rFonts w:ascii="宋体" w:hAnsi="宋体" w:hint="eastAsia"/>
                <w:lang w:eastAsia="zh-Hans"/>
              </w:rPr>
              <w:lastRenderedPageBreak/>
              <w:t>摩根恒生科技ETF发起式联</w:t>
            </w:r>
            <w:r>
              <w:rPr>
                <w:rFonts w:ascii="宋体" w:hAnsi="宋体" w:hint="eastAsia"/>
                <w:lang w:eastAsia="zh-Hans"/>
              </w:rPr>
              <w:lastRenderedPageBreak/>
              <w:t>接(QDII)C</w:t>
            </w:r>
            <w:r>
              <w:rPr>
                <w:rFonts w:ascii="宋体" w:hAnsi="宋体" w:hint="eastAsia"/>
                <w:kern w:val="0"/>
                <w:sz w:val="20"/>
                <w:lang w:eastAsia="zh-Hans"/>
              </w:rPr>
              <w:t xml:space="preserve"> </w:t>
            </w:r>
          </w:p>
        </w:tc>
      </w:tr>
      <w:tr w:rsidR="00195C2F">
        <w:trPr>
          <w:divId w:val="30123348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95C2F" w:rsidRDefault="00CB3C6C">
            <w:pPr>
              <w:spacing w:line="360" w:lineRule="auto"/>
              <w:jc w:val="left"/>
            </w:pPr>
            <w:r>
              <w:rPr>
                <w:rFonts w:ascii="宋体" w:hAnsi="宋体" w:hint="eastAsia"/>
              </w:rPr>
              <w:lastRenderedPageBreak/>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center"/>
            </w:pPr>
            <w:r>
              <w:rPr>
                <w:rFonts w:ascii="宋体" w:hAnsi="宋体" w:hint="eastAsia"/>
                <w:lang w:eastAsia="zh-Hans"/>
              </w:rPr>
              <w:t>018577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center"/>
            </w:pPr>
            <w:r>
              <w:rPr>
                <w:rFonts w:ascii="宋体" w:hAnsi="宋体" w:hint="eastAsia"/>
                <w:lang w:eastAsia="zh-Hans"/>
              </w:rPr>
              <w:t>018578</w:t>
            </w:r>
            <w:r>
              <w:rPr>
                <w:rFonts w:ascii="宋体" w:hAnsi="宋体" w:hint="eastAsia"/>
                <w:kern w:val="0"/>
                <w:sz w:val="20"/>
                <w:lang w:eastAsia="zh-Hans"/>
              </w:rPr>
              <w:t xml:space="preserve"> </w:t>
            </w:r>
          </w:p>
        </w:tc>
      </w:tr>
      <w:bookmarkEnd w:id="39"/>
      <w:tr w:rsidR="00195C2F">
        <w:trPr>
          <w:divId w:val="30123348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95C2F" w:rsidRDefault="00CB3C6C">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lang w:eastAsia="zh-Hans"/>
              </w:rPr>
              <w:t>21,040,336.58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lang w:eastAsia="zh-Hans"/>
              </w:rPr>
              <w:t>132,475,483.36</w:t>
            </w:r>
            <w:r>
              <w:rPr>
                <w:rFonts w:hint="eastAsia"/>
              </w:rPr>
              <w:t>份</w:t>
            </w:r>
            <w:r>
              <w:rPr>
                <w:rFonts w:ascii="宋体" w:hAnsi="宋体" w:hint="eastAsia"/>
                <w:lang w:eastAsia="zh-Hans"/>
              </w:rPr>
              <w:t xml:space="preserve"> </w:t>
            </w:r>
          </w:p>
        </w:tc>
      </w:tr>
      <w:tr w:rsidR="00195C2F">
        <w:trPr>
          <w:divId w:val="301233489"/>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spacing w:line="360" w:lineRule="auto"/>
              <w:jc w:val="left"/>
            </w:pPr>
            <w:r>
              <w:rPr>
                <w:rFonts w:ascii="宋体" w:hAnsi="宋体" w:hint="eastAsia"/>
                <w:lang w:eastAsia="zh-Hans"/>
              </w:rPr>
              <w:t>英文名称：The Hong Kong and Shanghai Banking Corporation Limited</w:t>
            </w:r>
          </w:p>
        </w:tc>
      </w:tr>
      <w:tr w:rsidR="00195C2F">
        <w:trPr>
          <w:divId w:val="301233489"/>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5C2F" w:rsidRDefault="00195C2F">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rsidR="00195C2F" w:rsidRDefault="00CB3C6C">
      <w:pPr>
        <w:pStyle w:val="XBRLTitle3"/>
        <w:spacing w:before="156"/>
        <w:ind w:left="0"/>
      </w:pPr>
      <w:bookmarkStart w:id="40" w:name="_Toc17881666"/>
      <w:bookmarkStart w:id="41" w:name="_Toc492299863"/>
      <w:bookmarkStart w:id="42" w:name="_Toc466644447"/>
      <w:bookmarkStart w:id="43" w:name="_Toc475438078"/>
      <w:proofErr w:type="spellStart"/>
      <w:r>
        <w:rPr>
          <w:rFonts w:hint="eastAsia"/>
          <w:szCs w:val="24"/>
        </w:rPr>
        <w:t>目标基金基本情况</w:t>
      </w:r>
      <w:bookmarkEnd w:id="40"/>
      <w:bookmarkEnd w:id="41"/>
      <w:bookmarkEnd w:id="42"/>
      <w:bookmarkEnd w:id="43"/>
      <w:proofErr w:type="spellEnd"/>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963"/>
        <w:gridCol w:w="5872"/>
      </w:tblGrid>
      <w:tr w:rsidR="00195C2F">
        <w:trPr>
          <w:divId w:val="2128696314"/>
          <w:trHeight w:val="64"/>
        </w:trPr>
        <w:tc>
          <w:tcPr>
            <w:tcW w:w="1677" w:type="pct"/>
            <w:tcBorders>
              <w:top w:val="single" w:sz="4" w:space="0" w:color="000000"/>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基金名称 </w:t>
            </w:r>
          </w:p>
        </w:tc>
        <w:tc>
          <w:tcPr>
            <w:tcW w:w="3823" w:type="pct"/>
            <w:tcBorders>
              <w:top w:val="single" w:sz="4" w:space="0" w:color="000000"/>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摩根恒生科技交易型开放式指数证券投资基金(QDII)</w:t>
            </w:r>
          </w:p>
        </w:tc>
      </w:tr>
      <w:tr w:rsidR="00195C2F">
        <w:trPr>
          <w:divId w:val="2128696314"/>
        </w:trPr>
        <w:tc>
          <w:tcPr>
            <w:tcW w:w="1677"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基金主代码 </w:t>
            </w:r>
          </w:p>
        </w:tc>
        <w:tc>
          <w:tcPr>
            <w:tcW w:w="3323"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513890</w:t>
            </w:r>
          </w:p>
        </w:tc>
      </w:tr>
      <w:tr w:rsidR="00195C2F">
        <w:trPr>
          <w:divId w:val="2128696314"/>
        </w:trPr>
        <w:tc>
          <w:tcPr>
            <w:tcW w:w="1677"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基金运作方式 </w:t>
            </w:r>
          </w:p>
        </w:tc>
        <w:tc>
          <w:tcPr>
            <w:tcW w:w="3323"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交易型开放式</w:t>
            </w:r>
          </w:p>
        </w:tc>
      </w:tr>
      <w:tr w:rsidR="00195C2F">
        <w:trPr>
          <w:divId w:val="2128696314"/>
        </w:trPr>
        <w:tc>
          <w:tcPr>
            <w:tcW w:w="1677"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基金合同生效日 </w:t>
            </w:r>
          </w:p>
        </w:tc>
        <w:tc>
          <w:tcPr>
            <w:tcW w:w="3323"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2021年12月17日</w:t>
            </w:r>
          </w:p>
        </w:tc>
      </w:tr>
      <w:tr w:rsidR="00195C2F">
        <w:trPr>
          <w:divId w:val="2128696314"/>
        </w:trPr>
        <w:tc>
          <w:tcPr>
            <w:tcW w:w="1677"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基金份额上市的证券交易所 </w:t>
            </w:r>
          </w:p>
        </w:tc>
        <w:tc>
          <w:tcPr>
            <w:tcW w:w="3323"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上海证券交易所</w:t>
            </w:r>
          </w:p>
        </w:tc>
      </w:tr>
      <w:tr w:rsidR="00195C2F">
        <w:trPr>
          <w:divId w:val="2128696314"/>
        </w:trPr>
        <w:tc>
          <w:tcPr>
            <w:tcW w:w="1677"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上市日期 </w:t>
            </w:r>
          </w:p>
        </w:tc>
        <w:tc>
          <w:tcPr>
            <w:tcW w:w="3323"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2022年1月21日</w:t>
            </w:r>
          </w:p>
        </w:tc>
      </w:tr>
      <w:tr w:rsidR="00195C2F">
        <w:trPr>
          <w:divId w:val="2128696314"/>
        </w:trPr>
        <w:tc>
          <w:tcPr>
            <w:tcW w:w="1677"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基金管理人名称 </w:t>
            </w:r>
          </w:p>
        </w:tc>
        <w:tc>
          <w:tcPr>
            <w:tcW w:w="3323"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摩根基金管理（中国）有限公司</w:t>
            </w:r>
          </w:p>
        </w:tc>
      </w:tr>
      <w:tr w:rsidR="00195C2F">
        <w:trPr>
          <w:divId w:val="2128696314"/>
        </w:trPr>
        <w:tc>
          <w:tcPr>
            <w:tcW w:w="1677"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基金托管人名称 </w:t>
            </w:r>
          </w:p>
        </w:tc>
        <w:tc>
          <w:tcPr>
            <w:tcW w:w="3323"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中国工商银行股份有限公司</w:t>
            </w:r>
          </w:p>
        </w:tc>
      </w:tr>
    </w:tbl>
    <w:p w:rsidR="00195C2F" w:rsidRDefault="00CB3C6C">
      <w:pPr>
        <w:pStyle w:val="XBRLTitle3"/>
        <w:spacing w:before="156"/>
        <w:ind w:left="0"/>
      </w:pPr>
      <w:bookmarkStart w:id="44" w:name="_Toc17881667"/>
      <w:bookmarkStart w:id="45" w:name="_Toc492299864"/>
      <w:bookmarkStart w:id="46" w:name="_Toc466644448"/>
      <w:bookmarkStart w:id="47" w:name="_Toc475438079"/>
      <w:proofErr w:type="spellStart"/>
      <w:r>
        <w:rPr>
          <w:rFonts w:hint="eastAsia"/>
          <w:szCs w:val="24"/>
        </w:rPr>
        <w:t>目标基金</w:t>
      </w:r>
      <w:r>
        <w:rPr>
          <w:rFonts w:hint="eastAsia"/>
          <w:lang w:eastAsia="zh-CN"/>
        </w:rPr>
        <w:t>产品说明</w:t>
      </w:r>
      <w:bookmarkEnd w:id="44"/>
      <w:bookmarkEnd w:id="45"/>
      <w:bookmarkEnd w:id="46"/>
      <w:bookmarkEnd w:id="47"/>
      <w:proofErr w:type="spellEnd"/>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286"/>
        <w:gridCol w:w="6549"/>
      </w:tblGrid>
      <w:tr w:rsidR="00195C2F">
        <w:trPr>
          <w:divId w:val="1179660513"/>
          <w:trHeight w:val="64"/>
        </w:trPr>
        <w:tc>
          <w:tcPr>
            <w:tcW w:w="1294" w:type="pct"/>
            <w:tcBorders>
              <w:top w:val="single" w:sz="4" w:space="0" w:color="000000"/>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投资目标 </w:t>
            </w:r>
          </w:p>
        </w:tc>
        <w:tc>
          <w:tcPr>
            <w:tcW w:w="3706" w:type="pct"/>
            <w:tcBorders>
              <w:top w:val="single" w:sz="4" w:space="0" w:color="000000"/>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本基金采用被动指数化投资，紧密跟踪标的指数，追求跟踪偏离度和跟踪误差最小化。</w:t>
            </w:r>
          </w:p>
        </w:tc>
      </w:tr>
      <w:tr w:rsidR="00195C2F">
        <w:trPr>
          <w:divId w:val="1179660513"/>
        </w:trPr>
        <w:tc>
          <w:tcPr>
            <w:tcW w:w="1294"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投资策略 </w:t>
            </w:r>
          </w:p>
        </w:tc>
        <w:tc>
          <w:tcPr>
            <w:tcW w:w="3706"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本基金采用完全复制法，按照成份股在标的指数中的基准权重构建股票资产组合，并配合使用其他合理的投资方法作为完全复制法的补充，构建本基金实际的投资组合，以追求尽可能贴近标的指数的表现，有效控制跟踪误差。</w:t>
            </w:r>
          </w:p>
        </w:tc>
      </w:tr>
      <w:tr w:rsidR="00195C2F">
        <w:trPr>
          <w:divId w:val="1179660513"/>
        </w:trPr>
        <w:tc>
          <w:tcPr>
            <w:tcW w:w="1294"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业绩比较基准 </w:t>
            </w:r>
          </w:p>
        </w:tc>
        <w:tc>
          <w:tcPr>
            <w:tcW w:w="3706"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本基金的业绩比较基准为经估值汇率调整的恒生科技指数（HSTECH）收益率。本基金标的指数变更的，相应更换基金名称和业绩比较基准，并在履行适当程序后及时公告。</w:t>
            </w:r>
          </w:p>
        </w:tc>
      </w:tr>
      <w:tr w:rsidR="00195C2F">
        <w:trPr>
          <w:divId w:val="1179660513"/>
        </w:trPr>
        <w:tc>
          <w:tcPr>
            <w:tcW w:w="1294" w:type="pct"/>
            <w:tcBorders>
              <w:top w:val="nil"/>
              <w:left w:val="single" w:sz="4" w:space="0" w:color="000000"/>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 xml:space="preserve">风险收益特征 </w:t>
            </w:r>
          </w:p>
        </w:tc>
        <w:tc>
          <w:tcPr>
            <w:tcW w:w="3706" w:type="pct"/>
            <w:tcBorders>
              <w:top w:val="nil"/>
              <w:left w:val="nil"/>
              <w:bottom w:val="single" w:sz="4" w:space="0" w:color="000000"/>
              <w:right w:val="single" w:sz="4" w:space="0" w:color="000000"/>
            </w:tcBorders>
            <w:hideMark/>
          </w:tcPr>
          <w:p w:rsidR="00195C2F" w:rsidRDefault="00CB3C6C">
            <w:pPr>
              <w:widowControl/>
              <w:spacing w:line="315" w:lineRule="atLeast"/>
              <w:jc w:val="left"/>
            </w:pPr>
            <w:r>
              <w:rPr>
                <w:rFonts w:asciiTheme="minorEastAsia" w:eastAsiaTheme="minorEastAsia" w:hAnsiTheme="minorEastAsia" w:hint="eastAsia"/>
              </w:rPr>
              <w:t>本基金属于股票基金，预期风险和收益水平高于混合基金、债券基金和货币市场基金。同时，本基金为指数基金，主要采用完全复制法跟踪标的指数表现，具有与标的指数相似的风险收益特征。 本基金可投资于境外证券，除了需要承担与境内证券投资基金类似的市场波动风险等一般投资风险之外，本基金还面临汇率风险等境外证券市场投资所面临的特别投资风险。</w:t>
            </w:r>
          </w:p>
        </w:tc>
      </w:tr>
    </w:tbl>
    <w:p w:rsidR="00195C2F" w:rsidRDefault="00CB3C6C">
      <w:pPr>
        <w:pStyle w:val="XBRLTitle1"/>
        <w:spacing w:before="156" w:line="360" w:lineRule="auto"/>
        <w:ind w:left="425"/>
      </w:pPr>
      <w:bookmarkStart w:id="48" w:name="_Toc512519482"/>
      <w:bookmarkStart w:id="49" w:name="_Toc481075049"/>
      <w:bookmarkStart w:id="50" w:name="_Toc438646455"/>
      <w:bookmarkStart w:id="51" w:name="_Toc490050003"/>
      <w:bookmarkStart w:id="52" w:name="_Toc514178669"/>
      <w:bookmarkEnd w:id="38"/>
      <w:proofErr w:type="spellStart"/>
      <w:r>
        <w:rPr>
          <w:rFonts w:hint="eastAsia"/>
        </w:rPr>
        <w:t>主要财务指标和基金净值表现</w:t>
      </w:r>
      <w:bookmarkEnd w:id="48"/>
      <w:bookmarkEnd w:id="49"/>
      <w:bookmarkEnd w:id="50"/>
      <w:bookmarkEnd w:id="51"/>
      <w:bookmarkEnd w:id="52"/>
      <w:proofErr w:type="spellEnd"/>
      <w:r>
        <w:rPr>
          <w:rFonts w:hint="eastAsia"/>
        </w:rPr>
        <w:t xml:space="preserve"> </w:t>
      </w:r>
    </w:p>
    <w:p w:rsidR="00195C2F" w:rsidRDefault="00CB3C6C">
      <w:pPr>
        <w:pStyle w:val="XBRLTitle2"/>
        <w:spacing w:before="156" w:line="360" w:lineRule="auto"/>
        <w:ind w:left="454"/>
      </w:pPr>
      <w:bookmarkStart w:id="53" w:name="_Toc512519483"/>
      <w:bookmarkStart w:id="54" w:name="_Toc481075050"/>
      <w:bookmarkStart w:id="55" w:name="_Toc490050004"/>
      <w:bookmarkStart w:id="56" w:name="_Toc514178670"/>
      <w:proofErr w:type="spellStart"/>
      <w:r>
        <w:rPr>
          <w:rFonts w:hint="eastAsia"/>
        </w:rPr>
        <w:t>主要财务指标</w:t>
      </w:r>
      <w:bookmarkEnd w:id="53"/>
      <w:bookmarkEnd w:id="54"/>
      <w:bookmarkEnd w:id="35"/>
      <w:bookmarkEnd w:id="55"/>
      <w:bookmarkEnd w:id="56"/>
      <w:proofErr w:type="spellEnd"/>
      <w:r>
        <w:rPr>
          <w:rFonts w:hint="eastAsia"/>
        </w:rPr>
        <w:t xml:space="preserve"> </w:t>
      </w:r>
    </w:p>
    <w:p w:rsidR="00195C2F" w:rsidRDefault="00CB3C6C">
      <w:pPr>
        <w:jc w:val="right"/>
        <w:divId w:val="104675883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4"/>
        <w:gridCol w:w="3204"/>
        <w:gridCol w:w="3217"/>
      </w:tblGrid>
      <w:tr w:rsidR="00195C2F">
        <w:trPr>
          <w:divId w:val="104675883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195C2F" w:rsidRDefault="00CB3C6C">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195C2F" w:rsidRDefault="00CB3C6C">
            <w:pPr>
              <w:pStyle w:val="a5"/>
              <w:jc w:val="center"/>
            </w:pPr>
            <w:r>
              <w:rPr>
                <w:rFonts w:hint="eastAsia"/>
                <w:kern w:val="2"/>
                <w:sz w:val="21"/>
                <w:szCs w:val="24"/>
                <w:lang w:eastAsia="zh-Hans"/>
              </w:rPr>
              <w:t xml:space="preserve">报告期（2025年1月1日-2025年3月31日） </w:t>
            </w:r>
          </w:p>
        </w:tc>
      </w:tr>
      <w:tr w:rsidR="00195C2F">
        <w:trPr>
          <w:divId w:val="104675883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C2F" w:rsidRDefault="00195C2F">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195C2F" w:rsidRDefault="00CB3C6C">
            <w:pPr>
              <w:jc w:val="center"/>
            </w:pPr>
            <w:r>
              <w:rPr>
                <w:rFonts w:ascii="宋体" w:hAnsi="宋体" w:hint="eastAsia"/>
                <w:szCs w:val="24"/>
                <w:lang w:eastAsia="zh-Hans"/>
              </w:rPr>
              <w:t>摩根恒生科技ETF发起式联接(QDII)A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195C2F" w:rsidRDefault="00CB3C6C">
            <w:pPr>
              <w:jc w:val="center"/>
            </w:pPr>
            <w:r>
              <w:rPr>
                <w:rFonts w:ascii="宋体" w:hAnsi="宋体" w:hint="eastAsia"/>
                <w:szCs w:val="24"/>
                <w:lang w:eastAsia="zh-Hans"/>
              </w:rPr>
              <w:t>摩根恒生科技ETF发起式联接(QDII)C</w:t>
            </w:r>
          </w:p>
        </w:tc>
      </w:tr>
      <w:tr w:rsidR="00195C2F">
        <w:trPr>
          <w:divId w:val="10467588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1,027,924.25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5,815,406.06</w:t>
            </w:r>
          </w:p>
        </w:tc>
      </w:tr>
      <w:tr w:rsidR="00195C2F">
        <w:trPr>
          <w:divId w:val="10467588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1,513,710.97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8,395,791.36</w:t>
            </w:r>
          </w:p>
        </w:tc>
      </w:tr>
      <w:tr w:rsidR="00195C2F">
        <w:trPr>
          <w:divId w:val="10467588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0.0987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0.0899</w:t>
            </w:r>
          </w:p>
        </w:tc>
      </w:tr>
      <w:tr w:rsidR="00195C2F">
        <w:trPr>
          <w:divId w:val="10467588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26,572,702.01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166,388,719.98</w:t>
            </w:r>
          </w:p>
        </w:tc>
      </w:tr>
      <w:tr w:rsidR="00195C2F">
        <w:trPr>
          <w:divId w:val="10467588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1.2629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95C2F" w:rsidRDefault="00CB3C6C">
            <w:pPr>
              <w:jc w:val="right"/>
            </w:pPr>
            <w:r>
              <w:rPr>
                <w:rFonts w:ascii="宋体" w:hAnsi="宋体" w:hint="eastAsia"/>
                <w:szCs w:val="24"/>
                <w:lang w:eastAsia="zh-Hans"/>
              </w:rPr>
              <w:t>1.2560</w:t>
            </w:r>
          </w:p>
        </w:tc>
      </w:tr>
    </w:tbl>
    <w:p w:rsidR="00195C2F" w:rsidRDefault="00CB3C6C">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195C2F" w:rsidRDefault="00CB3C6C">
      <w:pPr>
        <w:pStyle w:val="XBRLTitle2"/>
        <w:spacing w:before="156" w:line="360" w:lineRule="auto"/>
        <w:ind w:left="454"/>
      </w:pPr>
      <w:bookmarkStart w:id="57" w:name="_Toc512519484"/>
      <w:bookmarkStart w:id="58" w:name="_Toc481075051"/>
      <w:bookmarkStart w:id="59" w:name="_Toc438646457"/>
      <w:bookmarkStart w:id="60" w:name="_Toc490050005"/>
      <w:bookmarkStart w:id="61" w:name="_Toc514178671"/>
      <w:proofErr w:type="spellStart"/>
      <w:r>
        <w:rPr>
          <w:rFonts w:hint="eastAsia"/>
        </w:rPr>
        <w:t>基金净值表现</w:t>
      </w:r>
      <w:bookmarkEnd w:id="57"/>
      <w:bookmarkEnd w:id="58"/>
      <w:bookmarkEnd w:id="59"/>
      <w:bookmarkEnd w:id="60"/>
      <w:bookmarkEnd w:id="61"/>
      <w:proofErr w:type="spellEnd"/>
      <w:r>
        <w:rPr>
          <w:rFonts w:hint="eastAsia"/>
        </w:rPr>
        <w:t xml:space="preserve"> </w:t>
      </w:r>
    </w:p>
    <w:p w:rsidR="00195C2F" w:rsidRDefault="00CB3C6C">
      <w:pPr>
        <w:pStyle w:val="XBRLTitle3"/>
        <w:spacing w:before="156"/>
        <w:ind w:left="0"/>
      </w:pPr>
      <w:bookmarkStart w:id="62" w:name="_Toc512519485"/>
      <w:bookmarkStart w:id="63" w:name="_Toc481075052"/>
      <w:bookmarkStart w:id="64" w:name="_Toc490050006"/>
      <w:bookmarkStart w:id="65" w:name="_Toc514178672"/>
      <w:proofErr w:type="spellStart"/>
      <w:r>
        <w:rPr>
          <w:rFonts w:hint="eastAsia"/>
        </w:rPr>
        <w:t>基金份额净值增长率及其与同期业绩比较基准收益率的比较</w:t>
      </w:r>
      <w:bookmarkEnd w:id="62"/>
      <w:bookmarkEnd w:id="63"/>
      <w:bookmarkEnd w:id="64"/>
      <w:bookmarkEnd w:id="65"/>
      <w:proofErr w:type="spellEnd"/>
      <w:r>
        <w:rPr>
          <w:rFonts w:hint="eastAsia"/>
          <w:lang w:eastAsia="zh-CN"/>
        </w:rPr>
        <w:t xml:space="preserve"> </w:t>
      </w:r>
    </w:p>
    <w:p w:rsidR="00195C2F" w:rsidRDefault="00CB3C6C">
      <w:pPr>
        <w:spacing w:line="360" w:lineRule="auto"/>
        <w:jc w:val="center"/>
        <w:divId w:val="331033462"/>
      </w:pPr>
      <w:r>
        <w:rPr>
          <w:rFonts w:ascii="宋体" w:hAnsi="宋体" w:hint="eastAsia"/>
        </w:rPr>
        <w:t>摩根恒生科技ETF发起式联接(QDII)A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95C2F">
        <w:trPr>
          <w:divId w:val="33103346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②－④ </w:t>
            </w:r>
          </w:p>
        </w:tc>
      </w:tr>
      <w:tr w:rsidR="00195C2F">
        <w:trPr>
          <w:divId w:val="3310334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17.91%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19.31%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2.48% </w:t>
            </w:r>
          </w:p>
        </w:tc>
        <w:tc>
          <w:tcPr>
            <w:tcW w:w="728" w:type="pct"/>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right"/>
            </w:pPr>
            <w:r>
              <w:rPr>
                <w:rFonts w:ascii="宋体" w:hAnsi="宋体" w:hint="eastAsia"/>
              </w:rPr>
              <w:t xml:space="preserve">-1.40%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-0.07% </w:t>
            </w:r>
          </w:p>
        </w:tc>
      </w:tr>
      <w:tr w:rsidR="00195C2F">
        <w:trPr>
          <w:divId w:val="3310334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15.39%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15.38%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2.20% </w:t>
            </w:r>
          </w:p>
        </w:tc>
        <w:tc>
          <w:tcPr>
            <w:tcW w:w="728" w:type="pct"/>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right"/>
            </w:pPr>
            <w:r>
              <w:rPr>
                <w:rFonts w:ascii="宋体" w:hAnsi="宋体" w:hint="eastAsia"/>
              </w:rPr>
              <w:t xml:space="preserve">0.01%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-0.07% </w:t>
            </w:r>
          </w:p>
        </w:tc>
      </w:tr>
      <w:tr w:rsidR="00195C2F">
        <w:trPr>
          <w:divId w:val="3310334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50.49%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55.04%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right"/>
            </w:pPr>
            <w:r>
              <w:rPr>
                <w:rFonts w:ascii="宋体" w:hAnsi="宋体" w:hint="eastAsia"/>
              </w:rPr>
              <w:t xml:space="preserve">-4.55%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-0.08% </w:t>
            </w:r>
          </w:p>
        </w:tc>
      </w:tr>
      <w:tr w:rsidR="00195C2F">
        <w:trPr>
          <w:divId w:val="3310334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26.29%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27.57%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right"/>
            </w:pPr>
            <w:r>
              <w:rPr>
                <w:rFonts w:ascii="宋体" w:hAnsi="宋体" w:hint="eastAsia"/>
              </w:rPr>
              <w:t xml:space="preserve">-1.28%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-0.11% </w:t>
            </w:r>
          </w:p>
        </w:tc>
      </w:tr>
    </w:tbl>
    <w:p w:rsidR="00195C2F" w:rsidRDefault="00CB3C6C">
      <w:pPr>
        <w:spacing w:line="360" w:lineRule="auto"/>
        <w:jc w:val="center"/>
        <w:divId w:val="1598714349"/>
      </w:pPr>
      <w:r>
        <w:rPr>
          <w:rFonts w:ascii="宋体" w:hAnsi="宋体" w:hint="eastAsia"/>
        </w:rPr>
        <w:t>摩根恒生科技ETF发起式联接(QDII)C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95C2F">
        <w:trPr>
          <w:divId w:val="159871434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 xml:space="preserve">②－④ </w:t>
            </w:r>
          </w:p>
        </w:tc>
      </w:tr>
      <w:tr w:rsidR="00195C2F">
        <w:trPr>
          <w:divId w:val="159871434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18.16%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19.31%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2.48% </w:t>
            </w:r>
          </w:p>
        </w:tc>
        <w:tc>
          <w:tcPr>
            <w:tcW w:w="728" w:type="pct"/>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right"/>
            </w:pPr>
            <w:r>
              <w:rPr>
                <w:rFonts w:ascii="宋体" w:hAnsi="宋体" w:hint="eastAsia"/>
              </w:rPr>
              <w:t xml:space="preserve">-1.15%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-0.06% </w:t>
            </w:r>
          </w:p>
        </w:tc>
      </w:tr>
      <w:tr w:rsidR="00195C2F">
        <w:trPr>
          <w:divId w:val="159871434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14.99%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15.38%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2.20% </w:t>
            </w:r>
          </w:p>
        </w:tc>
        <w:tc>
          <w:tcPr>
            <w:tcW w:w="728" w:type="pct"/>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right"/>
            </w:pPr>
            <w:r>
              <w:rPr>
                <w:rFonts w:ascii="宋体" w:hAnsi="宋体" w:hint="eastAsia"/>
              </w:rPr>
              <w:t xml:space="preserve">-0.39%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-0.06% </w:t>
            </w:r>
          </w:p>
        </w:tc>
      </w:tr>
      <w:tr w:rsidR="00195C2F">
        <w:trPr>
          <w:divId w:val="159871434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49.84%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55.04%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right"/>
            </w:pPr>
            <w:r>
              <w:rPr>
                <w:rFonts w:ascii="宋体" w:hAnsi="宋体" w:hint="eastAsia"/>
              </w:rPr>
              <w:t xml:space="preserve">-5.20%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-0.08% </w:t>
            </w:r>
          </w:p>
        </w:tc>
      </w:tr>
      <w:tr w:rsidR="00195C2F">
        <w:trPr>
          <w:divId w:val="159871434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center"/>
            </w:pPr>
            <w:r>
              <w:rPr>
                <w:rFonts w:ascii="宋体" w:hAnsi="宋体" w:hint="eastAsia"/>
              </w:rPr>
              <w:t>自基金合同</w:t>
            </w:r>
            <w:r>
              <w:rPr>
                <w:rFonts w:ascii="宋体" w:hAnsi="宋体" w:hint="eastAsia"/>
              </w:rPr>
              <w:lastRenderedPageBreak/>
              <w:t>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lastRenderedPageBreak/>
              <w:t xml:space="preserve">25.60%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1.97%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27.57%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2.08%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195C2F" w:rsidRDefault="00CB3C6C">
            <w:pPr>
              <w:spacing w:line="360" w:lineRule="auto"/>
              <w:jc w:val="right"/>
            </w:pPr>
            <w:r>
              <w:rPr>
                <w:rFonts w:ascii="宋体" w:hAnsi="宋体" w:hint="eastAsia"/>
              </w:rPr>
              <w:t xml:space="preserve">-1.97%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spacing w:line="360" w:lineRule="auto"/>
              <w:jc w:val="right"/>
            </w:pPr>
            <w:r>
              <w:rPr>
                <w:rFonts w:ascii="宋体" w:hAnsi="宋体" w:hint="eastAsia"/>
              </w:rPr>
              <w:t xml:space="preserve">-0.11% </w:t>
            </w:r>
          </w:p>
        </w:tc>
      </w:tr>
    </w:tbl>
    <w:p w:rsidR="00195C2F" w:rsidRDefault="00CB3C6C">
      <w:pPr>
        <w:pStyle w:val="XBRLTitle3"/>
        <w:spacing w:before="156"/>
        <w:ind w:left="0"/>
      </w:pPr>
      <w:bookmarkStart w:id="66" w:name="_Toc512519486"/>
      <w:bookmarkStart w:id="67" w:name="_Toc481075053"/>
      <w:bookmarkStart w:id="68" w:name="_Toc490050007"/>
      <w:bookmarkStart w:id="69" w:name="_Toc514178673"/>
      <w:proofErr w:type="spellStart"/>
      <w:r>
        <w:rPr>
          <w:rFonts w:hint="eastAsia"/>
        </w:rPr>
        <w:t>自基金合同生效以来基金累计净值增长率变动及其与同期业绩比较基准收益率变动的比较</w:t>
      </w:r>
      <w:bookmarkEnd w:id="66"/>
      <w:bookmarkEnd w:id="67"/>
      <w:bookmarkEnd w:id="68"/>
      <w:bookmarkEnd w:id="69"/>
      <w:proofErr w:type="spellEnd"/>
      <w:r>
        <w:rPr>
          <w:rFonts w:hint="eastAsia"/>
          <w:kern w:val="2"/>
          <w:sz w:val="21"/>
          <w:szCs w:val="20"/>
          <w:lang w:val="en-US" w:eastAsia="zh-CN"/>
        </w:rPr>
        <w:t xml:space="preserve"> </w:t>
      </w:r>
    </w:p>
    <w:p w:rsidR="00195C2F" w:rsidRDefault="00CB3C6C">
      <w:pPr>
        <w:spacing w:line="360" w:lineRule="auto"/>
        <w:jc w:val="left"/>
        <w:divId w:val="989479124"/>
      </w:pPr>
      <w:bookmarkStart w:id="70" w:name="m07_04_07_09_tab"/>
      <w:bookmarkStart w:id="71" w:name="m07_04_07_09"/>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195C2F" w:rsidRDefault="00CB3C6C">
      <w:pPr>
        <w:spacing w:line="360" w:lineRule="auto"/>
        <w:jc w:val="left"/>
        <w:divId w:val="253171303"/>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195C2F" w:rsidRDefault="00CB3C6C">
      <w:pPr>
        <w:spacing w:line="360" w:lineRule="auto"/>
      </w:pPr>
      <w:r>
        <w:rPr>
          <w:rFonts w:ascii="宋体" w:hAnsi="宋体" w:hint="eastAsia"/>
        </w:rPr>
        <w:t>注：</w:t>
      </w:r>
      <w:r>
        <w:rPr>
          <w:rFonts w:ascii="宋体" w:hAnsi="宋体" w:hint="eastAsia"/>
          <w:lang w:eastAsia="zh-Hans"/>
        </w:rPr>
        <w:t>本基金合同生效日为2023年7月18日，图示的时间段为合同生效日至本报告期末。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70"/>
      <w:bookmarkEnd w:id="71"/>
    </w:p>
    <w:p w:rsidR="00195C2F" w:rsidRDefault="00CB3C6C">
      <w:pPr>
        <w:pStyle w:val="XBRLTitle1"/>
        <w:spacing w:before="156" w:line="360" w:lineRule="auto"/>
        <w:ind w:left="425"/>
      </w:pPr>
      <w:bookmarkStart w:id="72" w:name="_Toc481075054"/>
      <w:bookmarkStart w:id="73" w:name="_Toc438646458"/>
      <w:bookmarkStart w:id="74" w:name="_Toc490050008"/>
      <w:bookmarkStart w:id="75" w:name="_Toc512519487"/>
      <w:bookmarkStart w:id="76" w:name="_Toc514178674"/>
      <w:proofErr w:type="spellStart"/>
      <w:r>
        <w:rPr>
          <w:rFonts w:hint="eastAsia"/>
        </w:rPr>
        <w:t>管理人报告</w:t>
      </w:r>
      <w:bookmarkEnd w:id="72"/>
      <w:bookmarkEnd w:id="73"/>
      <w:bookmarkEnd w:id="74"/>
      <w:bookmarkEnd w:id="75"/>
      <w:bookmarkEnd w:id="76"/>
      <w:proofErr w:type="spellEnd"/>
      <w:r>
        <w:rPr>
          <w:rFonts w:hint="eastAsia"/>
        </w:rPr>
        <w:t xml:space="preserve"> </w:t>
      </w:r>
    </w:p>
    <w:p w:rsidR="00195C2F" w:rsidRDefault="00CB3C6C">
      <w:pPr>
        <w:pStyle w:val="XBRLTitle2"/>
        <w:spacing w:before="156" w:line="360" w:lineRule="auto"/>
        <w:ind w:left="454"/>
      </w:pPr>
      <w:bookmarkStart w:id="77" w:name="_Toc459213770"/>
      <w:bookmarkStart w:id="78" w:name="_Toc456107124"/>
      <w:bookmarkStart w:id="79" w:name="_Toc438654078"/>
      <w:bookmarkStart w:id="80" w:name="_Toc448480290"/>
      <w:bookmarkStart w:id="81" w:name="_Toc480465421"/>
      <w:bookmarkStart w:id="82" w:name="_Toc514178675"/>
      <w:bookmarkStart w:id="83" w:name="_Toc512611287"/>
      <w:bookmarkStart w:id="84" w:name="_Toc512612083"/>
      <w:bookmarkStart w:id="85" w:name="_Toc512612259"/>
      <w:bookmarkStart w:id="86" w:name="_Toc513658013"/>
      <w:bookmarkStart w:id="87" w:name="_Toc512519496"/>
      <w:bookmarkStart w:id="88" w:name="_Toc481075064"/>
      <w:bookmarkStart w:id="89" w:name="_Toc438646466"/>
      <w:bookmarkStart w:id="90" w:name="_Toc490050017"/>
      <w:proofErr w:type="spellStart"/>
      <w:r>
        <w:rPr>
          <w:rFonts w:hint="eastAsia"/>
        </w:rPr>
        <w:lastRenderedPageBreak/>
        <w:t>基金经理（或基金经理小组）简介</w:t>
      </w:r>
      <w:bookmarkEnd w:id="77"/>
      <w:bookmarkEnd w:id="78"/>
      <w:bookmarkEnd w:id="79"/>
      <w:bookmarkEnd w:id="80"/>
      <w:bookmarkEnd w:id="81"/>
      <w:bookmarkEnd w:id="82"/>
      <w:proofErr w:type="spellEnd"/>
      <w:r>
        <w:rPr>
          <w:rFonts w:hint="eastAsia"/>
          <w:szCs w:val="21"/>
        </w:rPr>
        <w:t xml:space="preserve"> </w:t>
      </w:r>
      <w:bookmarkEnd w:id="83"/>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95C2F">
        <w:trPr>
          <w:divId w:val="72669009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napToGrid w:val="0"/>
              <w:jc w:val="center"/>
            </w:pPr>
            <w:bookmarkStart w:id="91" w:name="m04_02"/>
            <w:bookmarkEnd w:id="91"/>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95C2F">
        <w:trPr>
          <w:divId w:val="72669009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C2F" w:rsidRDefault="00195C2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5C2F" w:rsidRDefault="00195C2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5C2F" w:rsidRDefault="00195C2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5C2F" w:rsidRDefault="00195C2F">
            <w:pPr>
              <w:widowControl/>
              <w:jc w:val="left"/>
            </w:pPr>
          </w:p>
        </w:tc>
      </w:tr>
      <w:tr w:rsidR="00195C2F">
        <w:trPr>
          <w:divId w:val="72669009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毛时超</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2023年7月18日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szCs w:val="24"/>
                <w:lang w:eastAsia="zh-Hans"/>
              </w:rPr>
              <w:t xml:space="preserve">毛时超先生曾任平安基金管理有限公司量化研究员、基金经理助理、基金经理；自2021年11月加入摩根基金管理(中国)有限公司(原上投摩根基金管理有限公司)，现任指数及量化投资部基金经理。 </w:t>
            </w:r>
          </w:p>
        </w:tc>
      </w:tr>
    </w:tbl>
    <w:p w:rsidR="00195C2F" w:rsidRDefault="00CB3C6C">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195C2F" w:rsidRDefault="00CB3C6C">
      <w:pPr>
        <w:pStyle w:val="XBRLTitle2"/>
        <w:spacing w:before="156" w:line="360" w:lineRule="auto"/>
        <w:ind w:left="454"/>
      </w:pPr>
      <w:bookmarkStart w:id="92" w:name="_Toc459213771"/>
      <w:bookmarkStart w:id="93" w:name="_Toc456107125"/>
      <w:bookmarkStart w:id="94" w:name="_Toc438654079"/>
      <w:bookmarkStart w:id="95" w:name="_Toc448480291"/>
      <w:bookmarkStart w:id="96" w:name="_Toc480465422"/>
      <w:bookmarkStart w:id="97" w:name="_Toc512611288"/>
      <w:bookmarkStart w:id="98" w:name="_Toc512612084"/>
      <w:bookmarkStart w:id="99" w:name="_Toc512612260"/>
      <w:bookmarkStart w:id="100" w:name="_Toc513658014"/>
      <w:bookmarkStart w:id="101" w:name="_Toc514178676"/>
      <w:bookmarkStart w:id="102" w:name="m402"/>
      <w:proofErr w:type="spellStart"/>
      <w:r>
        <w:rPr>
          <w:rFonts w:hint="eastAsia"/>
        </w:rPr>
        <w:t>境外投资顾问为本基金提供投资建议的主要成员简介</w:t>
      </w:r>
      <w:bookmarkEnd w:id="92"/>
      <w:bookmarkEnd w:id="93"/>
      <w:bookmarkEnd w:id="94"/>
      <w:bookmarkEnd w:id="95"/>
      <w:bookmarkEnd w:id="96"/>
      <w:bookmarkEnd w:id="97"/>
      <w:bookmarkEnd w:id="98"/>
      <w:bookmarkEnd w:id="99"/>
      <w:bookmarkEnd w:id="100"/>
      <w:bookmarkEnd w:id="101"/>
      <w:proofErr w:type="spellEnd"/>
      <w:r>
        <w:rPr>
          <w:rFonts w:hint="eastAsia"/>
        </w:rPr>
        <w:t xml:space="preserve"> </w:t>
      </w:r>
    </w:p>
    <w:bookmarkEnd w:id="102"/>
    <w:p w:rsidR="00195C2F" w:rsidRDefault="00CB3C6C">
      <w:pPr>
        <w:spacing w:line="360" w:lineRule="auto"/>
        <w:ind w:firstLineChars="200" w:firstLine="420"/>
        <w:jc w:val="left"/>
      </w:pPr>
      <w:r>
        <w:rPr>
          <w:rFonts w:ascii="宋体" w:hAnsi="宋体" w:hint="eastAsia"/>
          <w:kern w:val="0"/>
          <w:szCs w:val="21"/>
          <w:lang w:eastAsia="zh-Hans"/>
        </w:rPr>
        <w:t>本基金暂不设境外投资顾问。</w:t>
      </w:r>
    </w:p>
    <w:p w:rsidR="00195C2F" w:rsidRDefault="00CB3C6C">
      <w:pPr>
        <w:pStyle w:val="XBRLTitle2"/>
        <w:spacing w:before="156" w:line="360" w:lineRule="auto"/>
        <w:ind w:left="454"/>
      </w:pPr>
      <w:bookmarkStart w:id="103" w:name="_Toc459213772"/>
      <w:bookmarkStart w:id="104" w:name="_Toc456107126"/>
      <w:bookmarkStart w:id="105" w:name="_Toc438654080"/>
      <w:bookmarkStart w:id="106" w:name="_Toc448480292"/>
      <w:bookmarkStart w:id="107" w:name="_Toc480465423"/>
      <w:bookmarkStart w:id="108" w:name="_Toc512611289"/>
      <w:bookmarkStart w:id="109" w:name="_Toc512612085"/>
      <w:bookmarkStart w:id="110" w:name="_Toc512612261"/>
      <w:bookmarkStart w:id="111" w:name="_Toc513658015"/>
      <w:bookmarkStart w:id="112" w:name="_Toc514178677"/>
      <w:bookmarkStart w:id="113" w:name="m403"/>
      <w:proofErr w:type="spellStart"/>
      <w:r>
        <w:rPr>
          <w:rFonts w:hint="eastAsia"/>
        </w:rPr>
        <w:t>报告期内本基金运作遵规守信情况说明</w:t>
      </w:r>
      <w:bookmarkEnd w:id="103"/>
      <w:bookmarkEnd w:id="104"/>
      <w:bookmarkEnd w:id="105"/>
      <w:bookmarkEnd w:id="106"/>
      <w:bookmarkEnd w:id="107"/>
      <w:bookmarkEnd w:id="108"/>
      <w:bookmarkEnd w:id="109"/>
      <w:bookmarkEnd w:id="110"/>
      <w:bookmarkEnd w:id="111"/>
      <w:bookmarkEnd w:id="112"/>
      <w:proofErr w:type="spellEnd"/>
      <w:r>
        <w:rPr>
          <w:rFonts w:hint="eastAsia"/>
        </w:rPr>
        <w:t xml:space="preserve"> </w:t>
      </w:r>
    </w:p>
    <w:p w:rsidR="00195C2F" w:rsidRDefault="00CB3C6C">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195C2F" w:rsidRDefault="00CB3C6C">
      <w:pPr>
        <w:pStyle w:val="XBRLTitle2"/>
        <w:spacing w:before="156" w:line="360" w:lineRule="auto"/>
        <w:ind w:left="454"/>
      </w:pPr>
      <w:bookmarkStart w:id="114" w:name="_Toc459213773"/>
      <w:bookmarkStart w:id="115" w:name="_Toc456107127"/>
      <w:bookmarkStart w:id="116" w:name="_Toc438654081"/>
      <w:bookmarkStart w:id="117" w:name="_Toc448480293"/>
      <w:bookmarkStart w:id="118" w:name="_Toc480465424"/>
      <w:bookmarkStart w:id="119" w:name="_Toc512611290"/>
      <w:bookmarkStart w:id="120" w:name="_Toc512612086"/>
      <w:bookmarkStart w:id="121" w:name="_Toc512612262"/>
      <w:bookmarkStart w:id="122" w:name="_Toc513658016"/>
      <w:bookmarkStart w:id="123" w:name="_Toc514178678"/>
      <w:bookmarkEnd w:id="113"/>
      <w:proofErr w:type="spellStart"/>
      <w:r>
        <w:rPr>
          <w:rFonts w:hint="eastAsia"/>
        </w:rPr>
        <w:t>公平交易专项说明</w:t>
      </w:r>
      <w:bookmarkEnd w:id="114"/>
      <w:bookmarkEnd w:id="115"/>
      <w:bookmarkEnd w:id="116"/>
      <w:bookmarkEnd w:id="117"/>
      <w:bookmarkEnd w:id="118"/>
      <w:bookmarkEnd w:id="119"/>
      <w:bookmarkEnd w:id="120"/>
      <w:bookmarkEnd w:id="121"/>
      <w:bookmarkEnd w:id="122"/>
      <w:bookmarkEnd w:id="123"/>
      <w:proofErr w:type="spellEnd"/>
      <w:r>
        <w:rPr>
          <w:rFonts w:hint="eastAsia"/>
        </w:rPr>
        <w:t xml:space="preserve"> </w:t>
      </w:r>
    </w:p>
    <w:p w:rsidR="00195C2F" w:rsidRDefault="00CB3C6C">
      <w:pPr>
        <w:pStyle w:val="XBRLTitle3"/>
        <w:spacing w:before="156"/>
        <w:ind w:left="0"/>
      </w:pPr>
      <w:bookmarkStart w:id="124" w:name="_Toc513658017"/>
      <w:bookmarkStart w:id="125" w:name="_Toc514178679"/>
      <w:bookmarkStart w:id="126" w:name="_Toc480465425"/>
      <w:bookmarkStart w:id="127" w:name="m404_01_0570"/>
      <w:proofErr w:type="spellStart"/>
      <w:r>
        <w:rPr>
          <w:rFonts w:hint="eastAsia"/>
        </w:rPr>
        <w:t>公平交易制度的执行情况</w:t>
      </w:r>
      <w:bookmarkEnd w:id="124"/>
      <w:bookmarkEnd w:id="125"/>
      <w:proofErr w:type="spellEnd"/>
    </w:p>
    <w:p w:rsidR="00195C2F" w:rsidRDefault="00CB3C6C">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rsidR="00195C2F" w:rsidRDefault="00CB3C6C">
      <w:pPr>
        <w:pStyle w:val="XBRLTitle3"/>
        <w:spacing w:before="156"/>
        <w:ind w:left="0"/>
      </w:pPr>
      <w:bookmarkStart w:id="128" w:name="_Toc513658018"/>
      <w:bookmarkStart w:id="129" w:name="_Toc514178680"/>
      <w:bookmarkStart w:id="130" w:name="_Toc480465426"/>
      <w:bookmarkStart w:id="131" w:name="m404_01_0578"/>
      <w:proofErr w:type="spellStart"/>
      <w:r>
        <w:rPr>
          <w:rFonts w:hint="eastAsia"/>
        </w:rPr>
        <w:t>异常交易行为的专项说明</w:t>
      </w:r>
      <w:bookmarkEnd w:id="128"/>
      <w:bookmarkEnd w:id="129"/>
      <w:proofErr w:type="spellEnd"/>
    </w:p>
    <w:p w:rsidR="00195C2F" w:rsidRDefault="00CB3C6C">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195C2F" w:rsidRDefault="00CB3C6C">
      <w:pPr>
        <w:pStyle w:val="XBRLTitle2"/>
        <w:spacing w:before="156" w:line="360" w:lineRule="auto"/>
        <w:ind w:left="454"/>
      </w:pPr>
      <w:bookmarkStart w:id="132" w:name="_Toc459213774"/>
      <w:bookmarkStart w:id="133" w:name="_Toc456107128"/>
      <w:bookmarkStart w:id="134" w:name="_Toc438654082"/>
      <w:bookmarkStart w:id="135" w:name="_Toc448480294"/>
      <w:bookmarkStart w:id="136" w:name="_Toc480465427"/>
      <w:bookmarkStart w:id="137" w:name="_Toc512611291"/>
      <w:bookmarkStart w:id="138" w:name="_Toc512612087"/>
      <w:bookmarkStart w:id="139" w:name="_Toc512612263"/>
      <w:bookmarkStart w:id="140" w:name="_Toc513658019"/>
      <w:bookmarkStart w:id="141" w:name="_Toc514178681"/>
      <w:proofErr w:type="spellStart"/>
      <w:r>
        <w:rPr>
          <w:rFonts w:hint="eastAsia"/>
        </w:rPr>
        <w:t>报告期内基金的投资策略和业绩表现说明</w:t>
      </w:r>
      <w:bookmarkEnd w:id="132"/>
      <w:bookmarkEnd w:id="133"/>
      <w:bookmarkEnd w:id="134"/>
      <w:bookmarkEnd w:id="135"/>
      <w:bookmarkEnd w:id="136"/>
      <w:bookmarkEnd w:id="137"/>
      <w:bookmarkEnd w:id="138"/>
      <w:bookmarkEnd w:id="139"/>
      <w:bookmarkEnd w:id="140"/>
      <w:bookmarkEnd w:id="141"/>
      <w:proofErr w:type="spellEnd"/>
      <w:r>
        <w:rPr>
          <w:rFonts w:hint="eastAsia"/>
        </w:rPr>
        <w:t xml:space="preserve"> </w:t>
      </w:r>
    </w:p>
    <w:p w:rsidR="00195C2F" w:rsidRDefault="00CB3C6C">
      <w:pPr>
        <w:pStyle w:val="XBRLTitle3"/>
        <w:spacing w:before="156"/>
        <w:ind w:left="0"/>
      </w:pPr>
      <w:bookmarkStart w:id="142" w:name="_Toc51408825711"/>
      <w:bookmarkStart w:id="143" w:name="_Toc513542656"/>
      <w:proofErr w:type="spellStart"/>
      <w:r>
        <w:rPr>
          <w:rFonts w:hint="eastAsia"/>
        </w:rPr>
        <w:t>报告期内基金投资策略和运作分析</w:t>
      </w:r>
      <w:bookmarkEnd w:id="142"/>
      <w:bookmarkEnd w:id="126"/>
      <w:bookmarkEnd w:id="143"/>
      <w:proofErr w:type="spellEnd"/>
      <w:r>
        <w:rPr>
          <w:rFonts w:hint="eastAsia"/>
        </w:rPr>
        <w:t xml:space="preserve"> </w:t>
      </w:r>
    </w:p>
    <w:p w:rsidR="00195C2F" w:rsidRDefault="00CB3C6C">
      <w:pPr>
        <w:spacing w:line="360" w:lineRule="auto"/>
        <w:ind w:firstLineChars="200" w:firstLine="420"/>
        <w:divId w:val="2115007022"/>
      </w:pPr>
      <w:r>
        <w:rPr>
          <w:rFonts w:ascii="宋体" w:hAnsi="宋体" w:hint="eastAsia"/>
          <w:color w:val="000000"/>
          <w:kern w:val="0"/>
          <w:szCs w:val="21"/>
          <w:lang w:eastAsia="zh-Hans"/>
        </w:rPr>
        <w:t>2025年一季度，恒生科技指数呈现“先扬后抑”的走势。春节前夕，</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横空出世，其发布的大语言模型Deepseek-R1效果对标gpt4-o，但是成本降低至不足1/10，其凭借低训练成本、性能优越、开源等特性，引发市场对中国科技板块估值重估的热潮，在南向资金持续流入推动下，恒生科技指数强势上涨，年初至3月7日，指数一度上涨35.82%。在经历第一阶段估值修复后，受获利回吐压力、特朗普加征关税等带来的情绪扰动等因素影响，指数连续三周回调，截至3月31日，恒生科技指数报告期涨幅收窄至20.74%。本基金采用被动投资的方法跟踪标的指数，争取跟踪误差保持在合理范围内。</w:t>
      </w:r>
      <w:r>
        <w:rPr>
          <w:rFonts w:ascii="宋体" w:hAnsi="宋体" w:hint="eastAsia"/>
          <w:color w:val="000000"/>
          <w:kern w:val="0"/>
          <w:szCs w:val="21"/>
          <w:lang w:eastAsia="zh-Hans"/>
        </w:rPr>
        <w:br/>
        <w:t xml:space="preserve">　　对于港股互联网科技公司，接下来市场关注的焦点或从AI叙事转向是否能长期实现盈利兑现。从产业长周期角度来看，中国科技创新和产业升级的潜力巨大，科技“自主可控”、“自立自强”是内循环当中的较大增量。</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等国产大模型的突破性进展正在加速AI商业化落地，有核心技术和商业生态的互联网巨头值得投资者关注。</w:t>
      </w:r>
      <w:r>
        <w:rPr>
          <w:rFonts w:ascii="宋体" w:hAnsi="宋体" w:hint="eastAsia"/>
          <w:color w:val="000000"/>
          <w:kern w:val="0"/>
          <w:sz w:val="24"/>
        </w:rPr>
        <w:t xml:space="preserve"> </w:t>
      </w:r>
      <w:bookmarkEnd w:id="28"/>
    </w:p>
    <w:p w:rsidR="00195C2F" w:rsidRDefault="00CB3C6C">
      <w:pPr>
        <w:pStyle w:val="XBRLTitle3"/>
        <w:spacing w:before="156"/>
        <w:ind w:left="0"/>
      </w:pPr>
      <w:bookmarkStart w:id="144" w:name="_Toc51408825712"/>
      <w:bookmarkStart w:id="145" w:name="_Toc513542657"/>
      <w:bookmarkEnd w:id="127"/>
      <w:proofErr w:type="spellStart"/>
      <w:r>
        <w:rPr>
          <w:rFonts w:hint="eastAsia"/>
        </w:rPr>
        <w:t>报告期内基金的业绩表现</w:t>
      </w:r>
      <w:bookmarkEnd w:id="144"/>
      <w:bookmarkEnd w:id="130"/>
      <w:bookmarkEnd w:id="145"/>
      <w:proofErr w:type="spellEnd"/>
      <w:r>
        <w:rPr>
          <w:rFonts w:hint="eastAsia"/>
        </w:rPr>
        <w:t xml:space="preserve"> </w:t>
      </w:r>
    </w:p>
    <w:p w:rsidR="00195C2F" w:rsidRDefault="00CB3C6C">
      <w:pPr>
        <w:spacing w:line="360" w:lineRule="auto"/>
        <w:ind w:firstLineChars="200" w:firstLine="420"/>
        <w:jc w:val="left"/>
      </w:pPr>
      <w:r>
        <w:rPr>
          <w:rFonts w:ascii="宋体" w:hAnsi="宋体" w:cs="宋体" w:hint="eastAsia"/>
          <w:color w:val="000000"/>
          <w:kern w:val="0"/>
        </w:rPr>
        <w:t>本报告期摩根恒生科技ETF发起式联接(QDII)A份额净值增长率为：17.91%，同期业绩比较基准收益率为:19.31%;</w:t>
      </w:r>
      <w:r>
        <w:rPr>
          <w:rFonts w:ascii="宋体" w:hAnsi="宋体" w:cs="宋体" w:hint="eastAsia"/>
          <w:color w:val="000000"/>
          <w:kern w:val="0"/>
        </w:rPr>
        <w:br/>
        <w:t xml:space="preserve">　　摩根恒生科技ETF发起式联接(QDII)C份额净值增长率为：18.16%，同期业绩比较基准收益率为:19.31%。</w:t>
      </w:r>
      <w:bookmarkEnd w:id="131"/>
    </w:p>
    <w:p w:rsidR="00195C2F" w:rsidRDefault="00CB3C6C">
      <w:pPr>
        <w:pStyle w:val="XBRLTitle2"/>
        <w:spacing w:before="156" w:line="360" w:lineRule="auto"/>
        <w:ind w:left="454"/>
      </w:pPr>
      <w:bookmarkStart w:id="146" w:name="m405_01_2550"/>
      <w:bookmarkStart w:id="147" w:name="_Toc459213775"/>
      <w:bookmarkStart w:id="148" w:name="_Toc456107129"/>
      <w:bookmarkStart w:id="149" w:name="_Toc438654084"/>
      <w:bookmarkStart w:id="150" w:name="_Toc448480296"/>
      <w:bookmarkStart w:id="151" w:name="_Toc480465430"/>
      <w:bookmarkStart w:id="152" w:name="_Toc512611292"/>
      <w:bookmarkStart w:id="153" w:name="_Toc512612088"/>
      <w:bookmarkStart w:id="154" w:name="_Toc512612264"/>
      <w:bookmarkStart w:id="155" w:name="_Toc513658020"/>
      <w:bookmarkStart w:id="156" w:name="_Toc514178682"/>
      <w:bookmarkStart w:id="157" w:name="m407"/>
      <w:bookmarkEnd w:id="146"/>
      <w:proofErr w:type="spellStart"/>
      <w:r>
        <w:rPr>
          <w:rFonts w:hint="eastAsia"/>
        </w:rPr>
        <w:t>报告期内基金持有人数或基金资产净值预警说明</w:t>
      </w:r>
      <w:bookmarkEnd w:id="147"/>
      <w:bookmarkEnd w:id="148"/>
      <w:bookmarkEnd w:id="149"/>
      <w:bookmarkEnd w:id="150"/>
      <w:bookmarkEnd w:id="151"/>
      <w:bookmarkEnd w:id="152"/>
      <w:bookmarkEnd w:id="153"/>
      <w:bookmarkEnd w:id="154"/>
      <w:bookmarkEnd w:id="155"/>
      <w:bookmarkEnd w:id="156"/>
      <w:proofErr w:type="spellEnd"/>
      <w:r>
        <w:rPr>
          <w:rFonts w:hint="eastAsia"/>
        </w:rPr>
        <w:t xml:space="preserve"> </w:t>
      </w:r>
    </w:p>
    <w:p w:rsidR="00195C2F" w:rsidRDefault="00CB3C6C">
      <w:pPr>
        <w:spacing w:line="360" w:lineRule="auto"/>
        <w:ind w:firstLineChars="200" w:firstLine="420"/>
        <w:jc w:val="left"/>
      </w:pPr>
      <w:r>
        <w:rPr>
          <w:rFonts w:ascii="宋体" w:hAnsi="宋体" w:hint="eastAsia"/>
        </w:rPr>
        <w:t>无。</w:t>
      </w:r>
    </w:p>
    <w:p w:rsidR="00195C2F" w:rsidRDefault="00CB3C6C">
      <w:pPr>
        <w:pStyle w:val="XBRLTitle1"/>
        <w:spacing w:before="156" w:line="360" w:lineRule="auto"/>
        <w:ind w:left="425"/>
      </w:pPr>
      <w:bookmarkStart w:id="158" w:name="_Toc514178683"/>
      <w:bookmarkEnd w:id="157"/>
      <w:proofErr w:type="spellStart"/>
      <w:r>
        <w:rPr>
          <w:rFonts w:hint="eastAsia"/>
        </w:rPr>
        <w:t>投资组合报告</w:t>
      </w:r>
      <w:bookmarkEnd w:id="158"/>
      <w:bookmarkEnd w:id="87"/>
      <w:bookmarkEnd w:id="88"/>
      <w:bookmarkEnd w:id="89"/>
      <w:bookmarkEnd w:id="90"/>
      <w:proofErr w:type="spellEnd"/>
      <w:r>
        <w:rPr>
          <w:rFonts w:hint="eastAsia"/>
        </w:rPr>
        <w:t xml:space="preserve"> </w:t>
      </w:r>
    </w:p>
    <w:p w:rsidR="00195C2F" w:rsidRDefault="00CB3C6C">
      <w:pPr>
        <w:pStyle w:val="XBRLTitle2"/>
        <w:spacing w:before="156" w:line="360" w:lineRule="auto"/>
        <w:ind w:left="454"/>
      </w:pPr>
      <w:bookmarkStart w:id="159" w:name="_Toc459213777"/>
      <w:bookmarkStart w:id="160" w:name="_Toc456107131"/>
      <w:bookmarkStart w:id="161" w:name="_Toc438654086"/>
      <w:bookmarkStart w:id="162" w:name="_Toc448480298"/>
      <w:bookmarkStart w:id="163" w:name="_Toc480465432"/>
      <w:bookmarkStart w:id="164" w:name="_Toc514178684"/>
      <w:bookmarkStart w:id="165" w:name="_Toc512611294"/>
      <w:bookmarkStart w:id="166" w:name="_Toc512612090"/>
      <w:bookmarkStart w:id="167" w:name="_Toc512612266"/>
      <w:bookmarkStart w:id="168" w:name="_Toc513658022"/>
      <w:bookmarkStart w:id="169" w:name="m501"/>
      <w:bookmarkStart w:id="170" w:name="_Toc490050042"/>
      <w:bookmarkStart w:id="171" w:name="_Toc438646477"/>
      <w:bookmarkStart w:id="172" w:name="_Toc481075089"/>
      <w:bookmarkStart w:id="173" w:name="_Toc512519521"/>
      <w:bookmarkStart w:id="174" w:name="m601"/>
      <w:proofErr w:type="spellStart"/>
      <w:r>
        <w:rPr>
          <w:rFonts w:hint="eastAsia"/>
        </w:rPr>
        <w:lastRenderedPageBreak/>
        <w:t>报告期末基金资产组合情况</w:t>
      </w:r>
      <w:bookmarkEnd w:id="159"/>
      <w:bookmarkEnd w:id="160"/>
      <w:bookmarkEnd w:id="161"/>
      <w:bookmarkEnd w:id="162"/>
      <w:bookmarkEnd w:id="163"/>
      <w:bookmarkEnd w:id="164"/>
      <w:proofErr w:type="spellEnd"/>
      <w:r>
        <w:rPr>
          <w:rFonts w:hint="eastAsia"/>
        </w:rPr>
        <w:t xml:space="preserve"> </w:t>
      </w:r>
      <w:bookmarkEnd w:id="165"/>
      <w:bookmarkEnd w:id="166"/>
      <w:bookmarkEnd w:id="167"/>
      <w:bookmarkEnd w:id="168"/>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jc w:val="center"/>
            </w:pPr>
            <w:bookmarkStart w:id="175" w:name="m08QD_01_tab"/>
            <w:bookmarkStart w:id="176" w:name="OLE_LINK41"/>
            <w:bookmarkStart w:id="177" w:name="OLE_LINK42"/>
            <w:bookmarkStart w:id="178" w:name="OLE_LINK45"/>
            <w:bookmarkStart w:id="179" w:name="OLE_LINK46"/>
            <w:bookmarkEnd w:id="175"/>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183,515,450.70</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90.25</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4,047,394.93</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1.99</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4,047,394.93</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1.99</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13,342,110.49</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6.56</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2,427,829.90</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1.19</w:t>
            </w:r>
          </w:p>
        </w:tc>
      </w:tr>
      <w:tr w:rsidR="00195C2F">
        <w:trPr>
          <w:divId w:val="9983898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95C2F" w:rsidRDefault="00CB3C6C">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195C2F" w:rsidRDefault="00CB3C6C">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203,332,786.02</w:t>
            </w:r>
          </w:p>
        </w:tc>
        <w:tc>
          <w:tcPr>
            <w:tcW w:w="2373" w:type="dxa"/>
            <w:tcBorders>
              <w:top w:val="single" w:sz="4" w:space="0" w:color="auto"/>
              <w:left w:val="nil"/>
              <w:bottom w:val="single" w:sz="4" w:space="0" w:color="auto"/>
              <w:right w:val="single" w:sz="4" w:space="0" w:color="auto"/>
            </w:tcBorders>
            <w:vAlign w:val="center"/>
            <w:hideMark/>
          </w:tcPr>
          <w:p w:rsidR="00195C2F" w:rsidRDefault="00CB3C6C">
            <w:pPr>
              <w:jc w:val="right"/>
            </w:pPr>
            <w:r>
              <w:rPr>
                <w:rFonts w:ascii="宋体" w:hAnsi="宋体" w:hint="eastAsia"/>
                <w:szCs w:val="24"/>
                <w:lang w:eastAsia="zh-Hans"/>
              </w:rPr>
              <w:t>100.00</w:t>
            </w:r>
          </w:p>
        </w:tc>
      </w:tr>
    </w:tbl>
    <w:p w:rsidR="00195C2F" w:rsidRDefault="00CB3C6C">
      <w:pPr>
        <w:pStyle w:val="XBRLTitle2"/>
        <w:spacing w:before="156" w:line="360" w:lineRule="auto"/>
        <w:ind w:left="454"/>
      </w:pPr>
      <w:bookmarkStart w:id="180" w:name="_Toc459213778"/>
      <w:bookmarkStart w:id="181" w:name="_Toc456107132"/>
      <w:bookmarkStart w:id="182" w:name="_Toc438654087"/>
      <w:bookmarkStart w:id="183" w:name="_Toc448480299"/>
      <w:bookmarkStart w:id="184" w:name="_Toc480465433"/>
      <w:bookmarkStart w:id="185" w:name="_Toc512611295"/>
      <w:bookmarkStart w:id="186" w:name="_Toc512612091"/>
      <w:bookmarkStart w:id="187" w:name="_Toc512612267"/>
      <w:bookmarkStart w:id="188" w:name="_Toc513658023"/>
      <w:bookmarkStart w:id="189" w:name="_Toc514178685"/>
      <w:bookmarkEnd w:id="169"/>
      <w:proofErr w:type="spellStart"/>
      <w:r>
        <w:rPr>
          <w:rFonts w:hint="eastAsia"/>
        </w:rPr>
        <w:t>报告期末在各个国家（地区）证券市场的股票及存托凭证投资分布</w:t>
      </w:r>
      <w:bookmarkEnd w:id="180"/>
      <w:bookmarkEnd w:id="181"/>
      <w:bookmarkEnd w:id="182"/>
      <w:bookmarkEnd w:id="183"/>
      <w:bookmarkEnd w:id="184"/>
      <w:bookmarkEnd w:id="185"/>
      <w:bookmarkEnd w:id="186"/>
      <w:bookmarkEnd w:id="187"/>
      <w:bookmarkEnd w:id="188"/>
      <w:bookmarkEnd w:id="189"/>
      <w:proofErr w:type="spellEnd"/>
      <w:r>
        <w:rPr>
          <w:rFonts w:hint="eastAsia"/>
        </w:rPr>
        <w:t xml:space="preserve"> </w:t>
      </w:r>
    </w:p>
    <w:p w:rsidR="00195C2F" w:rsidRDefault="00CB3C6C">
      <w:pPr>
        <w:spacing w:line="360" w:lineRule="auto"/>
        <w:ind w:firstLineChars="200" w:firstLine="420"/>
        <w:jc w:val="left"/>
      </w:pPr>
      <w:r>
        <w:rPr>
          <w:rFonts w:ascii="宋体" w:hAnsi="宋体" w:hint="eastAsia"/>
        </w:rPr>
        <w:t>本基金本报告期末未持有股票及存托凭证。</w:t>
      </w:r>
    </w:p>
    <w:p w:rsidR="00195C2F" w:rsidRDefault="00CB3C6C">
      <w:pPr>
        <w:pStyle w:val="XBRLTitle2"/>
        <w:spacing w:before="156" w:line="360" w:lineRule="auto"/>
        <w:ind w:left="454"/>
      </w:pPr>
      <w:bookmarkStart w:id="190" w:name="m502_tab"/>
      <w:bookmarkStart w:id="191" w:name="_Toc459213779"/>
      <w:bookmarkStart w:id="192" w:name="_Toc456107133"/>
      <w:bookmarkStart w:id="193" w:name="_Toc438654088"/>
      <w:bookmarkStart w:id="194" w:name="_Toc448480300"/>
      <w:bookmarkStart w:id="195" w:name="_Toc480465434"/>
      <w:bookmarkStart w:id="196" w:name="_Toc512611296"/>
      <w:bookmarkStart w:id="197" w:name="_Toc512612092"/>
      <w:bookmarkStart w:id="198" w:name="_Toc512612268"/>
      <w:bookmarkStart w:id="199" w:name="_Toc513658024"/>
      <w:bookmarkStart w:id="200" w:name="_Toc514178686"/>
      <w:bookmarkStart w:id="201" w:name="m503"/>
      <w:bookmarkEnd w:id="190"/>
      <w:proofErr w:type="spellStart"/>
      <w:r>
        <w:rPr>
          <w:rFonts w:hint="eastAsia"/>
        </w:rPr>
        <w:t>报告期末按行业分类的股票及存托凭证投资组合</w:t>
      </w:r>
      <w:bookmarkStart w:id="202" w:name="_Toc513637368"/>
      <w:bookmarkEnd w:id="191"/>
      <w:bookmarkEnd w:id="192"/>
      <w:bookmarkEnd w:id="193"/>
      <w:bookmarkEnd w:id="194"/>
      <w:bookmarkEnd w:id="195"/>
      <w:bookmarkEnd w:id="196"/>
      <w:bookmarkEnd w:id="197"/>
      <w:bookmarkEnd w:id="198"/>
      <w:bookmarkEnd w:id="199"/>
      <w:bookmarkEnd w:id="200"/>
      <w:bookmarkEnd w:id="202"/>
      <w:proofErr w:type="spellEnd"/>
      <w:r>
        <w:rPr>
          <w:rFonts w:hint="eastAsia"/>
          <w:lang w:eastAsia="zh-CN"/>
        </w:rPr>
        <w:t xml:space="preserve"> </w:t>
      </w:r>
    </w:p>
    <w:p w:rsidR="00195C2F" w:rsidRDefault="00CB3C6C">
      <w:pPr>
        <w:pStyle w:val="XBRLTitle3"/>
        <w:spacing w:before="156"/>
        <w:ind w:left="0"/>
      </w:pPr>
      <w:bookmarkStart w:id="203" w:name="_Toc513658025"/>
      <w:bookmarkStart w:id="204" w:name="_Toc514178687"/>
      <w:proofErr w:type="spellStart"/>
      <w:r>
        <w:rPr>
          <w:rFonts w:hint="eastAsia"/>
          <w:kern w:val="0"/>
        </w:rPr>
        <w:t>报告期末指数投资按行业分类的股票及存托凭证投资组合</w:t>
      </w:r>
      <w:bookmarkEnd w:id="203"/>
      <w:bookmarkEnd w:id="204"/>
      <w:proofErr w:type="spellEnd"/>
      <w:r>
        <w:rPr>
          <w:rFonts w:hint="eastAsia"/>
        </w:rPr>
        <w:t xml:space="preserve"> </w:t>
      </w:r>
    </w:p>
    <w:p w:rsidR="00195C2F" w:rsidRDefault="00CB3C6C">
      <w:pPr>
        <w:widowControl/>
        <w:spacing w:line="315" w:lineRule="atLeast"/>
        <w:ind w:firstLineChars="200" w:firstLine="420"/>
        <w:divId w:val="1082218251"/>
      </w:pPr>
      <w:bookmarkStart w:id="205" w:name="m08QD_03_01_tab"/>
      <w:bookmarkStart w:id="206" w:name="m08QD_03_tab"/>
      <w:bookmarkEnd w:id="205"/>
      <w:bookmarkEnd w:id="206"/>
      <w:r>
        <w:rPr>
          <w:rFonts w:ascii="宋体" w:hAnsi="宋体" w:cs="宋体" w:hint="eastAsia"/>
          <w:color w:val="000000"/>
          <w:kern w:val="0"/>
          <w:szCs w:val="21"/>
        </w:rPr>
        <w:t>本基金本报告期末未持有股票及存托凭证。</w:t>
      </w:r>
    </w:p>
    <w:p w:rsidR="00195C2F" w:rsidRDefault="00CB3C6C">
      <w:pPr>
        <w:pStyle w:val="XBRLTitle3"/>
        <w:spacing w:before="156"/>
        <w:ind w:left="0"/>
      </w:pPr>
      <w:bookmarkStart w:id="207" w:name="_Toc513658026"/>
      <w:bookmarkStart w:id="208" w:name="_Toc514178688"/>
      <w:proofErr w:type="spellStart"/>
      <w:r>
        <w:rPr>
          <w:rFonts w:hint="eastAsia"/>
          <w:kern w:val="0"/>
        </w:rPr>
        <w:t>报告期末积极投资按行业分类的股票及存托凭证投资组合</w:t>
      </w:r>
      <w:bookmarkEnd w:id="207"/>
      <w:bookmarkEnd w:id="208"/>
      <w:proofErr w:type="spellEnd"/>
      <w:r>
        <w:rPr>
          <w:rFonts w:hint="eastAsia"/>
        </w:rPr>
        <w:t xml:space="preserve"> </w:t>
      </w:r>
    </w:p>
    <w:p w:rsidR="00195C2F" w:rsidRDefault="00CB3C6C">
      <w:pPr>
        <w:widowControl/>
        <w:spacing w:line="315" w:lineRule="atLeast"/>
        <w:ind w:firstLineChars="200" w:firstLine="420"/>
        <w:divId w:val="1823548191"/>
      </w:pPr>
      <w:r>
        <w:rPr>
          <w:rFonts w:ascii="宋体" w:hAnsi="宋体" w:cs="宋体" w:hint="eastAsia"/>
          <w:color w:val="000000"/>
          <w:kern w:val="0"/>
          <w:szCs w:val="21"/>
        </w:rPr>
        <w:t>本基金本报告期末未持有积极投资股票。</w:t>
      </w:r>
    </w:p>
    <w:p w:rsidR="00195C2F" w:rsidRDefault="00CB3C6C">
      <w:pPr>
        <w:pStyle w:val="XBRLTitle2"/>
        <w:spacing w:before="156" w:line="360" w:lineRule="auto"/>
        <w:ind w:left="454"/>
      </w:pPr>
      <w:bookmarkStart w:id="209" w:name="_Toc459213780"/>
      <w:bookmarkStart w:id="210" w:name="_Toc456107134"/>
      <w:bookmarkStart w:id="211" w:name="_Toc438654089"/>
      <w:bookmarkStart w:id="212" w:name="_Toc448480301"/>
      <w:bookmarkStart w:id="213" w:name="_Toc480465435"/>
      <w:bookmarkStart w:id="214" w:name="_Toc512611297"/>
      <w:bookmarkStart w:id="215" w:name="_Toc512612093"/>
      <w:bookmarkStart w:id="216" w:name="_Toc512612269"/>
      <w:bookmarkStart w:id="217" w:name="_Toc513658027"/>
      <w:bookmarkStart w:id="218" w:name="_Toc514178689"/>
      <w:bookmarkEnd w:id="201"/>
      <w:proofErr w:type="spellStart"/>
      <w:r>
        <w:rPr>
          <w:rFonts w:hint="eastAsia"/>
        </w:rPr>
        <w:t>期末按公允价值占基金资产净值比例大小排序的权益投资明细</w:t>
      </w:r>
      <w:bookmarkStart w:id="219" w:name="_Toc513637371"/>
      <w:bookmarkEnd w:id="209"/>
      <w:bookmarkEnd w:id="210"/>
      <w:bookmarkEnd w:id="211"/>
      <w:bookmarkEnd w:id="212"/>
      <w:bookmarkEnd w:id="213"/>
      <w:bookmarkEnd w:id="214"/>
      <w:bookmarkEnd w:id="215"/>
      <w:bookmarkEnd w:id="216"/>
      <w:bookmarkEnd w:id="217"/>
      <w:bookmarkEnd w:id="218"/>
      <w:bookmarkEnd w:id="219"/>
      <w:proofErr w:type="spellEnd"/>
      <w:r>
        <w:rPr>
          <w:rFonts w:hint="eastAsia"/>
        </w:rPr>
        <w:t xml:space="preserve"> </w:t>
      </w:r>
    </w:p>
    <w:p w:rsidR="00195C2F" w:rsidRDefault="00CB3C6C">
      <w:pPr>
        <w:pStyle w:val="XBRLTitle3"/>
        <w:spacing w:before="156"/>
        <w:ind w:left="0"/>
      </w:pPr>
      <w:bookmarkStart w:id="220" w:name="_Toc513658028"/>
      <w:bookmarkStart w:id="221" w:name="_Toc514178690"/>
      <w:proofErr w:type="spellStart"/>
      <w:r>
        <w:rPr>
          <w:rFonts w:hint="eastAsia"/>
        </w:rPr>
        <w:t>报告期末指数投资按公允价值占基金资产净值比例大小排序的前十名股票及存托凭证投资明细</w:t>
      </w:r>
      <w:bookmarkEnd w:id="220"/>
      <w:bookmarkEnd w:id="221"/>
      <w:proofErr w:type="spellEnd"/>
      <w:r>
        <w:rPr>
          <w:rFonts w:hint="eastAsia"/>
        </w:rPr>
        <w:t xml:space="preserve"> </w:t>
      </w:r>
    </w:p>
    <w:p w:rsidR="00195C2F" w:rsidRDefault="00CB3C6C">
      <w:pPr>
        <w:spacing w:line="360" w:lineRule="auto"/>
        <w:ind w:firstLineChars="200" w:firstLine="420"/>
        <w:divId w:val="1926264362"/>
      </w:pPr>
      <w:bookmarkStart w:id="222" w:name="m08QD_04_01_tab"/>
      <w:bookmarkStart w:id="223" w:name="m08QD_04_01"/>
      <w:bookmarkStart w:id="224" w:name="_Toc433036709"/>
      <w:bookmarkStart w:id="225" w:name="_Toc247616246"/>
      <w:bookmarkStart w:id="226" w:name="_Toc458182097"/>
      <w:bookmarkStart w:id="227" w:name="_Toc443558285"/>
      <w:bookmarkStart w:id="228" w:name="m07_04_07_02"/>
      <w:bookmarkEnd w:id="222"/>
      <w:r>
        <w:rPr>
          <w:rFonts w:ascii="宋体" w:hAnsi="宋体" w:hint="eastAsia"/>
          <w:lang w:eastAsia="zh-Hans"/>
        </w:rPr>
        <w:t>本基金本报告期末未持有股票及存托凭证。</w:t>
      </w:r>
      <w:bookmarkEnd w:id="223"/>
      <w:bookmarkEnd w:id="224"/>
      <w:bookmarkEnd w:id="225"/>
      <w:bookmarkEnd w:id="226"/>
      <w:bookmarkEnd w:id="227"/>
    </w:p>
    <w:p w:rsidR="00195C2F" w:rsidRDefault="00CB3C6C">
      <w:pPr>
        <w:pStyle w:val="XBRLTitle3"/>
        <w:spacing w:before="156"/>
        <w:ind w:left="0"/>
      </w:pPr>
      <w:bookmarkStart w:id="229" w:name="_Toc513658029"/>
      <w:bookmarkStart w:id="230" w:name="_Toc514178691"/>
      <w:proofErr w:type="spellStart"/>
      <w:r>
        <w:rPr>
          <w:rFonts w:hint="eastAsia"/>
        </w:rPr>
        <w:t>报告期末积极投资按公允价值占基金资产净值比例大小排序的前五名股票及</w:t>
      </w:r>
      <w:r>
        <w:rPr>
          <w:rFonts w:hint="eastAsia"/>
        </w:rPr>
        <w:lastRenderedPageBreak/>
        <w:t>存托凭证投资明细</w:t>
      </w:r>
      <w:bookmarkEnd w:id="229"/>
      <w:bookmarkEnd w:id="230"/>
      <w:proofErr w:type="spellEnd"/>
      <w:r>
        <w:rPr>
          <w:rFonts w:hint="eastAsia"/>
        </w:rPr>
        <w:t xml:space="preserve"> </w:t>
      </w:r>
    </w:p>
    <w:p w:rsidR="00195C2F" w:rsidRDefault="00CB3C6C">
      <w:pPr>
        <w:spacing w:line="360" w:lineRule="auto"/>
        <w:ind w:firstLineChars="200" w:firstLine="420"/>
        <w:jc w:val="left"/>
      </w:pPr>
      <w:r>
        <w:rPr>
          <w:rFonts w:ascii="宋体" w:hAnsi="宋体" w:hint="eastAsia"/>
        </w:rPr>
        <w:t>本基金本报告期末未持有积极投资股票。</w:t>
      </w:r>
    </w:p>
    <w:p w:rsidR="00195C2F" w:rsidRDefault="00CB3C6C">
      <w:pPr>
        <w:pStyle w:val="XBRLTitle2"/>
        <w:spacing w:before="156" w:line="360" w:lineRule="auto"/>
        <w:ind w:left="454"/>
      </w:pPr>
      <w:bookmarkStart w:id="231" w:name="_Toc459213781"/>
      <w:bookmarkStart w:id="232" w:name="_Toc456107135"/>
      <w:bookmarkStart w:id="233" w:name="_Toc438654090"/>
      <w:bookmarkStart w:id="234" w:name="_Toc448480302"/>
      <w:bookmarkStart w:id="235" w:name="_Toc480465436"/>
      <w:bookmarkStart w:id="236" w:name="_Toc512611298"/>
      <w:bookmarkStart w:id="237" w:name="_Toc512612094"/>
      <w:bookmarkStart w:id="238" w:name="_Toc512612270"/>
      <w:bookmarkStart w:id="239" w:name="_Toc513658030"/>
      <w:bookmarkStart w:id="240" w:name="_Toc514178692"/>
      <w:bookmarkStart w:id="241" w:name="m505"/>
      <w:proofErr w:type="spellStart"/>
      <w:r>
        <w:rPr>
          <w:rFonts w:hint="eastAsia"/>
        </w:rPr>
        <w:t>报告期末按债券信用等级分类的债券投资组合</w:t>
      </w:r>
      <w:bookmarkEnd w:id="231"/>
      <w:bookmarkEnd w:id="232"/>
      <w:bookmarkEnd w:id="233"/>
      <w:bookmarkEnd w:id="234"/>
      <w:bookmarkEnd w:id="235"/>
      <w:bookmarkEnd w:id="236"/>
      <w:bookmarkEnd w:id="237"/>
      <w:bookmarkEnd w:id="238"/>
      <w:bookmarkEnd w:id="239"/>
      <w:bookmarkEnd w:id="240"/>
      <w:proofErr w:type="spellEnd"/>
      <w:r>
        <w:rPr>
          <w:rFonts w:hint="eastAsia"/>
        </w:rPr>
        <w:t xml:space="preserve"> </w:t>
      </w:r>
    </w:p>
    <w:tbl>
      <w:tblPr>
        <w:tblW w:w="5000" w:type="pct"/>
        <w:tblCellMar>
          <w:left w:w="30" w:type="dxa"/>
          <w:right w:w="30" w:type="dxa"/>
        </w:tblCellMar>
        <w:tblLook w:val="04A0" w:firstRow="1" w:lastRow="0" w:firstColumn="1" w:lastColumn="0" w:noHBand="0" w:noVBand="1"/>
      </w:tblPr>
      <w:tblGrid>
        <w:gridCol w:w="3011"/>
        <w:gridCol w:w="3066"/>
        <w:gridCol w:w="2758"/>
      </w:tblGrid>
      <w:tr w:rsidR="00195C2F">
        <w:trPr>
          <w:divId w:val="933588522"/>
          <w:trHeight w:val="315"/>
        </w:trPr>
        <w:tc>
          <w:tcPr>
            <w:tcW w:w="1704"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95C2F" w:rsidRDefault="00CB3C6C">
            <w:pPr>
              <w:jc w:val="center"/>
            </w:pPr>
            <w:r>
              <w:rPr>
                <w:rFonts w:ascii="宋体" w:hAnsi="宋体" w:hint="eastAsia"/>
                <w:szCs w:val="21"/>
              </w:rPr>
              <w:t>债券信用等级</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195C2F" w:rsidRDefault="00CB3C6C">
            <w:pPr>
              <w:jc w:val="center"/>
            </w:pPr>
            <w:r>
              <w:rPr>
                <w:rFonts w:ascii="宋体" w:hAnsi="宋体" w:hint="eastAsia"/>
                <w:szCs w:val="21"/>
              </w:rPr>
              <w:t>公允价值（人民币元）</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195C2F" w:rsidRDefault="00CB3C6C">
            <w:pPr>
              <w:jc w:val="center"/>
            </w:pPr>
            <w:r>
              <w:rPr>
                <w:rFonts w:ascii="宋体" w:hAnsi="宋体" w:hint="eastAsia"/>
                <w:szCs w:val="21"/>
              </w:rPr>
              <w:t>占基金资产净值比例（%）</w:t>
            </w:r>
            <w:r>
              <w:rPr>
                <w:rFonts w:ascii="宋体" w:hint="eastAsia"/>
                <w:szCs w:val="21"/>
                <w:lang w:eastAsia="zh-Hans"/>
              </w:rPr>
              <w:t xml:space="preserve"> </w:t>
            </w:r>
          </w:p>
        </w:tc>
      </w:tr>
      <w:tr w:rsidR="00195C2F">
        <w:trPr>
          <w:divId w:val="933588522"/>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ind w:leftChars="50" w:left="105"/>
            </w:pPr>
            <w:r>
              <w:rPr>
                <w:rFonts w:ascii="宋体" w:hAnsi="宋体" w:hint="eastAsia"/>
                <w:szCs w:val="21"/>
                <w:lang w:eastAsia="zh-Hans"/>
              </w:rPr>
              <w:t>AAA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w:t>
            </w:r>
            <w:r>
              <w:rPr>
                <w:rFonts w:ascii="宋体" w:hint="eastAsia"/>
                <w:szCs w:val="21"/>
                <w:lang w:eastAsia="zh-Hans"/>
              </w:rPr>
              <w:t xml:space="preserve"> </w:t>
            </w:r>
          </w:p>
        </w:tc>
      </w:tr>
      <w:tr w:rsidR="00195C2F">
        <w:trPr>
          <w:divId w:val="933588522"/>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ind w:leftChars="50" w:left="105"/>
            </w:pPr>
            <w:r>
              <w:rPr>
                <w:rFonts w:ascii="宋体" w:hAnsi="宋体" w:hint="eastAsia"/>
                <w:szCs w:val="21"/>
                <w:lang w:eastAsia="zh-Hans"/>
              </w:rPr>
              <w:t>AA-至AA+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w:t>
            </w:r>
            <w:r>
              <w:rPr>
                <w:rFonts w:ascii="宋体" w:hint="eastAsia"/>
                <w:szCs w:val="21"/>
                <w:lang w:eastAsia="zh-Hans"/>
              </w:rPr>
              <w:t xml:space="preserve"> </w:t>
            </w:r>
          </w:p>
        </w:tc>
      </w:tr>
      <w:tr w:rsidR="00195C2F">
        <w:trPr>
          <w:divId w:val="933588522"/>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ind w:leftChars="50" w:left="105"/>
            </w:pPr>
            <w:r>
              <w:rPr>
                <w:rFonts w:ascii="宋体" w:hAnsi="宋体" w:hint="eastAsia"/>
                <w:szCs w:val="21"/>
                <w:lang w:eastAsia="zh-Hans"/>
              </w:rPr>
              <w:t>A-至A+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4,047,394.93</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2.10</w:t>
            </w:r>
            <w:r>
              <w:rPr>
                <w:rFonts w:ascii="宋体" w:hint="eastAsia"/>
                <w:szCs w:val="21"/>
                <w:lang w:eastAsia="zh-Hans"/>
              </w:rPr>
              <w:t xml:space="preserve"> </w:t>
            </w:r>
          </w:p>
        </w:tc>
      </w:tr>
      <w:tr w:rsidR="00195C2F">
        <w:trPr>
          <w:divId w:val="933588522"/>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ind w:leftChars="50" w:left="105"/>
            </w:pPr>
            <w:r>
              <w:rPr>
                <w:rFonts w:ascii="宋体" w:hAnsi="宋体" w:hint="eastAsia"/>
                <w:szCs w:val="21"/>
                <w:lang w:eastAsia="zh-Hans"/>
              </w:rPr>
              <w:t>BBB-至BBB+</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w:t>
            </w:r>
            <w:r>
              <w:rPr>
                <w:rFonts w:ascii="宋体" w:hint="eastAsia"/>
                <w:szCs w:val="21"/>
                <w:lang w:eastAsia="zh-Hans"/>
              </w:rPr>
              <w:t xml:space="preserve"> </w:t>
            </w:r>
          </w:p>
        </w:tc>
      </w:tr>
      <w:tr w:rsidR="00195C2F">
        <w:trPr>
          <w:divId w:val="933588522"/>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ind w:leftChars="50" w:left="105"/>
            </w:pPr>
            <w:r>
              <w:rPr>
                <w:rFonts w:ascii="宋体" w:hAnsi="宋体" w:hint="eastAsia"/>
                <w:szCs w:val="21"/>
                <w:lang w:eastAsia="zh-Hans"/>
              </w:rPr>
              <w:t>BB-至BB+</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kern w:val="0"/>
                <w:szCs w:val="21"/>
                <w:lang w:eastAsia="zh-Hans"/>
              </w:rPr>
              <w:t>-</w:t>
            </w:r>
            <w:r>
              <w:rPr>
                <w:rFonts w:ascii="宋体" w:hint="eastAsia"/>
                <w:szCs w:val="21"/>
                <w:lang w:eastAsia="zh-Hans"/>
              </w:rPr>
              <w:t xml:space="preserve"> </w:t>
            </w:r>
          </w:p>
        </w:tc>
      </w:tr>
    </w:tbl>
    <w:p w:rsidR="00195C2F" w:rsidRDefault="00CB3C6C">
      <w:pPr>
        <w:spacing w:line="360" w:lineRule="auto"/>
        <w:jc w:val="left"/>
      </w:pPr>
      <w:r>
        <w:rPr>
          <w:rFonts w:ascii="宋体" w:hAnsi="宋体" w:hint="eastAsia"/>
          <w:szCs w:val="21"/>
        </w:rPr>
        <w:t>注：</w:t>
      </w:r>
      <w:r>
        <w:rPr>
          <w:rFonts w:ascii="宋体" w:hAnsi="宋体" w:hint="eastAsia"/>
        </w:rPr>
        <w:t>本基金债券投资组合主要采用标准普尔、惠誉等国际权威评级机构提供的债券信用评级信息。</w:t>
      </w:r>
    </w:p>
    <w:p w:rsidR="00195C2F" w:rsidRDefault="00CB3C6C">
      <w:pPr>
        <w:pStyle w:val="XBRLTitle2"/>
        <w:spacing w:before="156" w:line="360" w:lineRule="auto"/>
        <w:ind w:left="454"/>
      </w:pPr>
      <w:bookmarkStart w:id="242" w:name="_Toc459213782"/>
      <w:bookmarkStart w:id="243" w:name="_Toc456107136"/>
      <w:bookmarkStart w:id="244" w:name="_Toc438654091"/>
      <w:bookmarkStart w:id="245" w:name="_Toc448480303"/>
      <w:bookmarkStart w:id="246" w:name="_Toc480465437"/>
      <w:bookmarkStart w:id="247" w:name="_Toc514178693"/>
      <w:bookmarkStart w:id="248" w:name="_Toc512611299"/>
      <w:bookmarkStart w:id="249" w:name="_Toc512612095"/>
      <w:bookmarkStart w:id="250" w:name="_Toc512612271"/>
      <w:bookmarkStart w:id="251" w:name="_Toc513658031"/>
      <w:bookmarkStart w:id="252" w:name="m506"/>
      <w:bookmarkEnd w:id="241"/>
      <w:proofErr w:type="spellStart"/>
      <w:r>
        <w:rPr>
          <w:rFonts w:hint="eastAsia"/>
        </w:rPr>
        <w:t>报告期末按公允价值占基金资产净值比例大小排名的前五名债券投资明细</w:t>
      </w:r>
      <w:bookmarkEnd w:id="242"/>
      <w:bookmarkEnd w:id="243"/>
      <w:bookmarkEnd w:id="244"/>
      <w:bookmarkEnd w:id="245"/>
      <w:bookmarkEnd w:id="246"/>
      <w:bookmarkEnd w:id="247"/>
      <w:proofErr w:type="spellEnd"/>
      <w:r>
        <w:rPr>
          <w:rFonts w:hint="eastAsia"/>
        </w:rPr>
        <w:t xml:space="preserve"> </w:t>
      </w:r>
      <w:bookmarkEnd w:id="248"/>
      <w:bookmarkEnd w:id="249"/>
      <w:bookmarkEnd w:id="250"/>
      <w:bookmarkEnd w:id="2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195C2F">
        <w:trPr>
          <w:divId w:val="97984063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数量</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公允价值（人民币元）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jc w:val="center"/>
            </w:pPr>
            <w:r>
              <w:rPr>
                <w:rFonts w:ascii="宋体" w:hAnsi="宋体" w:hint="eastAsia"/>
                <w:color w:val="000000"/>
              </w:rPr>
              <w:t xml:space="preserve">占基金资产净值比例（%） </w:t>
            </w:r>
          </w:p>
        </w:tc>
      </w:tr>
      <w:tr w:rsidR="00195C2F">
        <w:trPr>
          <w:divId w:val="9798406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019740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24国债09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15,000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1,522,281.78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0.79</w:t>
            </w:r>
          </w:p>
        </w:tc>
      </w:tr>
      <w:tr w:rsidR="00195C2F">
        <w:trPr>
          <w:divId w:val="9798406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019706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23国债13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1,016,790.41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0.53</w:t>
            </w:r>
          </w:p>
        </w:tc>
      </w:tr>
      <w:tr w:rsidR="00195C2F">
        <w:trPr>
          <w:divId w:val="9798406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1,008,615.07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0.52</w:t>
            </w:r>
          </w:p>
        </w:tc>
      </w:tr>
      <w:tr w:rsidR="00195C2F">
        <w:trPr>
          <w:divId w:val="9798406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019766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szCs w:val="24"/>
                <w:lang w:eastAsia="zh-Hans"/>
              </w:rPr>
              <w:t>25国债01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499,707.67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szCs w:val="24"/>
                <w:lang w:eastAsia="zh-Hans"/>
              </w:rPr>
              <w:t>0.26</w:t>
            </w:r>
          </w:p>
        </w:tc>
      </w:tr>
    </w:tbl>
    <w:p w:rsidR="00195C2F" w:rsidRDefault="00CB3C6C">
      <w:pPr>
        <w:pStyle w:val="XBRLTitle2"/>
        <w:spacing w:before="156" w:line="360" w:lineRule="auto"/>
        <w:ind w:left="454"/>
      </w:pPr>
      <w:bookmarkStart w:id="253" w:name="_Toc459213783"/>
      <w:bookmarkStart w:id="254" w:name="_Toc456107137"/>
      <w:bookmarkStart w:id="255" w:name="_Toc438654092"/>
      <w:bookmarkStart w:id="256" w:name="_Toc448480304"/>
      <w:bookmarkStart w:id="257" w:name="_Toc480465438"/>
      <w:bookmarkStart w:id="258" w:name="_Toc514178694"/>
      <w:bookmarkStart w:id="259" w:name="_Toc512611300"/>
      <w:bookmarkStart w:id="260" w:name="_Toc512612096"/>
      <w:bookmarkStart w:id="261" w:name="_Toc512612272"/>
      <w:bookmarkStart w:id="262" w:name="_Toc513658032"/>
      <w:bookmarkStart w:id="263" w:name="m507"/>
      <w:bookmarkEnd w:id="252"/>
      <w:proofErr w:type="spellStart"/>
      <w:r>
        <w:rPr>
          <w:rFonts w:hint="eastAsia"/>
        </w:rPr>
        <w:t>报告期末按公允价值占基金资产净值比例大小排名的前十名资产支持证券投资明细</w:t>
      </w:r>
      <w:bookmarkEnd w:id="253"/>
      <w:bookmarkEnd w:id="254"/>
      <w:bookmarkEnd w:id="255"/>
      <w:bookmarkEnd w:id="256"/>
      <w:bookmarkEnd w:id="257"/>
      <w:bookmarkEnd w:id="258"/>
      <w:proofErr w:type="spellEnd"/>
      <w:r>
        <w:rPr>
          <w:rFonts w:hint="eastAsia"/>
        </w:rPr>
        <w:t xml:space="preserve"> </w:t>
      </w:r>
      <w:bookmarkEnd w:id="259"/>
      <w:bookmarkEnd w:id="260"/>
      <w:bookmarkEnd w:id="261"/>
      <w:bookmarkEnd w:id="262"/>
    </w:p>
    <w:p w:rsidR="00195C2F" w:rsidRDefault="00CB3C6C">
      <w:pPr>
        <w:spacing w:line="360" w:lineRule="auto"/>
        <w:ind w:firstLineChars="200" w:firstLine="420"/>
        <w:jc w:val="left"/>
        <w:divId w:val="963192570"/>
      </w:pPr>
      <w:r>
        <w:rPr>
          <w:rFonts w:ascii="宋体" w:hAnsi="宋体" w:hint="eastAsia"/>
          <w:color w:val="000000"/>
          <w:szCs w:val="21"/>
          <w:lang w:eastAsia="zh-Hans"/>
        </w:rPr>
        <w:t>本基金本报告期末未持有资产支持证券。</w:t>
      </w:r>
    </w:p>
    <w:p w:rsidR="00195C2F" w:rsidRDefault="00CB3C6C">
      <w:pPr>
        <w:pStyle w:val="XBRLTitle2"/>
        <w:spacing w:before="156" w:line="360" w:lineRule="auto"/>
        <w:ind w:left="454"/>
      </w:pPr>
      <w:bookmarkStart w:id="264" w:name="_Toc448480305"/>
      <w:bookmarkStart w:id="265" w:name="_Toc438654093"/>
      <w:bookmarkStart w:id="266" w:name="_Toc456107138"/>
      <w:bookmarkStart w:id="267" w:name="_Toc459213784"/>
      <w:bookmarkStart w:id="268" w:name="_Toc480465439"/>
      <w:bookmarkStart w:id="269" w:name="_Toc514178695"/>
      <w:bookmarkStart w:id="270" w:name="_Toc512611301"/>
      <w:bookmarkStart w:id="271" w:name="_Toc512612097"/>
      <w:bookmarkStart w:id="272" w:name="_Toc512612273"/>
      <w:bookmarkStart w:id="273" w:name="_Toc513658033"/>
      <w:bookmarkStart w:id="274" w:name="m508"/>
      <w:bookmarkEnd w:id="263"/>
      <w:proofErr w:type="spellStart"/>
      <w:r>
        <w:rPr>
          <w:rFonts w:hint="eastAsia"/>
        </w:rPr>
        <w:t>报告期末按公允价值占基金资产净值比例大小排名的前五名金融衍生品投资明细</w:t>
      </w:r>
      <w:bookmarkEnd w:id="264"/>
      <w:bookmarkEnd w:id="265"/>
      <w:bookmarkEnd w:id="266"/>
      <w:bookmarkEnd w:id="267"/>
      <w:bookmarkEnd w:id="268"/>
      <w:bookmarkEnd w:id="269"/>
      <w:proofErr w:type="spellEnd"/>
      <w:r>
        <w:rPr>
          <w:rFonts w:hint="eastAsia"/>
        </w:rPr>
        <w:t xml:space="preserve"> </w:t>
      </w:r>
      <w:bookmarkEnd w:id="270"/>
      <w:bookmarkEnd w:id="271"/>
      <w:bookmarkEnd w:id="272"/>
      <w:bookmarkEnd w:id="273"/>
    </w:p>
    <w:p w:rsidR="00195C2F" w:rsidRDefault="00CB3C6C">
      <w:pPr>
        <w:spacing w:line="360" w:lineRule="auto"/>
        <w:ind w:firstLineChars="200" w:firstLine="420"/>
        <w:divId w:val="1259605514"/>
      </w:pPr>
      <w:bookmarkStart w:id="275" w:name="m08QD_09"/>
      <w:bookmarkEnd w:id="228"/>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75"/>
      <w:r>
        <w:rPr>
          <w:rFonts w:ascii="宋体" w:hAnsi="宋体" w:hint="eastAsia"/>
          <w:szCs w:val="24"/>
          <w:lang w:eastAsia="zh-Hans"/>
        </w:rPr>
        <w:t xml:space="preserve"> </w:t>
      </w:r>
    </w:p>
    <w:p w:rsidR="00195C2F" w:rsidRDefault="00CB3C6C">
      <w:pPr>
        <w:pStyle w:val="XBRLTitle2"/>
        <w:spacing w:before="156" w:line="360" w:lineRule="auto"/>
        <w:ind w:left="454"/>
      </w:pPr>
      <w:bookmarkStart w:id="276" w:name="_Toc448480306"/>
      <w:bookmarkStart w:id="277" w:name="_Toc438654094"/>
      <w:bookmarkStart w:id="278" w:name="_Toc456107139"/>
      <w:bookmarkStart w:id="279" w:name="_Toc459213785"/>
      <w:bookmarkStart w:id="280" w:name="_Toc480465440"/>
      <w:bookmarkStart w:id="281" w:name="_Toc514178696"/>
      <w:bookmarkStart w:id="282" w:name="_Toc512611302"/>
      <w:bookmarkStart w:id="283" w:name="_Toc512612098"/>
      <w:bookmarkStart w:id="284" w:name="_Toc512612274"/>
      <w:bookmarkStart w:id="285" w:name="_Toc513658034"/>
      <w:bookmarkStart w:id="286" w:name="m509"/>
      <w:bookmarkEnd w:id="274"/>
      <w:proofErr w:type="spellStart"/>
      <w:r>
        <w:rPr>
          <w:rFonts w:hint="eastAsia"/>
        </w:rPr>
        <w:t>报告期末按公允价值占基金资产净值比例大小排序的前十名基金投资明细</w:t>
      </w:r>
      <w:bookmarkEnd w:id="276"/>
      <w:bookmarkEnd w:id="277"/>
      <w:bookmarkEnd w:id="278"/>
      <w:bookmarkEnd w:id="279"/>
      <w:bookmarkEnd w:id="280"/>
      <w:bookmarkEnd w:id="281"/>
      <w:proofErr w:type="spellEnd"/>
      <w:r>
        <w:rPr>
          <w:rFonts w:hint="eastAsia"/>
        </w:rPr>
        <w:t xml:space="preserve"> </w:t>
      </w:r>
      <w:bookmarkEnd w:id="282"/>
      <w:bookmarkEnd w:id="283"/>
      <w:bookmarkEnd w:id="284"/>
      <w:bookmarkEnd w:id="285"/>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130"/>
        <w:gridCol w:w="1196"/>
        <w:gridCol w:w="1120"/>
        <w:gridCol w:w="1195"/>
        <w:gridCol w:w="1178"/>
        <w:gridCol w:w="1686"/>
        <w:gridCol w:w="1330"/>
      </w:tblGrid>
      <w:tr w:rsidR="00195C2F">
        <w:trPr>
          <w:divId w:val="1225608448"/>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95C2F" w:rsidRDefault="00CB3C6C">
            <w:pPr>
              <w:pStyle w:val="a5"/>
              <w:spacing w:before="0" w:beforeAutospacing="0" w:after="0" w:afterAutospacing="0"/>
              <w:ind w:firstLineChars="50" w:firstLine="105"/>
              <w:jc w:val="center"/>
            </w:pPr>
            <w:bookmarkStart w:id="287" w:name="m08QD_10"/>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rPr>
              <w:t>公允价值（人民币元）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r>
      <w:tr w:rsidR="00195C2F">
        <w:trPr>
          <w:divId w:val="1225608448"/>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pStyle w:val="a5"/>
              <w:spacing w:before="0" w:beforeAutospacing="0" w:after="0" w:afterAutospacing="0"/>
              <w:ind w:firstLineChars="50" w:firstLine="105"/>
              <w:jc w:val="cente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lang w:eastAsia="zh-Hans"/>
              </w:rPr>
              <w:t>摩根恒生科技ETF(QDII)</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lang w:eastAsia="zh-Hans"/>
              </w:rPr>
              <w:t>交易型开放式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pStyle w:val="a5"/>
              <w:spacing w:before="0" w:beforeAutospacing="0" w:after="0" w:afterAutospacing="0"/>
              <w:jc w:val="center"/>
            </w:pPr>
            <w:r>
              <w:rPr>
                <w:rFonts w:hint="eastAsia"/>
                <w:kern w:val="2"/>
                <w:sz w:val="21"/>
                <w:lang w:eastAsia="zh-Hans"/>
              </w:rPr>
              <w:t>摩根基金管理（中国）有限公司</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pStyle w:val="a5"/>
              <w:spacing w:before="0" w:beforeAutospacing="0" w:after="0" w:afterAutospacing="0"/>
              <w:jc w:val="right"/>
            </w:pPr>
            <w:r>
              <w:rPr>
                <w:rFonts w:hint="eastAsia"/>
                <w:kern w:val="2"/>
                <w:sz w:val="21"/>
                <w:lang w:eastAsia="zh-Hans"/>
              </w:rPr>
              <w:t>183,515,450.70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C2F" w:rsidRDefault="00CB3C6C">
            <w:pPr>
              <w:pStyle w:val="a5"/>
              <w:spacing w:before="0" w:beforeAutospacing="0" w:after="0" w:afterAutospacing="0"/>
              <w:jc w:val="right"/>
            </w:pPr>
            <w:r>
              <w:rPr>
                <w:rFonts w:hint="eastAsia"/>
                <w:kern w:val="2"/>
                <w:sz w:val="21"/>
                <w:lang w:eastAsia="zh-Hans"/>
              </w:rPr>
              <w:t>95.10</w:t>
            </w:r>
            <w:bookmarkEnd w:id="176"/>
            <w:bookmarkEnd w:id="177"/>
            <w:bookmarkEnd w:id="178"/>
            <w:bookmarkEnd w:id="179"/>
            <w:bookmarkEnd w:id="287"/>
          </w:p>
        </w:tc>
      </w:tr>
    </w:tbl>
    <w:p w:rsidR="00195C2F" w:rsidRDefault="00CB3C6C">
      <w:pPr>
        <w:pStyle w:val="XBRLTitle2"/>
        <w:spacing w:before="156" w:line="360" w:lineRule="auto"/>
        <w:ind w:left="454"/>
      </w:pPr>
      <w:bookmarkStart w:id="288" w:name="_Toc448480307"/>
      <w:bookmarkStart w:id="289" w:name="_Toc438654095"/>
      <w:bookmarkStart w:id="290" w:name="_Toc456107140"/>
      <w:bookmarkStart w:id="291" w:name="_Toc459213786"/>
      <w:bookmarkStart w:id="292" w:name="_Toc480465441"/>
      <w:bookmarkStart w:id="293" w:name="_Toc512611303"/>
      <w:bookmarkStart w:id="294" w:name="_Toc512612099"/>
      <w:bookmarkStart w:id="295" w:name="_Toc512612275"/>
      <w:bookmarkStart w:id="296" w:name="_Toc513658035"/>
      <w:bookmarkStart w:id="297" w:name="_Toc514178697"/>
      <w:bookmarkEnd w:id="286"/>
      <w:proofErr w:type="spellStart"/>
      <w:r>
        <w:rPr>
          <w:rFonts w:hint="eastAsia"/>
        </w:rPr>
        <w:t>投资组合报告附注</w:t>
      </w:r>
      <w:bookmarkEnd w:id="288"/>
      <w:bookmarkEnd w:id="289"/>
      <w:bookmarkEnd w:id="290"/>
      <w:bookmarkEnd w:id="291"/>
      <w:bookmarkEnd w:id="292"/>
      <w:bookmarkEnd w:id="293"/>
      <w:bookmarkEnd w:id="294"/>
      <w:bookmarkEnd w:id="295"/>
      <w:bookmarkEnd w:id="296"/>
      <w:bookmarkEnd w:id="297"/>
      <w:proofErr w:type="spellEnd"/>
      <w:r>
        <w:rPr>
          <w:rFonts w:hint="eastAsia"/>
        </w:rPr>
        <w:t xml:space="preserve"> </w:t>
      </w:r>
    </w:p>
    <w:p w:rsidR="00195C2F" w:rsidRDefault="00CB3C6C">
      <w:pPr>
        <w:pStyle w:val="XBRLTitle3"/>
        <w:spacing w:before="156"/>
        <w:ind w:left="0"/>
      </w:pPr>
      <w:bookmarkStart w:id="298" w:name="m510_01_1597"/>
      <w:r>
        <w:rPr>
          <w:rFonts w:hint="eastAsia"/>
          <w:lang w:eastAsia="zh-CN"/>
        </w:rPr>
        <w:lastRenderedPageBreak/>
        <w:t xml:space="preserve"> </w:t>
      </w:r>
      <w:bookmarkStart w:id="299" w:name="_Toc514088270"/>
      <w:bookmarkStart w:id="300" w:name="_Toc513542671"/>
      <w:bookmarkStart w:id="301" w:name="_Toc480465442"/>
      <w:bookmarkEnd w:id="299"/>
      <w:bookmarkEnd w:id="300"/>
      <w:bookmarkEnd w:id="301"/>
      <w:r>
        <w:rPr>
          <w:rFonts w:hint="eastAsia"/>
        </w:rPr>
        <w:t xml:space="preserve"> </w:t>
      </w:r>
    </w:p>
    <w:p w:rsidR="00195C2F" w:rsidRDefault="00CB3C6C">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195C2F" w:rsidRDefault="00CB3C6C">
      <w:pPr>
        <w:pStyle w:val="XBRLTitle3"/>
        <w:spacing w:before="156"/>
        <w:ind w:left="0"/>
      </w:pPr>
      <w:bookmarkStart w:id="302" w:name="m510_01_1598"/>
      <w:bookmarkEnd w:id="298"/>
      <w:r>
        <w:rPr>
          <w:rFonts w:hint="eastAsia"/>
          <w:lang w:eastAsia="zh-CN"/>
        </w:rPr>
        <w:t xml:space="preserve"> </w:t>
      </w:r>
      <w:bookmarkStart w:id="303" w:name="_Toc514088271"/>
      <w:bookmarkStart w:id="304" w:name="_Toc513542672"/>
      <w:bookmarkStart w:id="305" w:name="_Toc480465443"/>
      <w:bookmarkEnd w:id="303"/>
      <w:bookmarkEnd w:id="304"/>
      <w:bookmarkEnd w:id="305"/>
      <w:r>
        <w:rPr>
          <w:rFonts w:hint="eastAsia"/>
        </w:rPr>
        <w:t xml:space="preserve"> </w:t>
      </w:r>
    </w:p>
    <w:p w:rsidR="00195C2F" w:rsidRDefault="00CB3C6C">
      <w:pPr>
        <w:spacing w:line="360" w:lineRule="auto"/>
        <w:ind w:firstLineChars="200" w:firstLine="420"/>
      </w:pPr>
      <w:r>
        <w:rPr>
          <w:rFonts w:ascii="宋体" w:hAnsi="宋体" w:hint="eastAsia"/>
        </w:rPr>
        <w:t>报告期内本基金投资的前十名股票中没有在基金合同规定备选股票库之外的股票。</w:t>
      </w:r>
    </w:p>
    <w:p w:rsidR="00195C2F" w:rsidRDefault="00CB3C6C">
      <w:pPr>
        <w:pStyle w:val="XBRLTitle3"/>
        <w:spacing w:before="156"/>
        <w:ind w:left="0"/>
      </w:pPr>
      <w:bookmarkStart w:id="306" w:name="_Toc480465444"/>
      <w:bookmarkStart w:id="307" w:name="_Toc514178700"/>
      <w:bookmarkStart w:id="308" w:name="_Toc513658038"/>
      <w:bookmarkStart w:id="309" w:name="m510_02"/>
      <w:bookmarkEnd w:id="302"/>
      <w:proofErr w:type="spellStart"/>
      <w:r>
        <w:rPr>
          <w:rFonts w:hint="eastAsia"/>
        </w:rPr>
        <w:t>其他资产构成</w:t>
      </w:r>
      <w:bookmarkEnd w:id="306"/>
      <w:bookmarkEnd w:id="307"/>
      <w:proofErr w:type="spellEnd"/>
      <w:r>
        <w:rPr>
          <w:rFonts w:hint="eastAsia"/>
        </w:rPr>
        <w:t xml:space="preserve"> </w:t>
      </w:r>
      <w:bookmarkEnd w:id="3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95C2F">
        <w:trPr>
          <w:divId w:val="163528552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5C2F" w:rsidRDefault="00CB3C6C">
            <w:pPr>
              <w:jc w:val="center"/>
            </w:pPr>
            <w:r>
              <w:rPr>
                <w:rFonts w:ascii="宋体" w:hAnsi="宋体" w:hint="eastAsia"/>
              </w:rPr>
              <w:t>金额（人民币元）</w:t>
            </w:r>
            <w:r>
              <w:t xml:space="preserve"> </w:t>
            </w:r>
          </w:p>
        </w:tc>
      </w:tr>
      <w:tr w:rsidR="00195C2F">
        <w:trPr>
          <w:divId w:val="16352855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rPr>
              <w:t>57,318.17</w:t>
            </w:r>
          </w:p>
        </w:tc>
      </w:tr>
      <w:tr w:rsidR="00195C2F">
        <w:trPr>
          <w:divId w:val="16352855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rPr>
              <w:t>-</w:t>
            </w:r>
          </w:p>
        </w:tc>
      </w:tr>
      <w:tr w:rsidR="00195C2F">
        <w:trPr>
          <w:divId w:val="16352855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rPr>
              <w:t>-</w:t>
            </w:r>
          </w:p>
        </w:tc>
      </w:tr>
      <w:tr w:rsidR="00195C2F">
        <w:trPr>
          <w:divId w:val="16352855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rPr>
              <w:t>-</w:t>
            </w:r>
          </w:p>
        </w:tc>
      </w:tr>
      <w:tr w:rsidR="00195C2F">
        <w:trPr>
          <w:divId w:val="16352855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rPr>
              <w:t>2,370,511.73</w:t>
            </w:r>
          </w:p>
        </w:tc>
      </w:tr>
      <w:tr w:rsidR="00195C2F">
        <w:trPr>
          <w:divId w:val="16352855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rPr>
              <w:t>-</w:t>
            </w:r>
          </w:p>
        </w:tc>
      </w:tr>
      <w:tr w:rsidR="00195C2F">
        <w:trPr>
          <w:divId w:val="16352855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rPr>
              <w:t>-</w:t>
            </w:r>
          </w:p>
        </w:tc>
      </w:tr>
      <w:tr w:rsidR="00195C2F">
        <w:trPr>
          <w:divId w:val="16352855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5C2F" w:rsidRDefault="00CB3C6C">
            <w:pPr>
              <w:jc w:val="right"/>
            </w:pPr>
            <w:r>
              <w:rPr>
                <w:rFonts w:ascii="宋体" w:hAnsi="宋体" w:hint="eastAsia"/>
              </w:rPr>
              <w:t>2,427,829.90</w:t>
            </w:r>
          </w:p>
        </w:tc>
      </w:tr>
    </w:tbl>
    <w:p w:rsidR="00195C2F" w:rsidRDefault="00CB3C6C">
      <w:pPr>
        <w:pStyle w:val="XBRLTitle3"/>
        <w:spacing w:before="156"/>
        <w:ind w:left="0"/>
      </w:pPr>
      <w:bookmarkStart w:id="310" w:name="_Toc480465445"/>
      <w:bookmarkStart w:id="311" w:name="_Toc514178701"/>
      <w:bookmarkStart w:id="312" w:name="_Toc513658039"/>
      <w:bookmarkStart w:id="313" w:name="m510_03"/>
      <w:bookmarkEnd w:id="309"/>
      <w:proofErr w:type="spellStart"/>
      <w:r>
        <w:rPr>
          <w:rFonts w:hint="eastAsia"/>
        </w:rPr>
        <w:t>报告期末持有的处于转股期的可转换债券明细</w:t>
      </w:r>
      <w:bookmarkEnd w:id="310"/>
      <w:bookmarkEnd w:id="311"/>
      <w:proofErr w:type="spellEnd"/>
      <w:r>
        <w:rPr>
          <w:rFonts w:hint="eastAsia"/>
        </w:rPr>
        <w:t xml:space="preserve"> </w:t>
      </w:r>
      <w:bookmarkEnd w:id="312"/>
    </w:p>
    <w:p w:rsidR="00195C2F" w:rsidRDefault="00CB3C6C">
      <w:pPr>
        <w:spacing w:line="360" w:lineRule="auto"/>
        <w:ind w:firstLineChars="200" w:firstLine="420"/>
        <w:jc w:val="left"/>
        <w:divId w:val="258684802"/>
      </w:pPr>
      <w:r>
        <w:rPr>
          <w:rFonts w:ascii="宋体" w:hAnsi="宋体" w:hint="eastAsia"/>
        </w:rPr>
        <w:t xml:space="preserve">本基金本报告期末未持有处于转股期的可转换债券。 </w:t>
      </w:r>
    </w:p>
    <w:p w:rsidR="00195C2F" w:rsidRDefault="00CB3C6C">
      <w:pPr>
        <w:pStyle w:val="XBRLTitle3"/>
        <w:spacing w:before="156"/>
        <w:ind w:left="0"/>
      </w:pPr>
      <w:bookmarkStart w:id="314" w:name="_Toc513658040"/>
      <w:bookmarkStart w:id="315" w:name="_Toc480465446"/>
      <w:bookmarkStart w:id="316" w:name="_Toc514178702"/>
      <w:bookmarkStart w:id="317" w:name="m510_04"/>
      <w:bookmarkEnd w:id="313"/>
      <w:proofErr w:type="spellStart"/>
      <w:r>
        <w:rPr>
          <w:rFonts w:hint="eastAsia"/>
        </w:rPr>
        <w:t>报告期末前十名股票中存在流通受限情况的说明</w:t>
      </w:r>
      <w:bookmarkEnd w:id="314"/>
      <w:proofErr w:type="spellEnd"/>
    </w:p>
    <w:p w:rsidR="00195C2F" w:rsidRDefault="00CB3C6C">
      <w:pPr>
        <w:pStyle w:val="XBRLTitle4"/>
        <w:spacing w:before="156"/>
        <w:ind w:left="0"/>
      </w:pPr>
      <w:bookmarkStart w:id="318" w:name="_Toc514178703"/>
      <w:proofErr w:type="spellStart"/>
      <w:r>
        <w:rPr>
          <w:rFonts w:hint="eastAsia"/>
        </w:rPr>
        <w:t>报告期末指数投资前十名股票中存在流通受限情况的说明</w:t>
      </w:r>
      <w:bookmarkEnd w:id="318"/>
      <w:proofErr w:type="spellEnd"/>
    </w:p>
    <w:p w:rsidR="00195C2F" w:rsidRDefault="00CB3C6C">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rsidR="00195C2F" w:rsidRDefault="00CB3C6C">
      <w:pPr>
        <w:pStyle w:val="XBRLTitle4"/>
        <w:spacing w:before="156"/>
        <w:ind w:left="0"/>
      </w:pPr>
      <w:bookmarkStart w:id="319" w:name="_Toc514178704"/>
      <w:proofErr w:type="spellStart"/>
      <w:r>
        <w:rPr>
          <w:rFonts w:hint="eastAsia"/>
        </w:rPr>
        <w:t>报告期末积极投资前五名股票中存在流通受限情况的说明</w:t>
      </w:r>
      <w:bookmarkEnd w:id="315"/>
      <w:bookmarkEnd w:id="319"/>
      <w:bookmarkEnd w:id="316"/>
      <w:proofErr w:type="spellEnd"/>
    </w:p>
    <w:p w:rsidR="00195C2F" w:rsidRDefault="00CB3C6C">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4"/>
      <w:bookmarkEnd w:id="15"/>
      <w:bookmarkEnd w:id="16"/>
      <w:bookmarkEnd w:id="17"/>
      <w:bookmarkEnd w:id="18"/>
    </w:p>
    <w:p w:rsidR="00195C2F" w:rsidRDefault="00CB3C6C">
      <w:pPr>
        <w:pStyle w:val="XBRLTitle3"/>
        <w:spacing w:before="156"/>
        <w:ind w:left="0"/>
      </w:pPr>
      <w:bookmarkStart w:id="320" w:name="_Toc480465447"/>
      <w:bookmarkStart w:id="321" w:name="_Toc513658043"/>
      <w:bookmarkStart w:id="322" w:name="_Toc514178705"/>
      <w:bookmarkEnd w:id="317"/>
      <w:proofErr w:type="spellStart"/>
      <w:r>
        <w:rPr>
          <w:rFonts w:hint="eastAsia"/>
        </w:rPr>
        <w:t>投资组合报告附注的其他文字描述部分</w:t>
      </w:r>
      <w:bookmarkEnd w:id="320"/>
      <w:bookmarkEnd w:id="321"/>
      <w:bookmarkEnd w:id="322"/>
      <w:proofErr w:type="spellEnd"/>
    </w:p>
    <w:p w:rsidR="00195C2F" w:rsidRDefault="00CB3C6C">
      <w:pPr>
        <w:spacing w:line="360" w:lineRule="auto"/>
        <w:ind w:firstLineChars="200" w:firstLine="420"/>
        <w:jc w:val="left"/>
      </w:pPr>
      <w:r>
        <w:rPr>
          <w:rFonts w:ascii="宋体" w:hAnsi="宋体" w:hint="eastAsia"/>
        </w:rPr>
        <w:t>因四舍五入原因，投资组合报告中分项之和与合计可能存在尾差。</w:t>
      </w:r>
    </w:p>
    <w:p w:rsidR="00195C2F" w:rsidRDefault="00CB3C6C">
      <w:pPr>
        <w:pStyle w:val="XBRLTitle1"/>
        <w:spacing w:before="156" w:line="360" w:lineRule="auto"/>
        <w:ind w:left="425"/>
      </w:pPr>
      <w:bookmarkStart w:id="323" w:name="_Toc514178706"/>
      <w:proofErr w:type="spellStart"/>
      <w:r>
        <w:rPr>
          <w:rFonts w:hint="eastAsia"/>
        </w:rPr>
        <w:t>开放式基金份额变动</w:t>
      </w:r>
      <w:bookmarkStart w:id="324" w:name="m601_tab"/>
      <w:bookmarkEnd w:id="323"/>
      <w:bookmarkEnd w:id="170"/>
      <w:bookmarkEnd w:id="171"/>
      <w:bookmarkEnd w:id="172"/>
      <w:bookmarkEnd w:id="173"/>
      <w:proofErr w:type="spellEnd"/>
    </w:p>
    <w:p w:rsidR="00195C2F" w:rsidRDefault="00CB3C6C">
      <w:pPr>
        <w:wordWrap w:val="0"/>
        <w:spacing w:line="360" w:lineRule="auto"/>
        <w:jc w:val="right"/>
      </w:pPr>
      <w:bookmarkStart w:id="325" w:name="m10_01_tab"/>
      <w:bookmarkEnd w:id="13"/>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72"/>
        <w:gridCol w:w="2649"/>
      </w:tblGrid>
      <w:tr w:rsidR="00195C2F">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95C2F" w:rsidRDefault="00CB3C6C">
            <w:pPr>
              <w:pStyle w:val="xl33"/>
              <w:widowControl w:val="0"/>
              <w:pBdr>
                <w:left w:val="none" w:sz="0" w:space="0" w:color="auto"/>
                <w:bottom w:val="none" w:sz="0" w:space="0" w:color="auto"/>
                <w:right w:val="none" w:sz="0" w:space="0" w:color="auto"/>
              </w:pBdr>
              <w:spacing w:before="0" w:beforeAutospacing="0" w:after="0" w:afterAutospacing="0"/>
              <w:jc w:val="both"/>
            </w:pPr>
            <w:bookmarkStart w:id="326" w:name="m10_01" w:colFirst="1" w:colLast="2"/>
            <w:bookmarkEnd w:id="325"/>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ind w:right="3"/>
              <w:jc w:val="center"/>
            </w:pPr>
            <w:r>
              <w:rPr>
                <w:rFonts w:ascii="宋体" w:hAnsi="宋体" w:hint="eastAsia"/>
                <w:lang w:eastAsia="zh-Hans"/>
              </w:rPr>
              <w:t>摩根恒生科技ETF发起式联接(QDII)A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5C2F" w:rsidRDefault="00CB3C6C">
            <w:pPr>
              <w:ind w:right="3"/>
              <w:jc w:val="center"/>
            </w:pPr>
            <w:r>
              <w:rPr>
                <w:rFonts w:ascii="宋体" w:hAnsi="宋体" w:hint="eastAsia"/>
                <w:lang w:eastAsia="zh-Hans"/>
              </w:rPr>
              <w:t>摩根恒生科技ETF发起式联接(QDII)C</w:t>
            </w:r>
            <w:r>
              <w:rPr>
                <w:rFonts w:ascii="宋体" w:hAnsi="宋体" w:hint="eastAsia"/>
                <w:kern w:val="0"/>
                <w:szCs w:val="24"/>
                <w:lang w:eastAsia="zh-Hans"/>
              </w:rPr>
              <w:t xml:space="preserve"> </w:t>
            </w:r>
          </w:p>
        </w:tc>
      </w:tr>
      <w:tr w:rsidR="00195C2F">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14,059,512.69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130,044,347.68</w:t>
            </w:r>
          </w:p>
        </w:tc>
      </w:tr>
      <w:tr w:rsidR="00195C2F">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20,920,706.12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184,134,289.73</w:t>
            </w:r>
          </w:p>
        </w:tc>
      </w:tr>
      <w:tr w:rsidR="00195C2F">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13,939,882.23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181,703,154.05</w:t>
            </w:r>
          </w:p>
        </w:tc>
      </w:tr>
      <w:tr w:rsidR="00195C2F">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w:t>
            </w:r>
          </w:p>
        </w:tc>
      </w:tr>
      <w:tr w:rsidR="00195C2F">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21,040,336.58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95C2F" w:rsidRDefault="00CB3C6C">
            <w:pPr>
              <w:jc w:val="right"/>
            </w:pPr>
            <w:r>
              <w:rPr>
                <w:rFonts w:ascii="宋体" w:hAnsi="宋体" w:hint="eastAsia"/>
              </w:rPr>
              <w:t>132,475,483.36</w:t>
            </w:r>
          </w:p>
        </w:tc>
      </w:tr>
    </w:tbl>
    <w:p w:rsidR="00195C2F" w:rsidRDefault="00CB3C6C">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26"/>
      <w:r>
        <w:rPr>
          <w:rFonts w:ascii="宋体" w:hAnsi="宋体" w:hint="eastAsia"/>
        </w:rPr>
        <w:t xml:space="preserve"> </w:t>
      </w:r>
    </w:p>
    <w:p w:rsidR="00195C2F" w:rsidRDefault="00CB3C6C">
      <w:pPr>
        <w:pStyle w:val="XBRLTitle1"/>
        <w:spacing w:before="156" w:line="360" w:lineRule="auto"/>
        <w:ind w:left="425"/>
      </w:pPr>
      <w:bookmarkStart w:id="327" w:name="m7manage01"/>
      <w:bookmarkStart w:id="328" w:name="_Toc512519522"/>
      <w:bookmarkStart w:id="329" w:name="_Toc481075090"/>
      <w:bookmarkStart w:id="330" w:name="_Toc438646478"/>
      <w:bookmarkStart w:id="331" w:name="_Toc490050043"/>
      <w:bookmarkStart w:id="332" w:name="_Toc514178707"/>
      <w:bookmarkEnd w:id="174"/>
      <w:bookmarkEnd w:id="324"/>
      <w:proofErr w:type="spellStart"/>
      <w:r>
        <w:rPr>
          <w:rFonts w:hint="eastAsia"/>
        </w:rPr>
        <w:t>基金管理人运用固有资金投资本基金交易明细</w:t>
      </w:r>
      <w:bookmarkEnd w:id="327"/>
      <w:bookmarkEnd w:id="328"/>
      <w:bookmarkEnd w:id="329"/>
      <w:bookmarkEnd w:id="330"/>
      <w:bookmarkEnd w:id="331"/>
      <w:bookmarkEnd w:id="332"/>
      <w:proofErr w:type="spellEnd"/>
      <w:r>
        <w:rPr>
          <w:rFonts w:hint="eastAsia"/>
        </w:rPr>
        <w:t xml:space="preserve"> </w:t>
      </w:r>
    </w:p>
    <w:p w:rsidR="00195C2F" w:rsidRDefault="00CB3C6C">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195C2F" w:rsidRDefault="00CB3C6C">
      <w:pPr>
        <w:pStyle w:val="XBRLTitle1"/>
        <w:spacing w:before="156" w:line="360" w:lineRule="auto"/>
        <w:ind w:left="425"/>
      </w:pPr>
      <w:bookmarkStart w:id="333" w:name="_Toc513295937"/>
      <w:bookmarkStart w:id="334" w:name="_Toc513295874"/>
      <w:bookmarkStart w:id="335" w:name="_Toc490050053"/>
      <w:bookmarkStart w:id="336" w:name="_Toc481074873"/>
      <w:bookmarkStart w:id="337" w:name="_Toc512519525"/>
      <w:bookmarkStart w:id="338" w:name="_Toc514507557"/>
      <w:proofErr w:type="spellStart"/>
      <w:r>
        <w:rPr>
          <w:rFonts w:hint="eastAsia"/>
        </w:rPr>
        <w:t>报告期末发起式基金发起资金持有份额情况</w:t>
      </w:r>
      <w:bookmarkEnd w:id="333"/>
      <w:bookmarkEnd w:id="334"/>
      <w:bookmarkEnd w:id="335"/>
      <w:bookmarkEnd w:id="336"/>
      <w:bookmarkEnd w:id="337"/>
      <w:bookmarkEnd w:id="338"/>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395"/>
        <w:gridCol w:w="1727"/>
        <w:gridCol w:w="1395"/>
        <w:gridCol w:w="1727"/>
        <w:gridCol w:w="1240"/>
      </w:tblGrid>
      <w:tr w:rsidR="00195C2F">
        <w:trPr>
          <w:divId w:val="562370266"/>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95C2F" w:rsidRDefault="00CB3C6C">
            <w:pPr>
              <w:jc w:val="center"/>
            </w:pPr>
            <w:r>
              <w:rPr>
                <w:rFonts w:hint="eastAsia"/>
                <w:color w:val="000000"/>
                <w:szCs w:val="21"/>
              </w:rPr>
              <w:t>发起份额承诺持有期限</w:t>
            </w:r>
            <w:r>
              <w:rPr>
                <w:rFonts w:ascii="宋体" w:hAnsi="宋体" w:hint="eastAsia"/>
                <w:color w:val="000000"/>
              </w:rPr>
              <w:t xml:space="preserve"> </w:t>
            </w:r>
          </w:p>
        </w:tc>
      </w:tr>
      <w:tr w:rsidR="00195C2F">
        <w:trPr>
          <w:divId w:val="56237026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adjustRightInd w:val="0"/>
              <w:snapToGrid w:val="0"/>
              <w:spacing w:line="360" w:lineRule="exact"/>
            </w:pPr>
            <w:r>
              <w:rPr>
                <w:rFonts w:hint="eastAsia"/>
                <w:color w:val="000000"/>
                <w:szCs w:val="21"/>
              </w:rPr>
              <w:t>基金管理人</w:t>
            </w:r>
            <w:proofErr w:type="gramStart"/>
            <w:r>
              <w:rPr>
                <w:rFonts w:hint="eastAsia"/>
                <w:color w:val="000000"/>
                <w:szCs w:val="21"/>
              </w:rPr>
              <w:t>固有资金</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10,000,097.22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6.51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10,000,097.22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6.51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3年</w:t>
            </w:r>
          </w:p>
        </w:tc>
      </w:tr>
      <w:tr w:rsidR="00195C2F">
        <w:trPr>
          <w:divId w:val="56237026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r>
      <w:tr w:rsidR="00195C2F">
        <w:trPr>
          <w:divId w:val="56237026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r>
      <w:tr w:rsidR="00195C2F">
        <w:trPr>
          <w:divId w:val="56237026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adjustRightInd w:val="0"/>
              <w:snapToGrid w:val="0"/>
              <w:spacing w:line="360" w:lineRule="exact"/>
              <w:jc w:val="left"/>
            </w:pPr>
            <w:r>
              <w:rPr>
                <w:rFonts w:hint="eastAsia"/>
                <w:color w:val="000000"/>
                <w:szCs w:val="21"/>
              </w:rPr>
              <w:t>基金管理</w:t>
            </w:r>
            <w:proofErr w:type="gramStart"/>
            <w:r>
              <w:rPr>
                <w:rFonts w:hint="eastAsia"/>
                <w:color w:val="000000"/>
                <w:szCs w:val="21"/>
              </w:rPr>
              <w:t>人股东</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r>
      <w:tr w:rsidR="00195C2F">
        <w:trPr>
          <w:divId w:val="56237026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w:t>
            </w:r>
          </w:p>
        </w:tc>
      </w:tr>
      <w:tr w:rsidR="00195C2F">
        <w:trPr>
          <w:divId w:val="56237026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10,000,097.22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6.51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10,000,097.22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6.51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95C2F" w:rsidRDefault="00CB3C6C">
            <w:pPr>
              <w:widowControl/>
              <w:jc w:val="right"/>
            </w:pPr>
            <w:r>
              <w:rPr>
                <w:rFonts w:ascii="宋体" w:hAnsi="宋体" w:hint="eastAsia"/>
                <w:color w:val="000000"/>
                <w:szCs w:val="21"/>
              </w:rPr>
              <w:t>3年</w:t>
            </w:r>
          </w:p>
        </w:tc>
      </w:tr>
    </w:tbl>
    <w:p w:rsidR="00195C2F" w:rsidRDefault="00CB3C6C">
      <w:pPr>
        <w:pStyle w:val="XBRLTitle1"/>
        <w:spacing w:before="156" w:line="360" w:lineRule="auto"/>
        <w:ind w:left="425"/>
      </w:pPr>
      <w:bookmarkStart w:id="339" w:name="_Toc512519526"/>
      <w:bookmarkStart w:id="340" w:name="_Toc490050046"/>
      <w:bookmarkStart w:id="341" w:name="_Toc481075094"/>
      <w:bookmarkStart w:id="342" w:name="_Toc479856294"/>
      <w:bookmarkStart w:id="343" w:name="_Toc514178710"/>
      <w:bookmarkStart w:id="344" w:name="m701"/>
      <w:proofErr w:type="spellStart"/>
      <w:r>
        <w:rPr>
          <w:rFonts w:hint="eastAsia"/>
        </w:rPr>
        <w:t>影响投资者决策的其他重要信息</w:t>
      </w:r>
      <w:bookmarkEnd w:id="339"/>
      <w:bookmarkEnd w:id="340"/>
      <w:bookmarkEnd w:id="341"/>
      <w:bookmarkEnd w:id="342"/>
      <w:bookmarkEnd w:id="343"/>
      <w:proofErr w:type="spellEnd"/>
      <w:r>
        <w:rPr>
          <w:rFonts w:hint="eastAsia"/>
          <w:lang w:eastAsia="zh-CN"/>
        </w:rPr>
        <w:t xml:space="preserve"> </w:t>
      </w:r>
    </w:p>
    <w:p w:rsidR="00195C2F" w:rsidRDefault="00CB3C6C">
      <w:pPr>
        <w:pStyle w:val="XBRLTitle2"/>
        <w:spacing w:before="156" w:line="360" w:lineRule="auto"/>
        <w:ind w:left="454"/>
      </w:pPr>
      <w:bookmarkStart w:id="345" w:name="_Toc512519527"/>
      <w:bookmarkStart w:id="346" w:name="_Toc481075095"/>
      <w:bookmarkStart w:id="347" w:name="_Toc490050047"/>
      <w:bookmarkStart w:id="348" w:name="_Toc514178711"/>
      <w:r>
        <w:rPr>
          <w:rFonts w:hint="eastAsia"/>
          <w:kern w:val="0"/>
        </w:rPr>
        <w:t>报告期内单一投资者持有基金份额比例达到或超过20%的情况</w:t>
      </w:r>
      <w:bookmarkEnd w:id="345"/>
      <w:bookmarkEnd w:id="346"/>
      <w:bookmarkEnd w:id="347"/>
      <w:bookmarkEnd w:id="348"/>
      <w:r>
        <w:rPr>
          <w:rFonts w:hint="eastAsia"/>
          <w:kern w:val="0"/>
          <w:lang w:eastAsia="zh-CN"/>
        </w:rPr>
        <w:t xml:space="preserve"> </w:t>
      </w:r>
    </w:p>
    <w:bookmarkEnd w:id="19"/>
    <w:bookmarkEnd w:id="36"/>
    <w:bookmarkEnd w:id="37"/>
    <w:p w:rsidR="00195C2F" w:rsidRDefault="00CB3C6C">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195C2F" w:rsidRDefault="00CB3C6C">
      <w:pPr>
        <w:pStyle w:val="XBRLTitle1"/>
        <w:spacing w:before="156" w:line="360" w:lineRule="auto"/>
        <w:ind w:left="425"/>
      </w:pPr>
      <w:bookmarkStart w:id="349" w:name="_Toc512519529"/>
      <w:bookmarkStart w:id="350" w:name="_Toc490050049"/>
      <w:bookmarkStart w:id="351" w:name="_Toc481075097"/>
      <w:bookmarkStart w:id="352" w:name="_Toc438646481"/>
      <w:bookmarkStart w:id="353" w:name="_Toc514178713"/>
      <w:bookmarkEnd w:id="344"/>
      <w:proofErr w:type="spellStart"/>
      <w:r>
        <w:rPr>
          <w:rFonts w:hint="eastAsia"/>
        </w:rPr>
        <w:t>备查文件目录</w:t>
      </w:r>
      <w:bookmarkEnd w:id="349"/>
      <w:bookmarkEnd w:id="350"/>
      <w:bookmarkEnd w:id="351"/>
      <w:bookmarkEnd w:id="352"/>
      <w:bookmarkEnd w:id="353"/>
      <w:proofErr w:type="spellEnd"/>
      <w:r>
        <w:rPr>
          <w:rFonts w:hint="eastAsia"/>
        </w:rPr>
        <w:t xml:space="preserve"> </w:t>
      </w:r>
    </w:p>
    <w:p w:rsidR="00195C2F" w:rsidRDefault="00CB3C6C">
      <w:pPr>
        <w:pStyle w:val="XBRLTitle2"/>
        <w:spacing w:before="156" w:line="360" w:lineRule="auto"/>
        <w:ind w:left="454"/>
      </w:pPr>
      <w:bookmarkStart w:id="354" w:name="_Toc438646482"/>
      <w:bookmarkStart w:id="355" w:name="_Toc512519530"/>
      <w:bookmarkStart w:id="356" w:name="_Toc481075098"/>
      <w:bookmarkStart w:id="357" w:name="_Toc490050050"/>
      <w:bookmarkStart w:id="358" w:name="_Toc514178714"/>
      <w:bookmarkStart w:id="359" w:name="m801_01_1733"/>
      <w:proofErr w:type="spellStart"/>
      <w:r>
        <w:rPr>
          <w:rFonts w:hint="eastAsia"/>
        </w:rPr>
        <w:t>备查文件目录</w:t>
      </w:r>
      <w:bookmarkEnd w:id="354"/>
      <w:bookmarkEnd w:id="355"/>
      <w:bookmarkEnd w:id="356"/>
      <w:bookmarkEnd w:id="357"/>
      <w:bookmarkEnd w:id="358"/>
      <w:proofErr w:type="spellEnd"/>
      <w:r>
        <w:rPr>
          <w:rFonts w:hint="eastAsia"/>
        </w:rPr>
        <w:t xml:space="preserve"> </w:t>
      </w:r>
    </w:p>
    <w:p w:rsidR="00195C2F" w:rsidRDefault="00CB3C6C">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(二)摩根恒生科技交易型开放式指数证券投资基金发起式联接基金(QDII)基金合同</w:t>
      </w:r>
      <w:r>
        <w:rPr>
          <w:rFonts w:ascii="宋体" w:hAnsi="宋体" w:cs="宋体" w:hint="eastAsia"/>
          <w:color w:val="000000"/>
          <w:kern w:val="0"/>
        </w:rPr>
        <w:br/>
        <w:t xml:space="preserve">　　(三)摩根恒生科技交易型开放式指数证券投资基金发起式联接基金(QDII)托管协议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(七)摩根基金管理(中国)有限公司开放式基金业务规则</w:t>
      </w:r>
      <w:r>
        <w:rPr>
          <w:rFonts w:ascii="宋体" w:hAnsi="宋体" w:cs="宋体" w:hint="eastAsia"/>
          <w:color w:val="000000"/>
          <w:kern w:val="0"/>
        </w:rPr>
        <w:br/>
        <w:t xml:space="preserve">　　(八)中国证监会要求的其他文件</w:t>
      </w:r>
    </w:p>
    <w:p w:rsidR="00195C2F" w:rsidRDefault="00CB3C6C">
      <w:pPr>
        <w:pStyle w:val="XBRLTitle2"/>
        <w:spacing w:before="156" w:line="360" w:lineRule="auto"/>
        <w:ind w:left="454"/>
      </w:pPr>
      <w:bookmarkStart w:id="360" w:name="_Toc438646483"/>
      <w:bookmarkStart w:id="361" w:name="_Toc512519531"/>
      <w:bookmarkStart w:id="362" w:name="_Toc481075099"/>
      <w:bookmarkStart w:id="363" w:name="_Toc490050051"/>
      <w:bookmarkStart w:id="364" w:name="_Toc514178715"/>
      <w:bookmarkStart w:id="365" w:name="m801_01_1734"/>
      <w:bookmarkEnd w:id="359"/>
      <w:proofErr w:type="spellStart"/>
      <w:r>
        <w:rPr>
          <w:rFonts w:hint="eastAsia"/>
        </w:rPr>
        <w:t>存放地点</w:t>
      </w:r>
      <w:bookmarkEnd w:id="360"/>
      <w:bookmarkEnd w:id="361"/>
      <w:bookmarkEnd w:id="362"/>
      <w:bookmarkEnd w:id="363"/>
      <w:bookmarkEnd w:id="364"/>
      <w:proofErr w:type="spellEnd"/>
      <w:r>
        <w:rPr>
          <w:rFonts w:hint="eastAsia"/>
        </w:rPr>
        <w:t xml:space="preserve"> </w:t>
      </w:r>
    </w:p>
    <w:p w:rsidR="00195C2F" w:rsidRDefault="00CB3C6C">
      <w:pPr>
        <w:spacing w:line="360" w:lineRule="auto"/>
        <w:ind w:firstLineChars="200" w:firstLine="420"/>
        <w:jc w:val="left"/>
      </w:pPr>
      <w:r>
        <w:rPr>
          <w:rFonts w:ascii="宋体" w:hAnsi="宋体" w:cs="宋体" w:hint="eastAsia"/>
          <w:color w:val="000000"/>
          <w:kern w:val="0"/>
        </w:rPr>
        <w:t>基金管理人或基金托管人住所。</w:t>
      </w:r>
    </w:p>
    <w:p w:rsidR="00195C2F" w:rsidRDefault="00CB3C6C">
      <w:pPr>
        <w:pStyle w:val="XBRLTitle2"/>
        <w:spacing w:before="156" w:line="360" w:lineRule="auto"/>
        <w:ind w:left="454"/>
      </w:pPr>
      <w:bookmarkStart w:id="366" w:name="_Toc438646484"/>
      <w:bookmarkStart w:id="367" w:name="_Toc512519532"/>
      <w:bookmarkStart w:id="368" w:name="_Toc481075100"/>
      <w:bookmarkStart w:id="369" w:name="_Toc490050052"/>
      <w:bookmarkStart w:id="370" w:name="_Toc514178716"/>
      <w:bookmarkStart w:id="371" w:name="m801_01_1735"/>
      <w:bookmarkEnd w:id="365"/>
      <w:proofErr w:type="spellStart"/>
      <w:r>
        <w:rPr>
          <w:rFonts w:hint="eastAsia"/>
        </w:rPr>
        <w:t>查阅方式</w:t>
      </w:r>
      <w:bookmarkEnd w:id="366"/>
      <w:bookmarkEnd w:id="367"/>
      <w:bookmarkEnd w:id="368"/>
      <w:bookmarkEnd w:id="369"/>
      <w:bookmarkEnd w:id="370"/>
      <w:proofErr w:type="spellEnd"/>
      <w:r>
        <w:rPr>
          <w:rFonts w:hint="eastAsia"/>
        </w:rPr>
        <w:t xml:space="preserve"> </w:t>
      </w:r>
    </w:p>
    <w:p w:rsidR="00195C2F" w:rsidRDefault="00CB3C6C">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1"/>
    <w:p w:rsidR="00195C2F" w:rsidRDefault="00CB3C6C">
      <w:pPr>
        <w:spacing w:line="360" w:lineRule="auto"/>
        <w:ind w:firstLineChars="600" w:firstLine="1687"/>
        <w:jc w:val="left"/>
      </w:pPr>
      <w:r>
        <w:rPr>
          <w:rFonts w:ascii="宋体" w:hAnsi="宋体" w:hint="eastAsia"/>
          <w:b/>
          <w:bCs/>
          <w:sz w:val="28"/>
          <w:szCs w:val="30"/>
        </w:rPr>
        <w:t xml:space="preserve">　 </w:t>
      </w:r>
    </w:p>
    <w:p w:rsidR="00195C2F" w:rsidRDefault="00CB3C6C">
      <w:pPr>
        <w:spacing w:line="360" w:lineRule="auto"/>
        <w:ind w:firstLineChars="600" w:firstLine="1687"/>
        <w:jc w:val="left"/>
      </w:pPr>
      <w:r>
        <w:rPr>
          <w:rFonts w:ascii="宋体" w:hAnsi="宋体" w:hint="eastAsia"/>
          <w:b/>
          <w:bCs/>
          <w:sz w:val="28"/>
          <w:szCs w:val="30"/>
        </w:rPr>
        <w:t xml:space="preserve">　 </w:t>
      </w:r>
    </w:p>
    <w:p w:rsidR="00195C2F" w:rsidRDefault="00CB3C6C">
      <w:pPr>
        <w:spacing w:line="360" w:lineRule="auto"/>
        <w:ind w:firstLineChars="600" w:firstLine="1446"/>
        <w:jc w:val="right"/>
      </w:pPr>
      <w:r>
        <w:rPr>
          <w:rFonts w:ascii="宋体" w:hAnsi="宋体" w:hint="eastAsia"/>
          <w:b/>
          <w:bCs/>
          <w:sz w:val="24"/>
          <w:szCs w:val="24"/>
        </w:rPr>
        <w:t>摩根基金管理（中国）有限公司</w:t>
      </w:r>
    </w:p>
    <w:p w:rsidR="00195C2F" w:rsidRDefault="00CB3C6C">
      <w:pPr>
        <w:spacing w:line="360" w:lineRule="auto"/>
        <w:ind w:firstLineChars="600" w:firstLine="1446"/>
        <w:jc w:val="right"/>
      </w:pPr>
      <w:r>
        <w:rPr>
          <w:rFonts w:ascii="宋体" w:hAnsi="宋体" w:hint="eastAsia"/>
          <w:b/>
          <w:bCs/>
          <w:sz w:val="24"/>
          <w:szCs w:val="24"/>
        </w:rPr>
        <w:t>2025年4月22日</w:t>
      </w:r>
      <w:bookmarkEnd w:id="20"/>
    </w:p>
    <w:sectPr w:rsidR="00195C2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C2F" w:rsidRDefault="00CB3C6C">
      <w:pPr>
        <w:rPr>
          <w:szCs w:val="21"/>
        </w:rPr>
      </w:pPr>
      <w:r>
        <w:rPr>
          <w:szCs w:val="21"/>
        </w:rPr>
        <w:separator/>
      </w:r>
      <w:r>
        <w:rPr>
          <w:szCs w:val="21"/>
        </w:rPr>
        <w:t xml:space="preserve"> </w:t>
      </w:r>
    </w:p>
  </w:endnote>
  <w:endnote w:type="continuationSeparator" w:id="0">
    <w:p w:rsidR="00195C2F" w:rsidRDefault="00CB3C6C">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F" w:rsidRDefault="00CB3C6C">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9F73F5">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9F73F5">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C2F" w:rsidRDefault="00CB3C6C">
      <w:pPr>
        <w:rPr>
          <w:szCs w:val="21"/>
        </w:rPr>
      </w:pPr>
      <w:r>
        <w:rPr>
          <w:szCs w:val="21"/>
        </w:rPr>
        <w:separator/>
      </w:r>
      <w:r>
        <w:rPr>
          <w:szCs w:val="21"/>
        </w:rPr>
        <w:t xml:space="preserve"> </w:t>
      </w:r>
    </w:p>
  </w:footnote>
  <w:footnote w:type="continuationSeparator" w:id="0">
    <w:p w:rsidR="00195C2F" w:rsidRDefault="00CB3C6C">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F" w:rsidRDefault="00CB3C6C">
    <w:pPr>
      <w:pStyle w:val="a8"/>
      <w:jc w:val="right"/>
    </w:pPr>
    <w:r>
      <w:rPr>
        <w:rFonts w:ascii="宋体" w:hAnsi="宋体" w:hint="eastAsia"/>
      </w:rPr>
      <w:t>摩根恒生科技交易型开放式指数证券投资基金发起式联接基金(QDII)2025年第1季度报告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F34B85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7"/>
  <w:drawingGridVerticalSpacing w:val="156"/>
  <w:displayHorizontalDrawingGridEvery w:val="0"/>
  <w:displayVerticalDrawingGridEvery w:val="2"/>
  <w:characterSpacingControl w:val="compressPunctuation"/>
  <w:doNotValidateAgainstSchema/>
  <w:doNotDemarcateInvalidXml/>
  <w:hdrShapeDefaults>
    <o:shapedefaults v:ext="edit" spidmax="3379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6C"/>
    <w:rsid w:val="00195C2F"/>
    <w:rsid w:val="009F73F5"/>
    <w:rsid w:val="00CB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42">
    <w:name w:val="toc 4"/>
    <w:basedOn w:val="a"/>
    <w:next w:val="a"/>
    <w:autoRedefine/>
    <w:uiPriority w:val="39"/>
    <w:semiHidden/>
    <w:unhideWhenUsed/>
    <w:pPr>
      <w:ind w:leftChars="600" w:left="126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kinsoku w:val="0"/>
      <w:overflowPunct w:val="0"/>
      <w:adjustRightInd w:val="0"/>
      <w:snapToGrid w:val="0"/>
      <w:spacing w:beforeLines="50" w:before="0" w:after="0" w:line="360" w:lineRule="auto"/>
      <w:ind w:firstLine="0"/>
      <w:outlineLvl w:val="9"/>
    </w:pPr>
    <w:rPr>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宋体" w:eastAsia="宋体" w:hAnsi="宋体" w:cs="Times New Roman" w:hint="eastAsia"/>
      <w:b/>
      <w:bCs/>
      <w:sz w:val="32"/>
      <w:szCs w:val="32"/>
    </w:rPr>
  </w:style>
  <w:style w:type="character" w:customStyle="1" w:styleId="16">
    <w:name w:val="副标题 字符1"/>
    <w:link w:val="ae"/>
    <w:locked/>
    <w:rPr>
      <w:rFonts w:ascii="宋体" w:eastAsia="宋体" w:hAnsi="宋体" w:cs="Times New Roman" w:hint="eastAsia"/>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71303">
      <w:marLeft w:val="0"/>
      <w:marRight w:val="0"/>
      <w:marTop w:val="0"/>
      <w:marBottom w:val="0"/>
      <w:divBdr>
        <w:top w:val="none" w:sz="0" w:space="0" w:color="auto"/>
        <w:left w:val="none" w:sz="0" w:space="0" w:color="auto"/>
        <w:bottom w:val="none" w:sz="0" w:space="0" w:color="auto"/>
        <w:right w:val="none" w:sz="0" w:space="0" w:color="auto"/>
      </w:divBdr>
    </w:div>
    <w:div w:id="258684802">
      <w:marLeft w:val="0"/>
      <w:marRight w:val="0"/>
      <w:marTop w:val="0"/>
      <w:marBottom w:val="0"/>
      <w:divBdr>
        <w:top w:val="none" w:sz="0" w:space="0" w:color="auto"/>
        <w:left w:val="none" w:sz="0" w:space="0" w:color="auto"/>
        <w:bottom w:val="none" w:sz="0" w:space="0" w:color="auto"/>
        <w:right w:val="none" w:sz="0" w:space="0" w:color="auto"/>
      </w:divBdr>
    </w:div>
    <w:div w:id="331033462">
      <w:marLeft w:val="0"/>
      <w:marRight w:val="0"/>
      <w:marTop w:val="0"/>
      <w:marBottom w:val="0"/>
      <w:divBdr>
        <w:top w:val="none" w:sz="0" w:space="0" w:color="auto"/>
        <w:left w:val="none" w:sz="0" w:space="0" w:color="auto"/>
        <w:bottom w:val="none" w:sz="0" w:space="0" w:color="auto"/>
        <w:right w:val="none" w:sz="0" w:space="0" w:color="auto"/>
      </w:divBdr>
    </w:div>
    <w:div w:id="562370266">
      <w:marLeft w:val="0"/>
      <w:marRight w:val="0"/>
      <w:marTop w:val="0"/>
      <w:marBottom w:val="0"/>
      <w:divBdr>
        <w:top w:val="none" w:sz="0" w:space="0" w:color="auto"/>
        <w:left w:val="none" w:sz="0" w:space="0" w:color="auto"/>
        <w:bottom w:val="none" w:sz="0" w:space="0" w:color="auto"/>
        <w:right w:val="none" w:sz="0" w:space="0" w:color="auto"/>
      </w:divBdr>
    </w:div>
    <w:div w:id="726690099">
      <w:marLeft w:val="0"/>
      <w:marRight w:val="0"/>
      <w:marTop w:val="0"/>
      <w:marBottom w:val="0"/>
      <w:divBdr>
        <w:top w:val="none" w:sz="0" w:space="0" w:color="auto"/>
        <w:left w:val="none" w:sz="0" w:space="0" w:color="auto"/>
        <w:bottom w:val="none" w:sz="0" w:space="0" w:color="auto"/>
        <w:right w:val="none" w:sz="0" w:space="0" w:color="auto"/>
      </w:divBdr>
    </w:div>
    <w:div w:id="933588522">
      <w:marLeft w:val="0"/>
      <w:marRight w:val="0"/>
      <w:marTop w:val="0"/>
      <w:marBottom w:val="0"/>
      <w:divBdr>
        <w:top w:val="none" w:sz="0" w:space="0" w:color="auto"/>
        <w:left w:val="none" w:sz="0" w:space="0" w:color="auto"/>
        <w:bottom w:val="none" w:sz="0" w:space="0" w:color="auto"/>
        <w:right w:val="none" w:sz="0" w:space="0" w:color="auto"/>
      </w:divBdr>
    </w:div>
    <w:div w:id="963192570">
      <w:marLeft w:val="0"/>
      <w:marRight w:val="0"/>
      <w:marTop w:val="0"/>
      <w:marBottom w:val="0"/>
      <w:divBdr>
        <w:top w:val="none" w:sz="0" w:space="0" w:color="auto"/>
        <w:left w:val="none" w:sz="0" w:space="0" w:color="auto"/>
        <w:bottom w:val="none" w:sz="0" w:space="0" w:color="auto"/>
        <w:right w:val="none" w:sz="0" w:space="0" w:color="auto"/>
      </w:divBdr>
    </w:div>
    <w:div w:id="989479124">
      <w:marLeft w:val="0"/>
      <w:marRight w:val="0"/>
      <w:marTop w:val="0"/>
      <w:marBottom w:val="0"/>
      <w:divBdr>
        <w:top w:val="none" w:sz="0" w:space="0" w:color="auto"/>
        <w:left w:val="none" w:sz="0" w:space="0" w:color="auto"/>
        <w:bottom w:val="none" w:sz="0" w:space="0" w:color="auto"/>
        <w:right w:val="none" w:sz="0" w:space="0" w:color="auto"/>
      </w:divBdr>
    </w:div>
    <w:div w:id="998389879">
      <w:marLeft w:val="0"/>
      <w:marRight w:val="0"/>
      <w:marTop w:val="0"/>
      <w:marBottom w:val="0"/>
      <w:divBdr>
        <w:top w:val="none" w:sz="0" w:space="0" w:color="auto"/>
        <w:left w:val="none" w:sz="0" w:space="0" w:color="auto"/>
        <w:bottom w:val="none" w:sz="0" w:space="0" w:color="auto"/>
        <w:right w:val="none" w:sz="0" w:space="0" w:color="auto"/>
      </w:divBdr>
    </w:div>
    <w:div w:id="1040663813">
      <w:marLeft w:val="0"/>
      <w:marRight w:val="0"/>
      <w:marTop w:val="0"/>
      <w:marBottom w:val="0"/>
      <w:divBdr>
        <w:top w:val="none" w:sz="0" w:space="0" w:color="auto"/>
        <w:left w:val="none" w:sz="0" w:space="0" w:color="auto"/>
        <w:bottom w:val="none" w:sz="0" w:space="0" w:color="auto"/>
        <w:right w:val="none" w:sz="0" w:space="0" w:color="auto"/>
      </w:divBdr>
    </w:div>
    <w:div w:id="1046758836">
      <w:marLeft w:val="0"/>
      <w:marRight w:val="0"/>
      <w:marTop w:val="0"/>
      <w:marBottom w:val="0"/>
      <w:divBdr>
        <w:top w:val="none" w:sz="0" w:space="0" w:color="auto"/>
        <w:left w:val="none" w:sz="0" w:space="0" w:color="auto"/>
        <w:bottom w:val="none" w:sz="0" w:space="0" w:color="auto"/>
        <w:right w:val="none" w:sz="0" w:space="0" w:color="auto"/>
      </w:divBdr>
    </w:div>
    <w:div w:id="1082218251">
      <w:marLeft w:val="0"/>
      <w:marRight w:val="0"/>
      <w:marTop w:val="0"/>
      <w:marBottom w:val="0"/>
      <w:divBdr>
        <w:top w:val="none" w:sz="0" w:space="0" w:color="auto"/>
        <w:left w:val="none" w:sz="0" w:space="0" w:color="auto"/>
        <w:bottom w:val="none" w:sz="0" w:space="0" w:color="auto"/>
        <w:right w:val="none" w:sz="0" w:space="0" w:color="auto"/>
      </w:divBdr>
    </w:div>
    <w:div w:id="1084568903">
      <w:marLeft w:val="0"/>
      <w:marRight w:val="0"/>
      <w:marTop w:val="0"/>
      <w:marBottom w:val="0"/>
      <w:divBdr>
        <w:top w:val="none" w:sz="0" w:space="0" w:color="auto"/>
        <w:left w:val="none" w:sz="0" w:space="0" w:color="auto"/>
        <w:bottom w:val="none" w:sz="0" w:space="0" w:color="auto"/>
        <w:right w:val="none" w:sz="0" w:space="0" w:color="auto"/>
      </w:divBdr>
      <w:divsChild>
        <w:div w:id="301233489">
          <w:marLeft w:val="0"/>
          <w:marRight w:val="0"/>
          <w:marTop w:val="0"/>
          <w:marBottom w:val="0"/>
          <w:divBdr>
            <w:top w:val="none" w:sz="0" w:space="0" w:color="auto"/>
            <w:left w:val="none" w:sz="0" w:space="0" w:color="auto"/>
            <w:bottom w:val="none" w:sz="0" w:space="0" w:color="auto"/>
            <w:right w:val="none" w:sz="0" w:space="0" w:color="auto"/>
          </w:divBdr>
        </w:div>
      </w:divsChild>
    </w:div>
    <w:div w:id="1179660513">
      <w:marLeft w:val="0"/>
      <w:marRight w:val="0"/>
      <w:marTop w:val="0"/>
      <w:marBottom w:val="0"/>
      <w:divBdr>
        <w:top w:val="none" w:sz="0" w:space="0" w:color="auto"/>
        <w:left w:val="none" w:sz="0" w:space="0" w:color="auto"/>
        <w:bottom w:val="none" w:sz="0" w:space="0" w:color="auto"/>
        <w:right w:val="none" w:sz="0" w:space="0" w:color="auto"/>
      </w:divBdr>
    </w:div>
    <w:div w:id="1225608448">
      <w:marLeft w:val="0"/>
      <w:marRight w:val="0"/>
      <w:marTop w:val="0"/>
      <w:marBottom w:val="0"/>
      <w:divBdr>
        <w:top w:val="none" w:sz="0" w:space="0" w:color="auto"/>
        <w:left w:val="none" w:sz="0" w:space="0" w:color="auto"/>
        <w:bottom w:val="none" w:sz="0" w:space="0" w:color="auto"/>
        <w:right w:val="none" w:sz="0" w:space="0" w:color="auto"/>
      </w:divBdr>
    </w:div>
    <w:div w:id="1259605514">
      <w:marLeft w:val="0"/>
      <w:marRight w:val="0"/>
      <w:marTop w:val="0"/>
      <w:marBottom w:val="0"/>
      <w:divBdr>
        <w:top w:val="none" w:sz="0" w:space="0" w:color="auto"/>
        <w:left w:val="none" w:sz="0" w:space="0" w:color="auto"/>
        <w:bottom w:val="none" w:sz="0" w:space="0" w:color="auto"/>
        <w:right w:val="none" w:sz="0" w:space="0" w:color="auto"/>
      </w:divBdr>
    </w:div>
    <w:div w:id="1593008333">
      <w:marLeft w:val="0"/>
      <w:marRight w:val="0"/>
      <w:marTop w:val="0"/>
      <w:marBottom w:val="0"/>
      <w:divBdr>
        <w:top w:val="none" w:sz="0" w:space="0" w:color="auto"/>
        <w:left w:val="none" w:sz="0" w:space="0" w:color="auto"/>
        <w:bottom w:val="none" w:sz="0" w:space="0" w:color="auto"/>
        <w:right w:val="none" w:sz="0" w:space="0" w:color="auto"/>
      </w:divBdr>
      <w:divsChild>
        <w:div w:id="979840636">
          <w:marLeft w:val="0"/>
          <w:marRight w:val="0"/>
          <w:marTop w:val="0"/>
          <w:marBottom w:val="0"/>
          <w:divBdr>
            <w:top w:val="none" w:sz="0" w:space="0" w:color="auto"/>
            <w:left w:val="none" w:sz="0" w:space="0" w:color="auto"/>
            <w:bottom w:val="none" w:sz="0" w:space="0" w:color="auto"/>
            <w:right w:val="none" w:sz="0" w:space="0" w:color="auto"/>
          </w:divBdr>
        </w:div>
      </w:divsChild>
    </w:div>
    <w:div w:id="1598714349">
      <w:marLeft w:val="0"/>
      <w:marRight w:val="0"/>
      <w:marTop w:val="0"/>
      <w:marBottom w:val="0"/>
      <w:divBdr>
        <w:top w:val="none" w:sz="0" w:space="0" w:color="auto"/>
        <w:left w:val="none" w:sz="0" w:space="0" w:color="auto"/>
        <w:bottom w:val="none" w:sz="0" w:space="0" w:color="auto"/>
        <w:right w:val="none" w:sz="0" w:space="0" w:color="auto"/>
      </w:divBdr>
    </w:div>
    <w:div w:id="1635285521">
      <w:marLeft w:val="0"/>
      <w:marRight w:val="0"/>
      <w:marTop w:val="0"/>
      <w:marBottom w:val="0"/>
      <w:divBdr>
        <w:top w:val="none" w:sz="0" w:space="0" w:color="auto"/>
        <w:left w:val="none" w:sz="0" w:space="0" w:color="auto"/>
        <w:bottom w:val="none" w:sz="0" w:space="0" w:color="auto"/>
        <w:right w:val="none" w:sz="0" w:space="0" w:color="auto"/>
      </w:divBdr>
    </w:div>
    <w:div w:id="1823548191">
      <w:marLeft w:val="0"/>
      <w:marRight w:val="0"/>
      <w:marTop w:val="0"/>
      <w:marBottom w:val="0"/>
      <w:divBdr>
        <w:top w:val="none" w:sz="0" w:space="0" w:color="auto"/>
        <w:left w:val="none" w:sz="0" w:space="0" w:color="auto"/>
        <w:bottom w:val="none" w:sz="0" w:space="0" w:color="auto"/>
        <w:right w:val="none" w:sz="0" w:space="0" w:color="auto"/>
      </w:divBdr>
    </w:div>
    <w:div w:id="1926264362">
      <w:marLeft w:val="0"/>
      <w:marRight w:val="0"/>
      <w:marTop w:val="0"/>
      <w:marBottom w:val="0"/>
      <w:divBdr>
        <w:top w:val="none" w:sz="0" w:space="0" w:color="auto"/>
        <w:left w:val="none" w:sz="0" w:space="0" w:color="auto"/>
        <w:bottom w:val="none" w:sz="0" w:space="0" w:color="auto"/>
        <w:right w:val="none" w:sz="0" w:space="0" w:color="auto"/>
      </w:divBdr>
    </w:div>
    <w:div w:id="2115007022">
      <w:marLeft w:val="0"/>
      <w:marRight w:val="0"/>
      <w:marTop w:val="0"/>
      <w:marBottom w:val="0"/>
      <w:divBdr>
        <w:top w:val="none" w:sz="0" w:space="0" w:color="auto"/>
        <w:left w:val="none" w:sz="0" w:space="0" w:color="auto"/>
        <w:bottom w:val="none" w:sz="0" w:space="0" w:color="auto"/>
        <w:right w:val="none" w:sz="0" w:space="0" w:color="auto"/>
      </w:divBdr>
    </w:div>
    <w:div w:id="21286963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35BF-F290-493B-81D8-1AA725B1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6144</Words>
  <Characters>2110</Characters>
  <Application>Microsoft Office Word</Application>
  <DocSecurity>0</DocSecurity>
  <Lines>17</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QD指数季报</dc:title>
  <dc:subject/>
  <dc:creator>yss</dc:creator>
  <cp:keywords/>
  <dc:description/>
  <cp:lastModifiedBy>Trowa.Ding@FA</cp:lastModifiedBy>
  <cp:revision>3</cp:revision>
  <dcterms:created xsi:type="dcterms:W3CDTF">2025-04-15T12:17:00Z</dcterms:created>
  <dcterms:modified xsi:type="dcterms:W3CDTF">2025-04-21T06:57:00Z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