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6DF9" w:rsidRDefault="00A22890">
      <w:pPr>
        <w:spacing w:line="360" w:lineRule="auto"/>
        <w:rPr>
          <w:rFonts w:ascii="宋体" w:hAnsi="宋体"/>
          <w:sz w:val="48"/>
        </w:rPr>
      </w:pPr>
      <w:r>
        <w:rPr>
          <w:rFonts w:ascii="宋体" w:hAnsi="宋体" w:hint="eastAsia"/>
          <w:sz w:val="48"/>
        </w:rPr>
        <w:t xml:space="preserve">　 </w:t>
      </w:r>
    </w:p>
    <w:p w:rsidR="00856DF9" w:rsidRDefault="00A22890">
      <w:pPr>
        <w:spacing w:line="360" w:lineRule="auto"/>
        <w:rPr>
          <w:rFonts w:ascii="宋体" w:hAnsi="宋体"/>
          <w:sz w:val="48"/>
        </w:rPr>
      </w:pPr>
      <w:r>
        <w:rPr>
          <w:rFonts w:ascii="宋体" w:hAnsi="宋体" w:hint="eastAsia"/>
          <w:sz w:val="48"/>
        </w:rPr>
        <w:t xml:space="preserve">　 </w:t>
      </w:r>
    </w:p>
    <w:p w:rsidR="00856DF9" w:rsidRDefault="00A22890">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sz w:val="48"/>
          <w:szCs w:val="48"/>
        </w:rPr>
        <w:t>摩根纳斯达克100指数型发起式证券投资基金(QDII)</w:t>
      </w:r>
      <w:r>
        <w:rPr>
          <w:rFonts w:ascii="宋体" w:hAnsi="宋体" w:hint="eastAsia"/>
          <w:b/>
          <w:bCs/>
          <w:sz w:val="48"/>
          <w:szCs w:val="48"/>
        </w:rPr>
        <w:br/>
        <w:t>2025年第1季度报告</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pPr>
      <w:r>
        <w:rPr>
          <w:rFonts w:ascii="宋体" w:hAnsi="宋体" w:hint="eastAsia"/>
          <w:b/>
          <w:bCs/>
          <w:sz w:val="28"/>
          <w:szCs w:val="30"/>
        </w:rPr>
        <w:t>2025年3月31日</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jc w:val="center"/>
        <w:rPr>
          <w:rFonts w:ascii="宋体" w:hAnsi="宋体"/>
          <w:sz w:val="28"/>
          <w:szCs w:val="30"/>
        </w:rPr>
      </w:pPr>
      <w:r>
        <w:rPr>
          <w:rFonts w:ascii="宋体" w:hAnsi="宋体" w:hint="eastAsia"/>
          <w:sz w:val="28"/>
          <w:szCs w:val="30"/>
        </w:rPr>
        <w:t xml:space="preserve">　 </w:t>
      </w:r>
    </w:p>
    <w:p w:rsidR="00856DF9" w:rsidRDefault="00A22890">
      <w:pPr>
        <w:spacing w:line="360" w:lineRule="auto"/>
        <w:ind w:firstLineChars="800" w:firstLine="2249"/>
        <w:jc w:val="left"/>
      </w:pPr>
      <w:r>
        <w:rPr>
          <w:rFonts w:ascii="宋体" w:hAnsi="宋体" w:hint="eastAsia"/>
          <w:b/>
          <w:bCs/>
          <w:sz w:val="28"/>
          <w:szCs w:val="30"/>
        </w:rPr>
        <w:t>基金管理人：摩根基金管理（中国）有限公司</w:t>
      </w:r>
    </w:p>
    <w:p w:rsidR="00856DF9" w:rsidRDefault="00A22890">
      <w:pPr>
        <w:spacing w:line="360" w:lineRule="auto"/>
        <w:ind w:firstLineChars="800" w:firstLine="2249"/>
        <w:jc w:val="left"/>
      </w:pPr>
      <w:r>
        <w:rPr>
          <w:rFonts w:ascii="宋体" w:hAnsi="宋体" w:hint="eastAsia"/>
          <w:b/>
          <w:bCs/>
          <w:sz w:val="28"/>
          <w:szCs w:val="30"/>
        </w:rPr>
        <w:t>基金托管人：上海浦东发展银行股份有限公司</w:t>
      </w:r>
    </w:p>
    <w:p w:rsidR="00856DF9" w:rsidRDefault="00A22890">
      <w:pPr>
        <w:spacing w:line="360" w:lineRule="auto"/>
        <w:ind w:firstLineChars="800" w:firstLine="2249"/>
        <w:jc w:val="left"/>
      </w:pPr>
      <w:r>
        <w:rPr>
          <w:rFonts w:ascii="宋体" w:hAnsi="宋体" w:hint="eastAsia"/>
          <w:b/>
          <w:bCs/>
          <w:sz w:val="28"/>
          <w:szCs w:val="30"/>
        </w:rPr>
        <w:t>报告送出日期：2025年4月22日</w:t>
      </w:r>
    </w:p>
    <w:p w:rsidR="00856DF9" w:rsidRDefault="00A22890">
      <w:pPr>
        <w:pStyle w:val="XBRLTitle1"/>
        <w:spacing w:before="156" w:line="360" w:lineRule="auto"/>
        <w:ind w:left="425"/>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proofErr w:type="spellStart"/>
      <w:r>
        <w:rPr>
          <w:rFonts w:hint="eastAsia"/>
        </w:rPr>
        <w:lastRenderedPageBreak/>
        <w:t>重要提示</w:t>
      </w:r>
      <w:bookmarkEnd w:id="7"/>
      <w:bookmarkEnd w:id="8"/>
      <w:bookmarkEnd w:id="9"/>
      <w:bookmarkEnd w:id="10"/>
      <w:bookmarkEnd w:id="11"/>
      <w:proofErr w:type="spellEnd"/>
      <w:r>
        <w:rPr>
          <w:rFonts w:hint="eastAsia"/>
        </w:rPr>
        <w:t xml:space="preserve"> </w:t>
      </w:r>
    </w:p>
    <w:p w:rsidR="00856DF9" w:rsidRDefault="00A22890">
      <w:pPr>
        <w:spacing w:line="360" w:lineRule="auto"/>
        <w:ind w:firstLineChars="200" w:firstLine="420"/>
        <w:divId w:val="812986065"/>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基金托管人上海浦东发展银行股份有限公司根据本基金合同规定，于2025年4月21日复核了本报告中的财务指标、净值表现和投资组合报告等内容，保证复核内容不存在虚假记载、误导性陈述或者重大遗漏。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856DF9" w:rsidRDefault="00A22890">
      <w:pPr>
        <w:pStyle w:val="XBRLTitle1"/>
        <w:spacing w:before="156" w:line="360" w:lineRule="auto"/>
        <w:ind w:left="425"/>
      </w:pPr>
      <w:bookmarkStart w:id="20" w:name="_Toc512519481"/>
      <w:bookmarkStart w:id="21" w:name="_Toc481075047"/>
      <w:bookmarkStart w:id="22" w:name="_Toc438646452"/>
      <w:bookmarkStart w:id="23" w:name="_Toc490050001"/>
      <w:bookmarkStart w:id="24" w:name="_Toc514178668"/>
      <w:proofErr w:type="spellStart"/>
      <w:r>
        <w:rPr>
          <w:rFonts w:hint="eastAsia"/>
        </w:rPr>
        <w:t>基金产品概况</w:t>
      </w:r>
      <w:bookmarkEnd w:id="20"/>
      <w:bookmarkEnd w:id="21"/>
      <w:bookmarkEnd w:id="22"/>
      <w:bookmarkEnd w:id="23"/>
      <w:bookmarkEnd w:id="24"/>
      <w:proofErr w:type="spellEnd"/>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07"/>
        <w:gridCol w:w="1663"/>
        <w:gridCol w:w="1663"/>
        <w:gridCol w:w="1561"/>
        <w:gridCol w:w="1080"/>
      </w:tblGrid>
      <w:tr w:rsidR="00856DF9">
        <w:trPr>
          <w:divId w:val="1044329047"/>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bookmarkStart w:id="25" w:name="OLE_LINK1"/>
            <w:r>
              <w:rPr>
                <w:rFonts w:ascii="宋体" w:hAnsi="宋体" w:hint="eastAsia"/>
              </w:rPr>
              <w:t>基金简称</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szCs w:val="24"/>
                <w:lang w:eastAsia="zh-Hans"/>
              </w:rPr>
              <w:t>摩根纳斯达克100指数(QDII)</w:t>
            </w:r>
            <w:r>
              <w:rPr>
                <w:rFonts w:ascii="宋体" w:hAnsi="宋体" w:hint="eastAsia"/>
                <w:lang w:eastAsia="zh-Hans"/>
              </w:rPr>
              <w:t xml:space="preserve"> </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019172</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契约型开放式</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2023年9月25日</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617,990,651.07</w:t>
            </w:r>
            <w:r>
              <w:rPr>
                <w:rFonts w:asciiTheme="minorHAnsi" w:eastAsiaTheme="minorEastAsia" w:hAnsiTheme="minorHAnsi" w:hint="eastAsia"/>
              </w:rPr>
              <w:t>份</w:t>
            </w:r>
            <w:r>
              <w:rPr>
                <w:rFonts w:ascii="宋体" w:hAnsi="宋体" w:hint="eastAsia"/>
                <w:lang w:eastAsia="zh-Hans"/>
              </w:rPr>
              <w:t xml:space="preserve"> </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本基金进行被动指数化投资，紧密跟踪标的指数，追求跟踪偏离度和跟踪误差最小化。</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投资策略</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ascii="宋体" w:hAnsi="宋体" w:hint="eastAsia"/>
                <w:lang w:eastAsia="zh-Hans"/>
              </w:rPr>
              <w:br/>
              <w:t>1、资产配置策略</w:t>
            </w:r>
            <w:r>
              <w:rPr>
                <w:rFonts w:ascii="宋体" w:hAnsi="宋体" w:hint="eastAsia"/>
                <w:lang w:eastAsia="zh-Hans"/>
              </w:rPr>
              <w:br/>
              <w:t>为了实现追踪误差最小化，本基金投资于标的指数成份股及其备选成份股的比例不低于基金资产净值的80%，且不低于非现金基金资产80%。</w:t>
            </w:r>
            <w:r>
              <w:rPr>
                <w:rFonts w:ascii="宋体" w:hAnsi="宋体" w:hint="eastAsia"/>
                <w:lang w:eastAsia="zh-Hans"/>
              </w:rPr>
              <w:br/>
              <w:t>在正常市场情况下，本基金力争控制基金净值增长率与业绩比</w:t>
            </w:r>
            <w:r>
              <w:rPr>
                <w:rFonts w:ascii="宋体" w:hAnsi="宋体" w:hint="eastAsia"/>
                <w:lang w:eastAsia="zh-Hans"/>
              </w:rPr>
              <w:lastRenderedPageBreak/>
              <w:t>较基准之间的日均跟踪偏离度小于0.35%，基金净值增长率与业绩比较基准之间的年跟踪误差不超过4%。</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通过完全复制策略进行被动式指数化投资，根据纳斯达克100指数成份股的基准权重构建股票资产组合，对于因法规限制、流动性限制而无法交易的成份股，将采用与被限制股预期收益率相近的股票或股票组合进行相应的替代。</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②当标的指数成份股因停牌、流动性不足等因素导致基金无法按照指数权重进行配置，基金管理人将综合考虑跟踪误差和投资者利益，选择相关股票进行适当的替代。</w:t>
            </w:r>
            <w:r>
              <w:rPr>
                <w:rFonts w:ascii="宋体" w:hAnsi="宋体" w:hint="eastAsia"/>
                <w:lang w:eastAsia="zh-Hans"/>
              </w:rPr>
              <w:br/>
              <w:t>③本基金将根据申购和赎回情况对股票投资组合进行调整，保证基金正常运行，从而有效跟踪标的指数。</w:t>
            </w:r>
            <w:r>
              <w:rPr>
                <w:rFonts w:ascii="宋体" w:hAnsi="宋体" w:hint="eastAsia"/>
                <w:lang w:eastAsia="zh-Hans"/>
              </w:rPr>
              <w:br/>
              <w:t>3）股票替代</w:t>
            </w:r>
            <w:r>
              <w:rPr>
                <w:rFonts w:ascii="宋体" w:hAnsi="宋体" w:hint="eastAsia"/>
                <w:lang w:eastAsia="zh-Hans"/>
              </w:rPr>
              <w:br/>
              <w:t>通常情况下，本基金根据标的指数成份股票在指数中的权重确定成份股票的买卖数量。但在如标的指数成份股流动性严重不足或停牌、标的指数成份股因法律法规的相关规定而为本基金限制投资的股票等特殊情况下，本基金可以选择其他股票或股票组合对标的指数中的成份股进行替换。</w:t>
            </w:r>
            <w:r>
              <w:rPr>
                <w:rFonts w:ascii="宋体" w:hAnsi="宋体" w:hint="eastAsia"/>
                <w:lang w:eastAsia="zh-Hans"/>
              </w:rPr>
              <w:br/>
              <w:t>3、其他投资策略：包括基金投资策略、金融衍生品投资策</w:t>
            </w:r>
            <w:r>
              <w:rPr>
                <w:rFonts w:ascii="宋体" w:hAnsi="宋体" w:hint="eastAsia"/>
                <w:lang w:eastAsia="zh-Hans"/>
              </w:rPr>
              <w:lastRenderedPageBreak/>
              <w:t>略、债券投资策略、资产支持证券投资策略、存托凭证投资策略。</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纳斯达克100指数收益率(经汇率调整后) ×95%+银行活期存款利率(税后) ×5%</w:t>
            </w:r>
          </w:p>
        </w:tc>
      </w:tr>
      <w:tr w:rsidR="00856DF9">
        <w:trPr>
          <w:divId w:val="1044329047"/>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本基金属于股票型基金产品，预期风险和收益水平高于混合型基金、债券型基金和货币市场基金。本基金为被动管理的指数型基金，具有与标的指数以及标的指数所代表的股票市场相似的风险收益特征。</w:t>
            </w:r>
            <w:r>
              <w:rPr>
                <w:rFonts w:ascii="宋体" w:hAnsi="宋体" w:hint="eastAsia"/>
                <w:lang w:eastAsia="zh-Hans"/>
              </w:rPr>
              <w:br/>
              <w:t>本基金投资于境外证券市场，因此还面临汇率风险等境外证券市场投资所面临的特别投资风险。</w:t>
            </w:r>
          </w:p>
        </w:tc>
      </w:tr>
      <w:tr w:rsidR="00856DF9">
        <w:trPr>
          <w:divId w:val="104432904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摩根基金管理（中国）有限公司</w:t>
            </w:r>
          </w:p>
        </w:tc>
      </w:tr>
      <w:tr w:rsidR="00856DF9">
        <w:trPr>
          <w:divId w:val="1044329047"/>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上海浦东发展银行股份有限公司</w:t>
            </w:r>
          </w:p>
        </w:tc>
      </w:tr>
      <w:tr w:rsidR="00856DF9">
        <w:trPr>
          <w:divId w:val="104432904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56DF9" w:rsidRDefault="00A22890">
            <w:pPr>
              <w:spacing w:line="360" w:lineRule="auto"/>
              <w:jc w:val="left"/>
            </w:pPr>
            <w:bookmarkStart w:id="26" w:name="m02_01" w:colFirst="1" w:colLast="4"/>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摩根纳斯达克100指数(QDII)人民币A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摩根纳斯达克100指数(QDII)人民币C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摩根纳斯达克100指数(QDII)美元A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摩根纳斯达克100指数(QDII)美元C</w:t>
            </w:r>
            <w:r>
              <w:rPr>
                <w:rFonts w:ascii="宋体" w:hAnsi="宋体" w:hint="eastAsia"/>
                <w:kern w:val="0"/>
                <w:sz w:val="20"/>
                <w:lang w:eastAsia="zh-Hans"/>
              </w:rPr>
              <w:t xml:space="preserve"> </w:t>
            </w:r>
          </w:p>
        </w:tc>
      </w:tr>
      <w:tr w:rsidR="00856DF9">
        <w:trPr>
          <w:divId w:val="104432904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56DF9" w:rsidRDefault="00A22890">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019172</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019173</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019174</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center"/>
            </w:pPr>
            <w:r>
              <w:rPr>
                <w:rFonts w:ascii="宋体" w:hAnsi="宋体" w:hint="eastAsia"/>
                <w:lang w:eastAsia="zh-Hans"/>
              </w:rPr>
              <w:t>019175</w:t>
            </w:r>
            <w:r>
              <w:rPr>
                <w:rFonts w:ascii="宋体" w:hAnsi="宋体" w:hint="eastAsia"/>
                <w:kern w:val="0"/>
                <w:sz w:val="20"/>
                <w:lang w:eastAsia="zh-Hans"/>
              </w:rPr>
              <w:t xml:space="preserve"> </w:t>
            </w:r>
          </w:p>
        </w:tc>
      </w:tr>
      <w:bookmarkEnd w:id="26"/>
      <w:tr w:rsidR="00856DF9">
        <w:trPr>
          <w:divId w:val="1044329047"/>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856DF9" w:rsidRDefault="00A22890">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lang w:eastAsia="zh-Hans"/>
              </w:rPr>
              <w:t>368,411,807.45</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lang w:eastAsia="zh-Hans"/>
              </w:rPr>
              <w:t>248,001,338.47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lang w:eastAsia="zh-Hans"/>
              </w:rPr>
              <w:t>761,377.87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lang w:eastAsia="zh-Hans"/>
              </w:rPr>
              <w:t>816,127.28</w:t>
            </w:r>
            <w:r>
              <w:rPr>
                <w:rFonts w:hint="eastAsia"/>
              </w:rPr>
              <w:t>份</w:t>
            </w:r>
            <w:r>
              <w:rPr>
                <w:rFonts w:ascii="宋体" w:hAnsi="宋体" w:hint="eastAsia"/>
                <w:lang w:eastAsia="zh-Hans"/>
              </w:rPr>
              <w:t xml:space="preserve"> </w:t>
            </w:r>
          </w:p>
        </w:tc>
      </w:tr>
      <w:tr w:rsidR="00856DF9">
        <w:trPr>
          <w:divId w:val="1044329047"/>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spacing w:line="360" w:lineRule="auto"/>
              <w:jc w:val="left"/>
            </w:pPr>
            <w:r>
              <w:rPr>
                <w:rFonts w:ascii="宋体" w:hAnsi="宋体" w:hint="eastAsia"/>
                <w:lang w:eastAsia="zh-Hans"/>
              </w:rPr>
              <w:t>英文名称：Citibank N.A.</w:t>
            </w:r>
          </w:p>
        </w:tc>
      </w:tr>
      <w:tr w:rsidR="00856DF9">
        <w:trPr>
          <w:divId w:val="1044329047"/>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56DF9" w:rsidRDefault="00856DF9">
            <w:pPr>
              <w:widowControl/>
              <w:jc w:val="left"/>
            </w:pPr>
          </w:p>
        </w:tc>
        <w:tc>
          <w:tcPr>
            <w:tcW w:w="3816" w:type="pct"/>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widowControl/>
              <w:spacing w:line="315" w:lineRule="atLeast"/>
              <w:jc w:val="left"/>
            </w:pPr>
            <w:r>
              <w:rPr>
                <w:rFonts w:ascii="宋体" w:hAnsi="宋体" w:hint="eastAsia"/>
                <w:lang w:eastAsia="zh-Hans"/>
              </w:rPr>
              <w:t>中文名称：花旗银行</w:t>
            </w:r>
            <w:r>
              <w:rPr>
                <w:rFonts w:asciiTheme="minorEastAsia" w:eastAsiaTheme="minorEastAsia" w:hAnsiTheme="minorEastAsia" w:hint="eastAsia"/>
              </w:rPr>
              <w:t xml:space="preserve"> </w:t>
            </w:r>
          </w:p>
        </w:tc>
      </w:tr>
    </w:tbl>
    <w:p w:rsidR="00856DF9" w:rsidRDefault="00A22890">
      <w:pPr>
        <w:pStyle w:val="XBRLTitle1"/>
        <w:spacing w:before="156" w:line="360" w:lineRule="auto"/>
        <w:ind w:left="425"/>
      </w:pPr>
      <w:bookmarkStart w:id="27" w:name="_Toc512519482"/>
      <w:bookmarkStart w:id="28" w:name="_Toc481075049"/>
      <w:bookmarkStart w:id="29" w:name="_Toc438646455"/>
      <w:bookmarkStart w:id="30" w:name="_Toc490050003"/>
      <w:bookmarkStart w:id="31" w:name="_Toc514178669"/>
      <w:bookmarkStart w:id="32" w:name="m401_tab"/>
      <w:bookmarkStart w:id="33" w:name="m401"/>
      <w:bookmarkEnd w:id="25"/>
      <w:proofErr w:type="spellStart"/>
      <w:r>
        <w:rPr>
          <w:rFonts w:hint="eastAsia"/>
        </w:rPr>
        <w:t>主要财务指标和基金净值表现</w:t>
      </w:r>
      <w:bookmarkEnd w:id="27"/>
      <w:bookmarkEnd w:id="28"/>
      <w:bookmarkEnd w:id="29"/>
      <w:bookmarkEnd w:id="30"/>
      <w:bookmarkEnd w:id="31"/>
      <w:proofErr w:type="spellEnd"/>
      <w:r>
        <w:rPr>
          <w:rFonts w:hint="eastAsia"/>
        </w:rPr>
        <w:t xml:space="preserve"> </w:t>
      </w:r>
    </w:p>
    <w:p w:rsidR="00856DF9" w:rsidRDefault="00A22890">
      <w:pPr>
        <w:pStyle w:val="XBRLTitle2"/>
        <w:spacing w:before="156" w:line="360" w:lineRule="auto"/>
        <w:ind w:left="454"/>
      </w:pPr>
      <w:bookmarkStart w:id="34" w:name="_Toc512519483"/>
      <w:bookmarkStart w:id="35" w:name="_Toc481075050"/>
      <w:bookmarkStart w:id="36" w:name="_Toc438646456"/>
      <w:bookmarkStart w:id="37" w:name="_Toc490050004"/>
      <w:bookmarkStart w:id="38" w:name="_Toc514178670"/>
      <w:proofErr w:type="spellStart"/>
      <w:r>
        <w:rPr>
          <w:rFonts w:hint="eastAsia"/>
        </w:rPr>
        <w:t>主要财务指标</w:t>
      </w:r>
      <w:bookmarkEnd w:id="34"/>
      <w:bookmarkEnd w:id="35"/>
      <w:bookmarkEnd w:id="36"/>
      <w:bookmarkEnd w:id="37"/>
      <w:bookmarkEnd w:id="38"/>
      <w:proofErr w:type="spellEnd"/>
      <w:r>
        <w:rPr>
          <w:rFonts w:hint="eastAsia"/>
        </w:rPr>
        <w:t xml:space="preserve"> </w:t>
      </w:r>
    </w:p>
    <w:p w:rsidR="00856DF9" w:rsidRDefault="00A22890">
      <w:pPr>
        <w:jc w:val="right"/>
        <w:divId w:val="687098711"/>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2"/>
        <w:gridCol w:w="2075"/>
        <w:gridCol w:w="2076"/>
        <w:gridCol w:w="1866"/>
        <w:gridCol w:w="1866"/>
      </w:tblGrid>
      <w:tr w:rsidR="00856DF9">
        <w:trPr>
          <w:divId w:val="687098711"/>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56DF9" w:rsidRDefault="00A22890">
            <w:pPr>
              <w:pStyle w:val="a5"/>
            </w:pPr>
            <w:r>
              <w:rPr>
                <w:rFonts w:hint="eastAsia"/>
                <w:kern w:val="2"/>
                <w:sz w:val="21"/>
                <w:lang w:eastAsia="zh-Hans"/>
              </w:rPr>
              <w:t xml:space="preserve">主要财务指标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856DF9" w:rsidRDefault="00A22890">
            <w:pPr>
              <w:pStyle w:val="a5"/>
              <w:jc w:val="center"/>
            </w:pPr>
            <w:r>
              <w:rPr>
                <w:rFonts w:hint="eastAsia"/>
                <w:kern w:val="2"/>
                <w:sz w:val="21"/>
                <w:szCs w:val="24"/>
                <w:lang w:eastAsia="zh-Hans"/>
              </w:rPr>
              <w:t xml:space="preserve">报告期（2025年1月1日-2025年3月31日） </w:t>
            </w:r>
          </w:p>
        </w:tc>
      </w:tr>
      <w:tr w:rsidR="00856DF9">
        <w:trPr>
          <w:divId w:val="687098711"/>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DF9" w:rsidRDefault="00856DF9">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56DF9" w:rsidRDefault="00A22890">
            <w:pPr>
              <w:jc w:val="center"/>
            </w:pPr>
            <w:r>
              <w:rPr>
                <w:rFonts w:ascii="宋体" w:hAnsi="宋体" w:hint="eastAsia"/>
                <w:szCs w:val="24"/>
                <w:lang w:eastAsia="zh-Hans"/>
              </w:rPr>
              <w:t>摩根纳斯达克100指数(QDII)人民币A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56DF9" w:rsidRDefault="00A22890">
            <w:pPr>
              <w:jc w:val="center"/>
            </w:pPr>
            <w:r>
              <w:rPr>
                <w:rFonts w:ascii="宋体" w:hAnsi="宋体" w:hint="eastAsia"/>
                <w:szCs w:val="24"/>
                <w:lang w:eastAsia="zh-Hans"/>
              </w:rPr>
              <w:t>摩根纳斯达克100指数(QDII)人民币C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56DF9" w:rsidRDefault="00A22890">
            <w:pPr>
              <w:jc w:val="center"/>
            </w:pPr>
            <w:r>
              <w:rPr>
                <w:rFonts w:ascii="宋体" w:hAnsi="宋体" w:hint="eastAsia"/>
                <w:szCs w:val="24"/>
                <w:lang w:eastAsia="zh-Hans"/>
              </w:rPr>
              <w:t>摩根纳斯达克100指数(QDII)美元A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856DF9" w:rsidRDefault="00A22890">
            <w:pPr>
              <w:jc w:val="center"/>
            </w:pPr>
            <w:r>
              <w:rPr>
                <w:rFonts w:ascii="宋体" w:hAnsi="宋体" w:hint="eastAsia"/>
                <w:szCs w:val="24"/>
                <w:lang w:eastAsia="zh-Hans"/>
              </w:rPr>
              <w:t>摩根纳斯达克100指数(QDII)美元C</w:t>
            </w:r>
          </w:p>
        </w:tc>
      </w:tr>
      <w:tr w:rsidR="00856DF9">
        <w:trPr>
          <w:divId w:val="6870987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-108,517.96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-321,574.51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-1,932.21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-8,532.01</w:t>
            </w:r>
          </w:p>
        </w:tc>
      </w:tr>
      <w:tr w:rsidR="00856DF9">
        <w:trPr>
          <w:divId w:val="6870987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-39,079,702.71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-27,136,963.45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-570,474.72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-650,805.65</w:t>
            </w:r>
          </w:p>
        </w:tc>
      </w:tr>
      <w:tr w:rsidR="00856DF9">
        <w:trPr>
          <w:divId w:val="6870987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pStyle w:val="a5"/>
            </w:pPr>
            <w:r>
              <w:rPr>
                <w:rFonts w:hint="eastAsia"/>
                <w:kern w:val="2"/>
                <w:sz w:val="21"/>
              </w:rPr>
              <w:lastRenderedPageBreak/>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-0.1096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-0.1094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-0.7293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-0.7352</w:t>
            </w:r>
          </w:p>
        </w:tc>
      </w:tr>
      <w:tr w:rsidR="00856DF9">
        <w:trPr>
          <w:divId w:val="6870987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455,737,573.51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305,252,561.89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6,759,386.22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7,212,307.17</w:t>
            </w:r>
          </w:p>
        </w:tc>
      </w:tr>
      <w:tr w:rsidR="00856DF9">
        <w:trPr>
          <w:divId w:val="687098711"/>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1.2370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A22890">
            <w:pPr>
              <w:jc w:val="right"/>
            </w:pPr>
            <w:r>
              <w:rPr>
                <w:rFonts w:ascii="宋体" w:hAnsi="宋体" w:hint="eastAsia"/>
                <w:szCs w:val="24"/>
                <w:lang w:eastAsia="zh-Hans"/>
              </w:rPr>
              <w:t>1.2309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1B516D">
            <w:pPr>
              <w:jc w:val="right"/>
            </w:pPr>
            <w:r>
              <w:rPr>
                <w:rFonts w:ascii="宋体" w:hAnsi="宋体"/>
                <w:szCs w:val="24"/>
                <w:lang w:eastAsia="zh-Hans"/>
              </w:rPr>
              <w:t>1.2368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856DF9" w:rsidRDefault="001B516D">
            <w:pPr>
              <w:jc w:val="right"/>
            </w:pPr>
            <w:bookmarkStart w:id="39" w:name="_GoBack"/>
            <w:r>
              <w:rPr>
                <w:rFonts w:ascii="宋体" w:hAnsi="宋体"/>
                <w:szCs w:val="24"/>
                <w:lang w:eastAsia="zh-Hans"/>
              </w:rPr>
              <w:t>1.2311</w:t>
            </w:r>
            <w:bookmarkEnd w:id="39"/>
          </w:p>
        </w:tc>
      </w:tr>
    </w:tbl>
    <w:p w:rsidR="00856DF9" w:rsidRDefault="00A22890">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856DF9" w:rsidRDefault="00A22890">
      <w:pPr>
        <w:pStyle w:val="XBRLTitle2"/>
        <w:spacing w:before="156" w:line="360" w:lineRule="auto"/>
        <w:ind w:left="454"/>
      </w:pPr>
      <w:bookmarkStart w:id="40" w:name="_Toc512519484"/>
      <w:bookmarkStart w:id="41" w:name="_Toc481075051"/>
      <w:bookmarkStart w:id="42" w:name="_Toc438646457"/>
      <w:bookmarkStart w:id="43" w:name="_Toc490050005"/>
      <w:bookmarkStart w:id="44" w:name="_Toc514178671"/>
      <w:proofErr w:type="spellStart"/>
      <w:r>
        <w:rPr>
          <w:rFonts w:hint="eastAsia"/>
        </w:rPr>
        <w:t>基金净值表现</w:t>
      </w:r>
      <w:bookmarkEnd w:id="40"/>
      <w:bookmarkEnd w:id="41"/>
      <w:bookmarkEnd w:id="42"/>
      <w:bookmarkEnd w:id="43"/>
      <w:bookmarkEnd w:id="44"/>
      <w:proofErr w:type="spellEnd"/>
      <w:r>
        <w:rPr>
          <w:rFonts w:hint="eastAsia"/>
        </w:rPr>
        <w:t xml:space="preserve"> </w:t>
      </w:r>
    </w:p>
    <w:p w:rsidR="00856DF9" w:rsidRDefault="00A22890">
      <w:pPr>
        <w:pStyle w:val="XBRLTitle3"/>
        <w:spacing w:before="156"/>
        <w:ind w:left="0"/>
      </w:pPr>
      <w:bookmarkStart w:id="45" w:name="_Toc512519485"/>
      <w:bookmarkStart w:id="46" w:name="_Toc481075052"/>
      <w:bookmarkStart w:id="47" w:name="_Toc490050006"/>
      <w:bookmarkStart w:id="48" w:name="_Toc514178672"/>
      <w:proofErr w:type="spellStart"/>
      <w:r>
        <w:rPr>
          <w:rFonts w:hint="eastAsia"/>
        </w:rPr>
        <w:t>基金份额净值增长率及其与同期业绩比较基准收益率的比较</w:t>
      </w:r>
      <w:bookmarkEnd w:id="45"/>
      <w:bookmarkEnd w:id="46"/>
      <w:bookmarkEnd w:id="47"/>
      <w:bookmarkEnd w:id="48"/>
      <w:proofErr w:type="spellEnd"/>
      <w:r>
        <w:rPr>
          <w:rFonts w:hint="eastAsia"/>
          <w:lang w:eastAsia="zh-CN"/>
        </w:rPr>
        <w:t xml:space="preserve"> </w:t>
      </w:r>
    </w:p>
    <w:p w:rsidR="00856DF9" w:rsidRDefault="00A22890">
      <w:pPr>
        <w:spacing w:line="360" w:lineRule="auto"/>
        <w:jc w:val="center"/>
        <w:divId w:val="331640551"/>
      </w:pPr>
      <w:r>
        <w:rPr>
          <w:rFonts w:ascii="宋体" w:hAnsi="宋体" w:hint="eastAsia"/>
        </w:rPr>
        <w:t>摩根纳斯达克100指数(QDII)人民币A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56DF9">
        <w:trPr>
          <w:divId w:val="33164055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②－④ </w:t>
            </w:r>
          </w:p>
        </w:tc>
      </w:tr>
      <w:tr w:rsidR="00856DF9">
        <w:trPr>
          <w:divId w:val="3316405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-7.91%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3316405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0.28%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3316405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5.78%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6.52%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-0.74%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33164055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23.70%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29.70%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-6.00%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bl>
    <w:p w:rsidR="00856DF9" w:rsidRDefault="00A22890">
      <w:pPr>
        <w:spacing w:line="360" w:lineRule="auto"/>
        <w:jc w:val="center"/>
        <w:divId w:val="1017729884"/>
      </w:pPr>
      <w:r>
        <w:rPr>
          <w:rFonts w:ascii="宋体" w:hAnsi="宋体" w:hint="eastAsia"/>
        </w:rPr>
        <w:t>摩根纳斯达克100指数(QDII)人民币C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56DF9">
        <w:trPr>
          <w:divId w:val="101772988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②－④ </w:t>
            </w:r>
          </w:p>
        </w:tc>
      </w:tr>
      <w:tr w:rsidR="00856DF9">
        <w:trPr>
          <w:divId w:val="1017729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-7.98%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1017729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1017729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5.40%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6.52%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-1.12%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101772988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lastRenderedPageBreak/>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23.09%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29.70%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-6.61%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bl>
    <w:p w:rsidR="00856DF9" w:rsidRDefault="00A22890">
      <w:pPr>
        <w:spacing w:line="360" w:lineRule="auto"/>
        <w:jc w:val="center"/>
        <w:divId w:val="1517235780"/>
      </w:pPr>
      <w:r>
        <w:rPr>
          <w:rFonts w:ascii="宋体" w:hAnsi="宋体" w:hint="eastAsia"/>
        </w:rPr>
        <w:t>摩根纳斯达克100指数(QDII)美元A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56DF9">
        <w:trPr>
          <w:divId w:val="151723578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②－④ </w:t>
            </w:r>
          </w:p>
        </w:tc>
      </w:tr>
      <w:tr w:rsidR="00856DF9">
        <w:trPr>
          <w:divId w:val="15172357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-7.78%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0.18%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r w:rsidR="00856DF9">
        <w:trPr>
          <w:divId w:val="15172357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-3.52%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-2.05%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r w:rsidR="00856DF9">
        <w:trPr>
          <w:divId w:val="15172357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4.60%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6.52%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-1.92%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r w:rsidR="00856DF9">
        <w:trPr>
          <w:divId w:val="151723578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23.68%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29.70%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-6.02%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-0.02% </w:t>
            </w:r>
          </w:p>
        </w:tc>
      </w:tr>
    </w:tbl>
    <w:p w:rsidR="00856DF9" w:rsidRDefault="00A22890">
      <w:pPr>
        <w:spacing w:line="360" w:lineRule="auto"/>
        <w:jc w:val="center"/>
        <w:divId w:val="997538321"/>
      </w:pPr>
      <w:r>
        <w:rPr>
          <w:rFonts w:ascii="宋体" w:hAnsi="宋体" w:hint="eastAsia"/>
        </w:rPr>
        <w:t>摩根纳斯达克100指数(QDII)美元C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856DF9">
        <w:trPr>
          <w:divId w:val="997538321"/>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 xml:space="preserve">②－④ </w:t>
            </w:r>
          </w:p>
        </w:tc>
      </w:tr>
      <w:tr w:rsidR="00856DF9">
        <w:trPr>
          <w:divId w:val="997538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-7.85%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-7.96%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1.38%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0.11%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0.00% </w:t>
            </w:r>
          </w:p>
        </w:tc>
      </w:tr>
      <w:tr w:rsidR="00856DF9">
        <w:trPr>
          <w:divId w:val="997538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-3.67%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-1.47%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-2.20%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r w:rsidR="00856DF9">
        <w:trPr>
          <w:divId w:val="997538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4.30%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6.52%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1.23%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-2.22%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-0.01% </w:t>
            </w:r>
          </w:p>
        </w:tc>
      </w:tr>
      <w:tr w:rsidR="00856DF9">
        <w:trPr>
          <w:divId w:val="997538321"/>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23.11%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29.70%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1.14%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856DF9" w:rsidRDefault="00A22890">
            <w:pPr>
              <w:spacing w:line="360" w:lineRule="auto"/>
              <w:jc w:val="right"/>
            </w:pPr>
            <w:r>
              <w:rPr>
                <w:rFonts w:ascii="宋体" w:hAnsi="宋体" w:hint="eastAsia"/>
              </w:rPr>
              <w:t xml:space="preserve">-6.59%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spacing w:line="360" w:lineRule="auto"/>
              <w:jc w:val="right"/>
            </w:pPr>
            <w:r>
              <w:rPr>
                <w:rFonts w:ascii="宋体" w:hAnsi="宋体" w:hint="eastAsia"/>
              </w:rPr>
              <w:t xml:space="preserve">-0.02% </w:t>
            </w:r>
          </w:p>
        </w:tc>
      </w:tr>
    </w:tbl>
    <w:p w:rsidR="00856DF9" w:rsidRDefault="00A22890">
      <w:pPr>
        <w:pStyle w:val="XBRLTitle3"/>
        <w:spacing w:before="156"/>
        <w:ind w:left="0"/>
      </w:pPr>
      <w:bookmarkStart w:id="49" w:name="_Toc512519486"/>
      <w:bookmarkStart w:id="50" w:name="_Toc481075053"/>
      <w:bookmarkStart w:id="51" w:name="_Toc490050007"/>
      <w:bookmarkStart w:id="52" w:name="_Toc514178673"/>
      <w:proofErr w:type="spellStart"/>
      <w:r>
        <w:rPr>
          <w:rFonts w:hint="eastAsia"/>
        </w:rPr>
        <w:t>自基金合同生效以来基金累计净值增长率变动及其与同期业绩比较基准收益率变动的比较</w:t>
      </w:r>
      <w:bookmarkEnd w:id="49"/>
      <w:bookmarkEnd w:id="50"/>
      <w:bookmarkEnd w:id="51"/>
      <w:bookmarkEnd w:id="52"/>
      <w:proofErr w:type="spellEnd"/>
      <w:r>
        <w:rPr>
          <w:rFonts w:hint="eastAsia"/>
          <w:kern w:val="2"/>
          <w:sz w:val="21"/>
          <w:szCs w:val="20"/>
          <w:lang w:val="en-US" w:eastAsia="zh-CN"/>
        </w:rPr>
        <w:t xml:space="preserve"> </w:t>
      </w:r>
    </w:p>
    <w:p w:rsidR="00856DF9" w:rsidRDefault="00A22890">
      <w:pPr>
        <w:spacing w:line="360" w:lineRule="auto"/>
        <w:jc w:val="left"/>
        <w:divId w:val="938219862"/>
      </w:pPr>
      <w:bookmarkStart w:id="53" w:name="m07_04_07_09_tab"/>
      <w:bookmarkStart w:id="54" w:name="m07_04_07_09"/>
      <w:bookmarkStart w:id="55" w:name="m01_01"/>
      <w:r>
        <w:rPr>
          <w:rFonts w:ascii="宋体" w:hAnsi="宋体"/>
          <w:noProof/>
        </w:rPr>
        <w:lastRenderedPageBreak/>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56DF9" w:rsidRDefault="00A22890">
      <w:pPr>
        <w:spacing w:line="360" w:lineRule="auto"/>
        <w:jc w:val="left"/>
        <w:divId w:val="182670495"/>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56DF9" w:rsidRDefault="00A22890">
      <w:pPr>
        <w:spacing w:line="360" w:lineRule="auto"/>
        <w:jc w:val="left"/>
        <w:divId w:val="2067875474"/>
      </w:pPr>
      <w:r>
        <w:rPr>
          <w:rFonts w:ascii="宋体" w:hAnsi="宋体"/>
          <w:noProof/>
        </w:rPr>
        <w:lastRenderedPageBreak/>
        <w:drawing>
          <wp:inline distT="0" distB="0" distL="0" distR="0">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56DF9" w:rsidRDefault="00A22890">
      <w:pPr>
        <w:spacing w:line="360" w:lineRule="auto"/>
        <w:jc w:val="left"/>
        <w:divId w:val="1639383148"/>
      </w:pPr>
      <w:r>
        <w:rPr>
          <w:rFonts w:ascii="宋体" w:hAnsi="宋体"/>
          <w:noProof/>
        </w:rPr>
        <w:drawing>
          <wp:inline distT="0" distB="0" distL="0" distR="0">
            <wp:extent cx="5229225" cy="30099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856DF9" w:rsidRDefault="00A22890">
      <w:pPr>
        <w:spacing w:line="360" w:lineRule="auto"/>
      </w:pPr>
      <w:r>
        <w:rPr>
          <w:rFonts w:ascii="宋体" w:hAnsi="宋体" w:hint="eastAsia"/>
        </w:rPr>
        <w:t>注：</w:t>
      </w:r>
      <w:r>
        <w:rPr>
          <w:rFonts w:ascii="宋体" w:hAnsi="宋体" w:hint="eastAsia"/>
          <w:lang w:eastAsia="zh-Hans"/>
        </w:rPr>
        <w:t>本基金合同生效日为2023年9月25日，图示的时间段为合同生效日至本报告期末。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3"/>
      <w:bookmarkEnd w:id="54"/>
    </w:p>
    <w:p w:rsidR="00856DF9" w:rsidRDefault="00A22890">
      <w:pPr>
        <w:pStyle w:val="XBRLTitle1"/>
        <w:spacing w:before="156" w:line="360" w:lineRule="auto"/>
        <w:ind w:left="425"/>
      </w:pPr>
      <w:bookmarkStart w:id="56" w:name="_Toc481075054"/>
      <w:bookmarkStart w:id="57" w:name="_Toc438646458"/>
      <w:bookmarkStart w:id="58" w:name="_Toc490050008"/>
      <w:bookmarkStart w:id="59" w:name="_Toc512519487"/>
      <w:bookmarkStart w:id="60" w:name="_Toc514178674"/>
      <w:proofErr w:type="spellStart"/>
      <w:r>
        <w:rPr>
          <w:rFonts w:hint="eastAsia"/>
        </w:rPr>
        <w:t>管理人报告</w:t>
      </w:r>
      <w:bookmarkEnd w:id="56"/>
      <w:bookmarkEnd w:id="57"/>
      <w:bookmarkEnd w:id="58"/>
      <w:bookmarkEnd w:id="59"/>
      <w:bookmarkEnd w:id="60"/>
      <w:proofErr w:type="spellEnd"/>
      <w:r>
        <w:rPr>
          <w:rFonts w:hint="eastAsia"/>
        </w:rPr>
        <w:t xml:space="preserve"> </w:t>
      </w:r>
    </w:p>
    <w:p w:rsidR="00856DF9" w:rsidRDefault="00A22890">
      <w:pPr>
        <w:pStyle w:val="XBRLTitle2"/>
        <w:spacing w:before="156" w:line="360" w:lineRule="auto"/>
        <w:ind w:left="454"/>
      </w:pPr>
      <w:bookmarkStart w:id="61" w:name="_Toc459213770"/>
      <w:bookmarkStart w:id="62" w:name="_Toc456107124"/>
      <w:bookmarkStart w:id="63" w:name="_Toc438654078"/>
      <w:bookmarkStart w:id="64" w:name="_Toc448480290"/>
      <w:bookmarkStart w:id="65" w:name="_Toc480465421"/>
      <w:bookmarkStart w:id="66" w:name="_Toc514178675"/>
      <w:bookmarkStart w:id="67" w:name="_Toc512611287"/>
      <w:bookmarkStart w:id="68" w:name="_Toc512612083"/>
      <w:bookmarkStart w:id="69" w:name="_Toc512612259"/>
      <w:bookmarkStart w:id="70" w:name="_Toc513658013"/>
      <w:bookmarkStart w:id="71" w:name="_Toc512519496"/>
      <w:bookmarkStart w:id="72" w:name="_Toc481075064"/>
      <w:bookmarkStart w:id="73" w:name="_Toc438646466"/>
      <w:bookmarkStart w:id="74" w:name="_Toc490050017"/>
      <w:proofErr w:type="spellStart"/>
      <w:r>
        <w:rPr>
          <w:rFonts w:hint="eastAsia"/>
        </w:rPr>
        <w:t>基金经理（或基金经理小组）简介</w:t>
      </w:r>
      <w:bookmarkEnd w:id="61"/>
      <w:bookmarkEnd w:id="62"/>
      <w:bookmarkEnd w:id="63"/>
      <w:bookmarkEnd w:id="64"/>
      <w:bookmarkEnd w:id="65"/>
      <w:bookmarkEnd w:id="66"/>
      <w:proofErr w:type="spellEnd"/>
      <w:r>
        <w:rPr>
          <w:rFonts w:hint="eastAsia"/>
          <w:szCs w:val="21"/>
        </w:rPr>
        <w:t xml:space="preserve"> </w:t>
      </w:r>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856DF9">
        <w:trPr>
          <w:divId w:val="1877536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jc w:val="center"/>
            </w:pPr>
            <w:bookmarkStart w:id="75" w:name="m04_02"/>
            <w:bookmarkEnd w:id="7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856DF9">
        <w:trPr>
          <w:divId w:val="1877536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6DF9" w:rsidRDefault="00856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DF9" w:rsidRDefault="00856DF9">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DF9" w:rsidRDefault="00856DF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56DF9" w:rsidRDefault="00856DF9">
            <w:pPr>
              <w:widowControl/>
              <w:jc w:val="left"/>
            </w:pPr>
          </w:p>
        </w:tc>
      </w:tr>
      <w:tr w:rsidR="00856DF9">
        <w:trPr>
          <w:divId w:val="1877536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szCs w:val="24"/>
                <w:lang w:eastAsia="zh-Hans"/>
              </w:rPr>
              <w:t>毛时超</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szCs w:val="24"/>
                <w:lang w:eastAsia="zh-Hans"/>
              </w:rPr>
              <w:t>2023年9月25日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szCs w:val="24"/>
                <w:lang w:eastAsia="zh-Hans"/>
              </w:rPr>
              <w:t>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szCs w:val="24"/>
                <w:lang w:eastAsia="zh-Hans"/>
              </w:rPr>
              <w:t>毛时超先生曾任平安基金管理有限公司量化研究员、基金经理助理、基金经</w:t>
            </w:r>
            <w:r>
              <w:rPr>
                <w:rFonts w:ascii="宋体" w:hAnsi="宋体" w:hint="eastAsia"/>
                <w:szCs w:val="24"/>
                <w:lang w:eastAsia="zh-Hans"/>
              </w:rPr>
              <w:lastRenderedPageBreak/>
              <w:t xml:space="preserve">理；自2021年11月加入摩根基金管理(中国)有限公司(原上投摩根基金管理有限公司)，现任指数及量化投资部基金经理。 </w:t>
            </w:r>
          </w:p>
        </w:tc>
      </w:tr>
    </w:tbl>
    <w:p w:rsidR="00856DF9" w:rsidRDefault="00A22890">
      <w:pPr>
        <w:wordWrap w:val="0"/>
        <w:spacing w:line="360" w:lineRule="auto"/>
        <w:jc w:val="left"/>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856DF9" w:rsidRDefault="00A22890">
      <w:pPr>
        <w:pStyle w:val="XBRLTitle2"/>
        <w:spacing w:before="156" w:line="360" w:lineRule="auto"/>
        <w:ind w:left="454"/>
      </w:pPr>
      <w:bookmarkStart w:id="76" w:name="m402"/>
      <w:bookmarkStart w:id="77" w:name="_Toc459213772"/>
      <w:bookmarkStart w:id="78" w:name="_Toc456107126"/>
      <w:bookmarkStart w:id="79" w:name="_Toc438654080"/>
      <w:bookmarkStart w:id="80" w:name="_Toc448480292"/>
      <w:bookmarkStart w:id="81" w:name="_Toc480465423"/>
      <w:bookmarkStart w:id="82" w:name="_Toc512611289"/>
      <w:bookmarkStart w:id="83" w:name="_Toc512612085"/>
      <w:bookmarkStart w:id="84" w:name="_Toc512612261"/>
      <w:bookmarkStart w:id="85" w:name="_Toc513658015"/>
      <w:bookmarkStart w:id="86" w:name="_Toc514178677"/>
      <w:bookmarkStart w:id="87" w:name="m403"/>
      <w:bookmarkEnd w:id="76"/>
      <w:proofErr w:type="spellStart"/>
      <w:r>
        <w:rPr>
          <w:rFonts w:hint="eastAsia"/>
        </w:rPr>
        <w:t>报告期内本基金运作遵规守信情况说明</w:t>
      </w:r>
      <w:bookmarkEnd w:id="77"/>
      <w:bookmarkEnd w:id="78"/>
      <w:bookmarkEnd w:id="79"/>
      <w:bookmarkEnd w:id="80"/>
      <w:bookmarkEnd w:id="81"/>
      <w:bookmarkEnd w:id="82"/>
      <w:bookmarkEnd w:id="83"/>
      <w:bookmarkEnd w:id="84"/>
      <w:bookmarkEnd w:id="85"/>
      <w:bookmarkEnd w:id="86"/>
      <w:proofErr w:type="spellEnd"/>
      <w:r>
        <w:rPr>
          <w:rFonts w:hint="eastAsia"/>
        </w:rPr>
        <w:t xml:space="preserve"> </w:t>
      </w:r>
    </w:p>
    <w:p w:rsidR="00856DF9" w:rsidRDefault="00A22890">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856DF9" w:rsidRDefault="00A22890">
      <w:pPr>
        <w:pStyle w:val="XBRLTitle2"/>
        <w:spacing w:before="156" w:line="360" w:lineRule="auto"/>
        <w:ind w:left="454"/>
      </w:pPr>
      <w:bookmarkStart w:id="88" w:name="_Toc459213773"/>
      <w:bookmarkStart w:id="89" w:name="_Toc456107127"/>
      <w:bookmarkStart w:id="90" w:name="_Toc438654081"/>
      <w:bookmarkStart w:id="91" w:name="_Toc448480293"/>
      <w:bookmarkStart w:id="92" w:name="_Toc480465424"/>
      <w:bookmarkStart w:id="93" w:name="_Toc512611290"/>
      <w:bookmarkStart w:id="94" w:name="_Toc512612086"/>
      <w:bookmarkStart w:id="95" w:name="_Toc512612262"/>
      <w:bookmarkStart w:id="96" w:name="_Toc513658016"/>
      <w:bookmarkStart w:id="97" w:name="_Toc514178678"/>
      <w:bookmarkEnd w:id="87"/>
      <w:proofErr w:type="spellStart"/>
      <w:r>
        <w:rPr>
          <w:rFonts w:hint="eastAsia"/>
        </w:rPr>
        <w:t>公平交易专项说明</w:t>
      </w:r>
      <w:bookmarkEnd w:id="88"/>
      <w:bookmarkEnd w:id="89"/>
      <w:bookmarkEnd w:id="90"/>
      <w:bookmarkEnd w:id="91"/>
      <w:bookmarkEnd w:id="92"/>
      <w:bookmarkEnd w:id="93"/>
      <w:bookmarkEnd w:id="94"/>
      <w:bookmarkEnd w:id="95"/>
      <w:bookmarkEnd w:id="96"/>
      <w:bookmarkEnd w:id="97"/>
      <w:proofErr w:type="spellEnd"/>
      <w:r>
        <w:rPr>
          <w:rFonts w:hint="eastAsia"/>
        </w:rPr>
        <w:t xml:space="preserve"> </w:t>
      </w:r>
    </w:p>
    <w:p w:rsidR="00856DF9" w:rsidRDefault="00A22890">
      <w:pPr>
        <w:pStyle w:val="XBRLTitle3"/>
        <w:spacing w:before="156"/>
        <w:ind w:left="0"/>
      </w:pPr>
      <w:bookmarkStart w:id="98" w:name="_Toc513658017"/>
      <w:bookmarkStart w:id="99" w:name="_Toc514178679"/>
      <w:bookmarkStart w:id="100" w:name="_Toc480465425"/>
      <w:bookmarkStart w:id="101" w:name="m404_01_0570"/>
      <w:proofErr w:type="spellStart"/>
      <w:r>
        <w:rPr>
          <w:rFonts w:hint="eastAsia"/>
        </w:rPr>
        <w:t>公平交易制度的执行情况</w:t>
      </w:r>
      <w:bookmarkEnd w:id="98"/>
      <w:bookmarkEnd w:id="99"/>
      <w:proofErr w:type="spellEnd"/>
    </w:p>
    <w:p w:rsidR="00856DF9" w:rsidRDefault="00A22890">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856DF9" w:rsidRDefault="00A22890">
      <w:pPr>
        <w:pStyle w:val="XBRLTitle3"/>
        <w:spacing w:before="156"/>
        <w:ind w:left="0"/>
      </w:pPr>
      <w:bookmarkStart w:id="102" w:name="_Toc513658018"/>
      <w:bookmarkStart w:id="103" w:name="_Toc514178680"/>
      <w:bookmarkStart w:id="104" w:name="_Toc480465426"/>
      <w:bookmarkStart w:id="105" w:name="m404_01_0578"/>
      <w:proofErr w:type="spellStart"/>
      <w:r>
        <w:rPr>
          <w:rFonts w:hint="eastAsia"/>
        </w:rPr>
        <w:t>异常交易行为的专项说明</w:t>
      </w:r>
      <w:bookmarkEnd w:id="102"/>
      <w:bookmarkEnd w:id="103"/>
      <w:proofErr w:type="spellEnd"/>
    </w:p>
    <w:p w:rsidR="00856DF9" w:rsidRDefault="00A22890">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w:t>
      </w:r>
      <w:r>
        <w:rPr>
          <w:rFonts w:ascii="宋体" w:hAnsi="宋体" w:cs="宋体" w:hint="eastAsia"/>
          <w:color w:val="000000"/>
          <w:kern w:val="0"/>
        </w:rPr>
        <w:lastRenderedPageBreak/>
        <w:t>交量的5%的情形：无。</w:t>
      </w:r>
    </w:p>
    <w:p w:rsidR="00856DF9" w:rsidRDefault="00A22890">
      <w:pPr>
        <w:pStyle w:val="XBRLTitle2"/>
        <w:spacing w:before="156" w:line="360" w:lineRule="auto"/>
        <w:ind w:left="454"/>
      </w:pPr>
      <w:bookmarkStart w:id="106" w:name="_Toc459213774"/>
      <w:bookmarkStart w:id="107" w:name="_Toc456107128"/>
      <w:bookmarkStart w:id="108" w:name="_Toc438654082"/>
      <w:bookmarkStart w:id="109" w:name="_Toc448480294"/>
      <w:bookmarkStart w:id="110" w:name="_Toc480465427"/>
      <w:bookmarkStart w:id="111" w:name="_Toc512611291"/>
      <w:bookmarkStart w:id="112" w:name="_Toc512612087"/>
      <w:bookmarkStart w:id="113" w:name="_Toc512612263"/>
      <w:bookmarkStart w:id="114" w:name="_Toc513658019"/>
      <w:bookmarkStart w:id="115" w:name="_Toc514178681"/>
      <w:proofErr w:type="spellStart"/>
      <w:r>
        <w:rPr>
          <w:rFonts w:hint="eastAsia"/>
        </w:rPr>
        <w:t>报告期内基金的投资策略和业绩表现说明</w:t>
      </w:r>
      <w:bookmarkEnd w:id="106"/>
      <w:bookmarkEnd w:id="107"/>
      <w:bookmarkEnd w:id="108"/>
      <w:bookmarkEnd w:id="109"/>
      <w:bookmarkEnd w:id="110"/>
      <w:bookmarkEnd w:id="111"/>
      <w:bookmarkEnd w:id="112"/>
      <w:bookmarkEnd w:id="113"/>
      <w:bookmarkEnd w:id="114"/>
      <w:bookmarkEnd w:id="115"/>
      <w:proofErr w:type="spellEnd"/>
      <w:r>
        <w:rPr>
          <w:rFonts w:hint="eastAsia"/>
        </w:rPr>
        <w:t xml:space="preserve"> </w:t>
      </w:r>
    </w:p>
    <w:p w:rsidR="00856DF9" w:rsidRDefault="00A22890">
      <w:pPr>
        <w:pStyle w:val="XBRLTitle3"/>
        <w:spacing w:before="156"/>
        <w:ind w:left="0"/>
      </w:pPr>
      <w:bookmarkStart w:id="116" w:name="_Toc51408825711"/>
      <w:bookmarkStart w:id="117" w:name="_Toc513542656"/>
      <w:proofErr w:type="spellStart"/>
      <w:r>
        <w:rPr>
          <w:rFonts w:hint="eastAsia"/>
        </w:rPr>
        <w:t>报告期内基金投资策略和运作分析</w:t>
      </w:r>
      <w:bookmarkEnd w:id="116"/>
      <w:bookmarkEnd w:id="100"/>
      <w:bookmarkEnd w:id="117"/>
      <w:proofErr w:type="spellEnd"/>
      <w:r>
        <w:rPr>
          <w:rFonts w:hint="eastAsia"/>
        </w:rPr>
        <w:t xml:space="preserve"> </w:t>
      </w:r>
    </w:p>
    <w:p w:rsidR="00856DF9" w:rsidRDefault="00A22890">
      <w:pPr>
        <w:spacing w:line="360" w:lineRule="auto"/>
        <w:ind w:firstLineChars="200" w:firstLine="420"/>
        <w:divId w:val="294796295"/>
      </w:pPr>
      <w:r>
        <w:rPr>
          <w:rFonts w:ascii="宋体" w:hAnsi="宋体" w:hint="eastAsia"/>
          <w:color w:val="000000"/>
          <w:kern w:val="0"/>
          <w:szCs w:val="21"/>
          <w:lang w:eastAsia="zh-Hans"/>
        </w:rPr>
        <w:t>报告期内，美国政府密集推出的关税政策，引发投资者对全球供应链成本上升和通胀压力上升的担忧。尽管部分政策暂缓执行，但不确定性导致投资者对经济增长放缓的预期有所强化。此外美国科技公司在持续上涨之后估值较高，加上中国</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凭借较低成本、性能接近、开源等优势，引发投资者对科技公司大幅资本开支合理性的质疑，此前过度乐观的预期出现回落，导致标的指数在此期间从高位调整。</w:t>
      </w:r>
      <w:r>
        <w:rPr>
          <w:rFonts w:ascii="宋体" w:hAnsi="宋体" w:hint="eastAsia"/>
          <w:color w:val="000000"/>
          <w:kern w:val="0"/>
          <w:szCs w:val="21"/>
          <w:lang w:eastAsia="zh-Hans"/>
        </w:rPr>
        <w:br/>
        <w:t xml:space="preserve">　　本基金采用复制标的指数的投资策略，力争将跟踪误差控制在合理水平。</w:t>
      </w:r>
      <w:r>
        <w:rPr>
          <w:rFonts w:ascii="宋体" w:hAnsi="宋体" w:hint="eastAsia"/>
          <w:color w:val="000000"/>
          <w:kern w:val="0"/>
          <w:szCs w:val="21"/>
          <w:lang w:eastAsia="zh-Hans"/>
        </w:rPr>
        <w:br/>
        <w:t xml:space="preserve">　　展望未来，本基金投资跟踪的标的指数，从中长期维度来看，相关公司有望受益于美联储降息与人工智能技术发展，且在全球市场具有较强的竞争力，或具备较好的投资配置价值。</w:t>
      </w:r>
      <w:r>
        <w:rPr>
          <w:rFonts w:ascii="宋体" w:hAnsi="宋体" w:hint="eastAsia"/>
          <w:color w:val="000000"/>
          <w:kern w:val="0"/>
          <w:sz w:val="24"/>
        </w:rPr>
        <w:t xml:space="preserve"> </w:t>
      </w:r>
      <w:bookmarkEnd w:id="55"/>
    </w:p>
    <w:p w:rsidR="00856DF9" w:rsidRDefault="00A22890">
      <w:pPr>
        <w:pStyle w:val="XBRLTitle3"/>
        <w:spacing w:before="156"/>
        <w:ind w:left="0"/>
      </w:pPr>
      <w:bookmarkStart w:id="118" w:name="_Toc51408825712"/>
      <w:bookmarkStart w:id="119" w:name="_Toc513542657"/>
      <w:bookmarkEnd w:id="101"/>
      <w:proofErr w:type="spellStart"/>
      <w:r>
        <w:rPr>
          <w:rFonts w:hint="eastAsia"/>
        </w:rPr>
        <w:t>报告期内基金的业绩表现</w:t>
      </w:r>
      <w:bookmarkEnd w:id="118"/>
      <w:bookmarkEnd w:id="104"/>
      <w:bookmarkEnd w:id="119"/>
      <w:proofErr w:type="spellEnd"/>
      <w:r>
        <w:rPr>
          <w:rFonts w:hint="eastAsia"/>
        </w:rPr>
        <w:t xml:space="preserve"> </w:t>
      </w:r>
    </w:p>
    <w:p w:rsidR="00856DF9" w:rsidRDefault="00A22890">
      <w:pPr>
        <w:spacing w:line="360" w:lineRule="auto"/>
        <w:ind w:firstLineChars="200" w:firstLine="420"/>
        <w:jc w:val="left"/>
      </w:pPr>
      <w:r>
        <w:rPr>
          <w:rFonts w:ascii="宋体" w:hAnsi="宋体" w:cs="宋体" w:hint="eastAsia"/>
          <w:color w:val="000000"/>
          <w:kern w:val="0"/>
        </w:rPr>
        <w:t>本报告期摩根纳斯达克100指数(QDII)人民币A份额净值增长率为：-7.91%，同期业绩比较基准收益率为:-7.96%;</w:t>
      </w:r>
      <w:r>
        <w:rPr>
          <w:rFonts w:ascii="宋体" w:hAnsi="宋体" w:cs="宋体" w:hint="eastAsia"/>
          <w:color w:val="000000"/>
          <w:kern w:val="0"/>
        </w:rPr>
        <w:br/>
        <w:t xml:space="preserve">　　摩根纳斯达克100指数(QDII)人民币C份额净值增长率为：-7.98%，同期业绩比较基准收益率为:-7.96%;</w:t>
      </w:r>
      <w:r>
        <w:rPr>
          <w:rFonts w:ascii="宋体" w:hAnsi="宋体" w:cs="宋体" w:hint="eastAsia"/>
          <w:color w:val="000000"/>
          <w:kern w:val="0"/>
        </w:rPr>
        <w:br/>
        <w:t xml:space="preserve">　　摩根纳斯达克100指数(QDII)美元A份额净值增长率为：-7.78%，同期业绩比较基准收益率为:-7.96%;</w:t>
      </w:r>
      <w:r>
        <w:rPr>
          <w:rFonts w:ascii="宋体" w:hAnsi="宋体" w:cs="宋体" w:hint="eastAsia"/>
          <w:color w:val="000000"/>
          <w:kern w:val="0"/>
        </w:rPr>
        <w:br/>
        <w:t xml:space="preserve">　　摩根纳斯达克100指数(QDII)美元C份额净值增长率为：-7.85%，同期业绩比较基准收益率为:-7.96%。</w:t>
      </w:r>
      <w:bookmarkEnd w:id="105"/>
    </w:p>
    <w:p w:rsidR="00856DF9" w:rsidRDefault="00A22890">
      <w:pPr>
        <w:pStyle w:val="XBRLTitle2"/>
        <w:spacing w:before="156" w:line="360" w:lineRule="auto"/>
        <w:ind w:left="454"/>
      </w:pPr>
      <w:bookmarkStart w:id="120" w:name="m405_01_2550"/>
      <w:bookmarkStart w:id="121" w:name="_Toc459213775"/>
      <w:bookmarkStart w:id="122" w:name="_Toc456107129"/>
      <w:bookmarkStart w:id="123" w:name="_Toc438654084"/>
      <w:bookmarkStart w:id="124" w:name="_Toc448480296"/>
      <w:bookmarkStart w:id="125" w:name="_Toc480465430"/>
      <w:bookmarkStart w:id="126" w:name="_Toc512611292"/>
      <w:bookmarkStart w:id="127" w:name="_Toc512612088"/>
      <w:bookmarkStart w:id="128" w:name="_Toc512612264"/>
      <w:bookmarkStart w:id="129" w:name="_Toc513658020"/>
      <w:bookmarkStart w:id="130" w:name="_Toc514178682"/>
      <w:bookmarkStart w:id="131" w:name="m407"/>
      <w:bookmarkEnd w:id="120"/>
      <w:proofErr w:type="spellStart"/>
      <w:r>
        <w:rPr>
          <w:rFonts w:hint="eastAsia"/>
        </w:rPr>
        <w:t>报告期内基金持有人数或基金资产净值预警说明</w:t>
      </w:r>
      <w:bookmarkEnd w:id="121"/>
      <w:bookmarkEnd w:id="122"/>
      <w:bookmarkEnd w:id="123"/>
      <w:bookmarkEnd w:id="124"/>
      <w:bookmarkEnd w:id="125"/>
      <w:bookmarkEnd w:id="126"/>
      <w:bookmarkEnd w:id="127"/>
      <w:bookmarkEnd w:id="128"/>
      <w:bookmarkEnd w:id="129"/>
      <w:bookmarkEnd w:id="130"/>
      <w:proofErr w:type="spellEnd"/>
      <w:r>
        <w:rPr>
          <w:rFonts w:hint="eastAsia"/>
        </w:rPr>
        <w:t xml:space="preserve"> </w:t>
      </w:r>
    </w:p>
    <w:p w:rsidR="00856DF9" w:rsidRDefault="00A22890">
      <w:pPr>
        <w:spacing w:line="360" w:lineRule="auto"/>
        <w:ind w:firstLineChars="200" w:firstLine="420"/>
        <w:jc w:val="left"/>
      </w:pPr>
      <w:r>
        <w:rPr>
          <w:rFonts w:ascii="宋体" w:hAnsi="宋体" w:hint="eastAsia"/>
        </w:rPr>
        <w:t>无。</w:t>
      </w:r>
    </w:p>
    <w:p w:rsidR="00856DF9" w:rsidRDefault="00A22890">
      <w:pPr>
        <w:pStyle w:val="XBRLTitle1"/>
        <w:spacing w:before="156" w:line="360" w:lineRule="auto"/>
        <w:ind w:left="425"/>
      </w:pPr>
      <w:bookmarkStart w:id="132" w:name="_Toc514178683"/>
      <w:bookmarkEnd w:id="131"/>
      <w:proofErr w:type="spellStart"/>
      <w:r>
        <w:rPr>
          <w:rFonts w:hint="eastAsia"/>
        </w:rPr>
        <w:t>投资组合报告</w:t>
      </w:r>
      <w:bookmarkEnd w:id="132"/>
      <w:bookmarkEnd w:id="71"/>
      <w:bookmarkEnd w:id="72"/>
      <w:bookmarkEnd w:id="73"/>
      <w:bookmarkEnd w:id="74"/>
      <w:proofErr w:type="spellEnd"/>
      <w:r>
        <w:rPr>
          <w:rFonts w:hint="eastAsia"/>
        </w:rPr>
        <w:t xml:space="preserve"> </w:t>
      </w:r>
    </w:p>
    <w:p w:rsidR="00856DF9" w:rsidRDefault="00A22890">
      <w:pPr>
        <w:pStyle w:val="XBRLTitle2"/>
        <w:spacing w:before="156" w:line="360" w:lineRule="auto"/>
        <w:ind w:left="454"/>
      </w:pPr>
      <w:bookmarkStart w:id="133" w:name="_Toc459213777"/>
      <w:bookmarkStart w:id="134" w:name="_Toc456107131"/>
      <w:bookmarkStart w:id="135" w:name="_Toc438654086"/>
      <w:bookmarkStart w:id="136" w:name="_Toc448480298"/>
      <w:bookmarkStart w:id="137" w:name="_Toc480465432"/>
      <w:bookmarkStart w:id="138" w:name="_Toc514178684"/>
      <w:bookmarkStart w:id="139" w:name="_Toc512611294"/>
      <w:bookmarkStart w:id="140" w:name="_Toc512612090"/>
      <w:bookmarkStart w:id="141" w:name="_Toc512612266"/>
      <w:bookmarkStart w:id="142" w:name="_Toc513658022"/>
      <w:bookmarkStart w:id="143" w:name="m501"/>
      <w:bookmarkStart w:id="144" w:name="_Toc490050042"/>
      <w:bookmarkStart w:id="145" w:name="_Toc438646477"/>
      <w:bookmarkStart w:id="146" w:name="_Toc481075089"/>
      <w:bookmarkStart w:id="147" w:name="_Toc512519521"/>
      <w:bookmarkStart w:id="148" w:name="m601"/>
      <w:proofErr w:type="spellStart"/>
      <w:r>
        <w:rPr>
          <w:rFonts w:hint="eastAsia"/>
        </w:rPr>
        <w:t>报告期末基金资产组合情况</w:t>
      </w:r>
      <w:bookmarkEnd w:id="133"/>
      <w:bookmarkEnd w:id="134"/>
      <w:bookmarkEnd w:id="135"/>
      <w:bookmarkEnd w:id="136"/>
      <w:bookmarkEnd w:id="137"/>
      <w:bookmarkEnd w:id="138"/>
      <w:proofErr w:type="spellEnd"/>
      <w:r>
        <w:rPr>
          <w:rFonts w:hint="eastAsia"/>
        </w:rPr>
        <w:t xml:space="preserve"> </w:t>
      </w:r>
      <w:bookmarkEnd w:id="139"/>
      <w:bookmarkEnd w:id="140"/>
      <w:bookmarkEnd w:id="141"/>
      <w:bookmarkEnd w:id="142"/>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4"/>
        <w:gridCol w:w="2373"/>
        <w:gridCol w:w="2356"/>
      </w:tblGrid>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DF9" w:rsidRDefault="00A22890">
            <w:pPr>
              <w:jc w:val="center"/>
            </w:pPr>
            <w:bookmarkStart w:id="149" w:name="m08QD_01_tab"/>
            <w:bookmarkStart w:id="150" w:name="OLE_LINK46"/>
            <w:bookmarkStart w:id="151" w:name="OLE_LINK45"/>
            <w:bookmarkStart w:id="152" w:name="OLE_LINK42"/>
            <w:bookmarkStart w:id="153" w:name="OLE_LINK41"/>
            <w:bookmarkEnd w:id="149"/>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856DF9" w:rsidRDefault="00A22890">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856DF9" w:rsidRDefault="00A22890">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856DF9" w:rsidRDefault="00A22890">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733,607,090.05</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93.58</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723,715,618.67</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92.32</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lastRenderedPageBreak/>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9,891,471.38</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1.26</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45,646,184.27</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5.82</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8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4,662,219.03</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0.59</w:t>
            </w:r>
          </w:p>
        </w:tc>
      </w:tr>
      <w:tr w:rsidR="00856DF9">
        <w:trPr>
          <w:divId w:val="1542086045"/>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856DF9" w:rsidRDefault="00A22890">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856DF9" w:rsidRDefault="00A22890">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783,915,493.35</w:t>
            </w:r>
          </w:p>
        </w:tc>
        <w:tc>
          <w:tcPr>
            <w:tcW w:w="2373" w:type="dxa"/>
            <w:tcBorders>
              <w:top w:val="single" w:sz="4" w:space="0" w:color="auto"/>
              <w:left w:val="nil"/>
              <w:bottom w:val="single" w:sz="4" w:space="0" w:color="auto"/>
              <w:right w:val="single" w:sz="4" w:space="0" w:color="auto"/>
            </w:tcBorders>
            <w:vAlign w:val="center"/>
            <w:hideMark/>
          </w:tcPr>
          <w:p w:rsidR="00856DF9" w:rsidRDefault="00A22890">
            <w:pPr>
              <w:jc w:val="right"/>
            </w:pPr>
            <w:r>
              <w:rPr>
                <w:rFonts w:ascii="宋体" w:hAnsi="宋体" w:hint="eastAsia"/>
                <w:szCs w:val="24"/>
                <w:lang w:eastAsia="zh-Hans"/>
              </w:rPr>
              <w:t>100.00</w:t>
            </w:r>
          </w:p>
        </w:tc>
      </w:tr>
    </w:tbl>
    <w:p w:rsidR="00856DF9" w:rsidRDefault="00A22890">
      <w:pPr>
        <w:pStyle w:val="XBRLTitle2"/>
        <w:spacing w:before="156" w:line="360" w:lineRule="auto"/>
        <w:ind w:left="454"/>
      </w:pPr>
      <w:bookmarkStart w:id="154" w:name="_Toc459213778"/>
      <w:bookmarkStart w:id="155" w:name="_Toc456107132"/>
      <w:bookmarkStart w:id="156" w:name="_Toc438654087"/>
      <w:bookmarkStart w:id="157" w:name="_Toc448480299"/>
      <w:bookmarkStart w:id="158" w:name="_Toc480465433"/>
      <w:bookmarkStart w:id="159" w:name="_Toc512611295"/>
      <w:bookmarkStart w:id="160" w:name="_Toc512612091"/>
      <w:bookmarkStart w:id="161" w:name="_Toc512612267"/>
      <w:bookmarkStart w:id="162" w:name="_Toc513658023"/>
      <w:bookmarkStart w:id="163" w:name="_Toc514178685"/>
      <w:bookmarkEnd w:id="143"/>
      <w:proofErr w:type="spellStart"/>
      <w:r>
        <w:rPr>
          <w:rFonts w:hint="eastAsia"/>
        </w:rPr>
        <w:t>报告期末在各个国家（地区）证券市场的股票及存托凭证投资分布</w:t>
      </w:r>
      <w:bookmarkEnd w:id="154"/>
      <w:bookmarkEnd w:id="155"/>
      <w:bookmarkEnd w:id="156"/>
      <w:bookmarkEnd w:id="157"/>
      <w:bookmarkEnd w:id="158"/>
      <w:bookmarkEnd w:id="159"/>
      <w:bookmarkEnd w:id="160"/>
      <w:bookmarkEnd w:id="161"/>
      <w:bookmarkEnd w:id="162"/>
      <w:bookmarkEnd w:id="163"/>
      <w:proofErr w:type="spellEnd"/>
      <w:r>
        <w:rPr>
          <w:rFonts w:hint="eastAsia"/>
        </w:rPr>
        <w:t xml:space="preserve"> </w:t>
      </w:r>
    </w:p>
    <w:tbl>
      <w:tblPr>
        <w:tblW w:w="5000" w:type="pct"/>
        <w:tblLook w:val="04A0" w:firstRow="1" w:lastRow="0" w:firstColumn="1" w:lastColumn="0" w:noHBand="0" w:noVBand="1"/>
      </w:tblPr>
      <w:tblGrid>
        <w:gridCol w:w="2032"/>
        <w:gridCol w:w="3621"/>
        <w:gridCol w:w="3182"/>
      </w:tblGrid>
      <w:tr w:rsidR="00856DF9">
        <w:trPr>
          <w:divId w:val="1481728487"/>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56DF9" w:rsidRDefault="00A22890">
            <w:pPr>
              <w:jc w:val="center"/>
            </w:pPr>
            <w:bookmarkStart w:id="164" w:name="m08QD_02"/>
            <w:bookmarkStart w:id="165"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856DF9" w:rsidRDefault="00A22890">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856DF9" w:rsidRDefault="00A22890">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856DF9">
        <w:trPr>
          <w:divId w:val="148172848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szCs w:val="21"/>
                <w:lang w:eastAsia="zh-Hans"/>
              </w:rPr>
              <w:t>733,607,090.05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szCs w:val="21"/>
                <w:lang w:eastAsia="zh-Hans"/>
              </w:rPr>
              <w:t>94.66</w:t>
            </w:r>
          </w:p>
        </w:tc>
      </w:tr>
      <w:tr w:rsidR="00856DF9">
        <w:trPr>
          <w:divId w:val="1481728487"/>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szCs w:val="21"/>
                <w:lang w:eastAsia="zh-Hans"/>
              </w:rPr>
              <w:t>733,607,090.05</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szCs w:val="21"/>
                <w:lang w:eastAsia="zh-Hans"/>
              </w:rPr>
              <w:t>94.66</w:t>
            </w:r>
            <w:bookmarkEnd w:id="164"/>
          </w:p>
        </w:tc>
      </w:tr>
    </w:tbl>
    <w:p w:rsidR="00856DF9" w:rsidRDefault="00A22890">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856DF9" w:rsidRDefault="00A22890">
      <w:pPr>
        <w:pStyle w:val="XBRLTitle2"/>
        <w:spacing w:before="156" w:line="360" w:lineRule="auto"/>
        <w:ind w:left="454"/>
      </w:pPr>
      <w:bookmarkStart w:id="166" w:name="_Toc459213779"/>
      <w:bookmarkStart w:id="167" w:name="_Toc456107133"/>
      <w:bookmarkStart w:id="168" w:name="_Toc438654088"/>
      <w:bookmarkStart w:id="169" w:name="_Toc448480300"/>
      <w:bookmarkStart w:id="170" w:name="_Toc480465434"/>
      <w:bookmarkStart w:id="171" w:name="_Toc512611296"/>
      <w:bookmarkStart w:id="172" w:name="_Toc512612092"/>
      <w:bookmarkStart w:id="173" w:name="_Toc512612268"/>
      <w:bookmarkStart w:id="174" w:name="_Toc513658024"/>
      <w:bookmarkStart w:id="175" w:name="_Toc514178686"/>
      <w:bookmarkStart w:id="176" w:name="m503"/>
      <w:bookmarkEnd w:id="165"/>
      <w:proofErr w:type="spellStart"/>
      <w:r>
        <w:rPr>
          <w:rFonts w:hint="eastAsia"/>
        </w:rPr>
        <w:t>报告期末按行业分类的股票及存托凭证投资组合</w:t>
      </w:r>
      <w:bookmarkStart w:id="177" w:name="_Toc513637368"/>
      <w:bookmarkEnd w:id="166"/>
      <w:bookmarkEnd w:id="167"/>
      <w:bookmarkEnd w:id="168"/>
      <w:bookmarkEnd w:id="169"/>
      <w:bookmarkEnd w:id="170"/>
      <w:bookmarkEnd w:id="171"/>
      <w:bookmarkEnd w:id="172"/>
      <w:bookmarkEnd w:id="173"/>
      <w:bookmarkEnd w:id="174"/>
      <w:bookmarkEnd w:id="175"/>
      <w:bookmarkEnd w:id="177"/>
      <w:proofErr w:type="spellEnd"/>
      <w:r>
        <w:rPr>
          <w:rFonts w:hint="eastAsia"/>
          <w:lang w:eastAsia="zh-CN"/>
        </w:rPr>
        <w:t xml:space="preserve"> </w:t>
      </w:r>
    </w:p>
    <w:p w:rsidR="00856DF9" w:rsidRDefault="00A22890">
      <w:pPr>
        <w:pStyle w:val="XBRLTitle3"/>
        <w:spacing w:before="156"/>
        <w:ind w:left="0"/>
      </w:pPr>
      <w:bookmarkStart w:id="178" w:name="_Toc513658025"/>
      <w:bookmarkStart w:id="179" w:name="_Toc514178687"/>
      <w:proofErr w:type="spellStart"/>
      <w:r>
        <w:rPr>
          <w:rFonts w:hint="eastAsia"/>
          <w:kern w:val="0"/>
        </w:rPr>
        <w:t>报告期末指数投资按行业分类的股票及存托凭证投资组合</w:t>
      </w:r>
      <w:bookmarkEnd w:id="178"/>
      <w:bookmarkEnd w:id="179"/>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56DF9" w:rsidRDefault="00A22890">
            <w:pPr>
              <w:jc w:val="center"/>
            </w:pPr>
            <w:bookmarkStart w:id="180" w:name="_Toc247616244"/>
            <w:bookmarkStart w:id="181" w:name="_Toc433036708"/>
            <w:bookmarkStart w:id="182" w:name="_Toc247613259"/>
            <w:bookmarkStart w:id="183" w:name="m08QD_03_01_tab"/>
            <w:bookmarkStart w:id="184" w:name="m08QD_03_tab"/>
            <w:bookmarkStart w:id="185"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56DF9" w:rsidRDefault="00A22890">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856DF9" w:rsidRDefault="00A22890">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11,203,916.02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1.45</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101,176,821.61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13.06</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45,468,102.33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5.87</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4,526,234.83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0.58</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3,277,706.09</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0.42</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42,448,957.37</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5.48</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36,791,122.89</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4.75</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362,150,649.10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46.73</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114,356,750.38</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14.76</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10,574,577.81</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1.36</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1,632,251.62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0.21</w:t>
            </w:r>
          </w:p>
        </w:tc>
      </w:tr>
      <w:tr w:rsidR="00856DF9">
        <w:trPr>
          <w:divId w:val="1962152492"/>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733,607,090.05</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56DF9" w:rsidRDefault="00A22890">
            <w:pPr>
              <w:jc w:val="right"/>
            </w:pPr>
            <w:r>
              <w:rPr>
                <w:rFonts w:ascii="宋体" w:hAnsi="宋体" w:hint="eastAsia"/>
                <w:color w:val="000000"/>
                <w:lang w:eastAsia="zh-Hans"/>
              </w:rPr>
              <w:t>94.66</w:t>
            </w:r>
            <w:bookmarkEnd w:id="180"/>
            <w:bookmarkEnd w:id="181"/>
            <w:bookmarkEnd w:id="182"/>
          </w:p>
        </w:tc>
      </w:tr>
    </w:tbl>
    <w:bookmarkEnd w:id="183"/>
    <w:bookmarkEnd w:id="184"/>
    <w:p w:rsidR="00856DF9" w:rsidRDefault="00A22890">
      <w:pPr>
        <w:widowControl/>
        <w:spacing w:line="315" w:lineRule="atLeast"/>
        <w:divId w:val="638193996"/>
      </w:pPr>
      <w:r>
        <w:rPr>
          <w:rFonts w:ascii="宋体" w:hAnsi="宋体" w:cs="宋体" w:hint="eastAsia"/>
          <w:color w:val="000000"/>
          <w:kern w:val="0"/>
          <w:szCs w:val="21"/>
        </w:rPr>
        <w:lastRenderedPageBreak/>
        <w:t>注：以上分类采用全球行业分类标准(GICS)。</w:t>
      </w:r>
    </w:p>
    <w:p w:rsidR="00856DF9" w:rsidRDefault="00A22890">
      <w:pPr>
        <w:pStyle w:val="XBRLTitle3"/>
        <w:spacing w:before="156"/>
        <w:ind w:left="0"/>
      </w:pPr>
      <w:bookmarkStart w:id="186" w:name="_Toc513658026"/>
      <w:bookmarkStart w:id="187" w:name="_Toc514178688"/>
      <w:proofErr w:type="spellStart"/>
      <w:r>
        <w:rPr>
          <w:rFonts w:hint="eastAsia"/>
          <w:kern w:val="0"/>
        </w:rPr>
        <w:t>报告期末积极投资按行业分类的股票及存托凭证投资组合</w:t>
      </w:r>
      <w:bookmarkEnd w:id="186"/>
      <w:bookmarkEnd w:id="187"/>
      <w:proofErr w:type="spellEnd"/>
      <w:r>
        <w:rPr>
          <w:rFonts w:hint="eastAsia"/>
        </w:rPr>
        <w:t xml:space="preserve"> </w:t>
      </w:r>
    </w:p>
    <w:p w:rsidR="00856DF9" w:rsidRDefault="00A22890">
      <w:pPr>
        <w:widowControl/>
        <w:spacing w:line="315" w:lineRule="atLeast"/>
        <w:ind w:firstLineChars="200" w:firstLine="420"/>
        <w:divId w:val="552349131"/>
      </w:pPr>
      <w:r>
        <w:rPr>
          <w:rFonts w:ascii="宋体" w:hAnsi="宋体" w:cs="宋体" w:hint="eastAsia"/>
          <w:color w:val="000000"/>
          <w:kern w:val="0"/>
          <w:szCs w:val="21"/>
        </w:rPr>
        <w:t>本基金本报告期末未持有积极投资股票。</w:t>
      </w:r>
    </w:p>
    <w:p w:rsidR="00856DF9" w:rsidRDefault="00A22890">
      <w:pPr>
        <w:pStyle w:val="XBRLTitle2"/>
        <w:spacing w:before="156" w:line="360" w:lineRule="auto"/>
        <w:ind w:left="454"/>
      </w:pPr>
      <w:bookmarkStart w:id="188" w:name="_Toc459213780"/>
      <w:bookmarkStart w:id="189" w:name="_Toc456107134"/>
      <w:bookmarkStart w:id="190" w:name="_Toc438654089"/>
      <w:bookmarkStart w:id="191" w:name="_Toc448480301"/>
      <w:bookmarkStart w:id="192" w:name="_Toc480465435"/>
      <w:bookmarkStart w:id="193" w:name="_Toc512611297"/>
      <w:bookmarkStart w:id="194" w:name="_Toc512612093"/>
      <w:bookmarkStart w:id="195" w:name="_Toc512612269"/>
      <w:bookmarkStart w:id="196" w:name="_Toc513658027"/>
      <w:bookmarkStart w:id="197" w:name="_Toc514178689"/>
      <w:bookmarkEnd w:id="176"/>
      <w:proofErr w:type="spellStart"/>
      <w:r>
        <w:rPr>
          <w:rFonts w:hint="eastAsia"/>
        </w:rPr>
        <w:t>期末按公允价值占基金资产净值比例大小排序的权益投资明细</w:t>
      </w:r>
      <w:bookmarkStart w:id="198" w:name="_Toc513637371"/>
      <w:bookmarkEnd w:id="188"/>
      <w:bookmarkEnd w:id="189"/>
      <w:bookmarkEnd w:id="190"/>
      <w:bookmarkEnd w:id="191"/>
      <w:bookmarkEnd w:id="192"/>
      <w:bookmarkEnd w:id="193"/>
      <w:bookmarkEnd w:id="194"/>
      <w:bookmarkEnd w:id="195"/>
      <w:bookmarkEnd w:id="196"/>
      <w:bookmarkEnd w:id="197"/>
      <w:bookmarkEnd w:id="198"/>
      <w:proofErr w:type="spellEnd"/>
      <w:r>
        <w:rPr>
          <w:rFonts w:hint="eastAsia"/>
        </w:rPr>
        <w:t xml:space="preserve"> </w:t>
      </w:r>
    </w:p>
    <w:p w:rsidR="00856DF9" w:rsidRDefault="00A22890">
      <w:pPr>
        <w:pStyle w:val="XBRLTitle3"/>
        <w:spacing w:before="156"/>
        <w:ind w:left="0"/>
      </w:pPr>
      <w:bookmarkStart w:id="199" w:name="_Toc513658028"/>
      <w:bookmarkStart w:id="200" w:name="_Toc514178690"/>
      <w:proofErr w:type="spellStart"/>
      <w:r>
        <w:rPr>
          <w:rFonts w:hint="eastAsia"/>
        </w:rPr>
        <w:t>报告期末指数投资按公允价值占基金资产净值比例大小排序的前十名股票及存托凭证投资明细</w:t>
      </w:r>
      <w:bookmarkEnd w:id="199"/>
      <w:bookmarkEnd w:id="200"/>
      <w:proofErr w:type="spellEnd"/>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bookmarkStart w:id="201" w:name="m08QD_04_01_tab"/>
            <w:bookmarkStart w:id="202" w:name="_Toc433036709"/>
            <w:bookmarkStart w:id="203" w:name="_Toc247616246"/>
            <w:bookmarkStart w:id="204" w:name="_Toc458182097"/>
            <w:bookmarkStart w:id="205"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6DF9" w:rsidRDefault="00A22890">
            <w:pPr>
              <w:jc w:val="center"/>
            </w:pPr>
            <w:r>
              <w:rPr>
                <w:rFonts w:ascii="宋体" w:hAnsi="宋体" w:hint="eastAsia"/>
              </w:rPr>
              <w:t>占基金资产净值比例</w:t>
            </w:r>
            <w:r>
              <w:rPr>
                <w:rFonts w:ascii="宋体" w:hAnsi="宋体" w:hint="eastAsia"/>
                <w:lang w:eastAsia="zh-Hans"/>
              </w:rPr>
              <w:t xml:space="preserve">(%) </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APPLE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苹果公司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AAPL</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43,280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69,009,681.54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8.90</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MICROSOFT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微软</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MSFT</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21,418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57,713,467.50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7.45</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NVIDIA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英伟达</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NVDA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70,299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54,690,746.14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7.06</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AMAZON.COM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亚马逊公司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AMZN</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30,533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41,699,661.03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5.38</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BROADCOM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博通股份有限公司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AVGO</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22,336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26,844,432.84</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3.46</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META PLATFORMS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Meta平台股份有限公司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META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6,309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26,101,767.36</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3.37</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COSTCO WHOLESALE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开市客</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COST</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3,146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21,358,187.70</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2.76</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NETFLIX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奈飞公司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NFLX</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3,032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20,295,864.92</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2.62</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TESLA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特斯拉公司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TSLA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10,472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19,481,085.81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2.51</w:t>
            </w:r>
          </w:p>
        </w:tc>
      </w:tr>
      <w:tr w:rsidR="00856DF9">
        <w:trPr>
          <w:divId w:val="535431040"/>
        </w:trPr>
        <w:tc>
          <w:tcPr>
            <w:tcW w:w="689"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ALPHABET INC-CL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ALPHABET公司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center"/>
            </w:pPr>
            <w:r>
              <w:rPr>
                <w:rFonts w:ascii="宋体" w:hAnsi="宋体" w:hint="eastAsia"/>
                <w:color w:val="000000"/>
                <w:lang w:eastAsia="zh-Hans"/>
              </w:rPr>
              <w:t>GOOGL</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16,806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18,655,279.27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856DF9" w:rsidRDefault="00A22890">
            <w:pPr>
              <w:jc w:val="right"/>
            </w:pPr>
            <w:r>
              <w:rPr>
                <w:rFonts w:ascii="宋体" w:hAnsi="宋体" w:hint="eastAsia"/>
                <w:color w:val="000000"/>
                <w:lang w:eastAsia="zh-Hans"/>
              </w:rPr>
              <w:t>2.41</w:t>
            </w:r>
          </w:p>
        </w:tc>
      </w:tr>
    </w:tbl>
    <w:p w:rsidR="00856DF9" w:rsidRDefault="00A22890">
      <w:pPr>
        <w:spacing w:line="360" w:lineRule="auto"/>
        <w:divId w:val="923489410"/>
      </w:pPr>
      <w:bookmarkStart w:id="206" w:name="m07_04_07_02"/>
      <w:bookmarkEnd w:id="201"/>
      <w:r>
        <w:rPr>
          <w:rFonts w:ascii="宋体" w:hAnsi="宋体" w:hint="eastAsia"/>
          <w:kern w:val="0"/>
          <w:szCs w:val="21"/>
        </w:rPr>
        <w:lastRenderedPageBreak/>
        <w:t>注：</w:t>
      </w:r>
      <w:r>
        <w:rPr>
          <w:rFonts w:ascii="宋体" w:hAnsi="宋体" w:hint="eastAsia"/>
          <w:lang w:eastAsia="zh-Hans"/>
        </w:rPr>
        <w:t>此处所用证券代码的类别是当地市场代码。</w:t>
      </w:r>
      <w:bookmarkEnd w:id="185"/>
      <w:bookmarkEnd w:id="202"/>
      <w:bookmarkEnd w:id="203"/>
      <w:bookmarkEnd w:id="204"/>
      <w:bookmarkEnd w:id="205"/>
    </w:p>
    <w:p w:rsidR="00856DF9" w:rsidRDefault="00A22890">
      <w:pPr>
        <w:pStyle w:val="XBRLTitle3"/>
        <w:spacing w:before="156"/>
        <w:ind w:left="0"/>
      </w:pPr>
      <w:bookmarkStart w:id="207" w:name="_Toc513658029"/>
      <w:bookmarkStart w:id="208" w:name="_Toc514178691"/>
      <w:proofErr w:type="spellStart"/>
      <w:r>
        <w:rPr>
          <w:rFonts w:hint="eastAsia"/>
        </w:rPr>
        <w:t>报告期末积极投资按公允价值占基金资产净值比例大小排序的前五名股票及存托凭证投资明细</w:t>
      </w:r>
      <w:bookmarkEnd w:id="207"/>
      <w:bookmarkEnd w:id="208"/>
      <w:proofErr w:type="spellEnd"/>
      <w:r>
        <w:rPr>
          <w:rFonts w:hint="eastAsia"/>
        </w:rPr>
        <w:t xml:space="preserve"> </w:t>
      </w:r>
    </w:p>
    <w:p w:rsidR="00856DF9" w:rsidRDefault="00A22890">
      <w:pPr>
        <w:spacing w:line="360" w:lineRule="auto"/>
        <w:ind w:firstLineChars="200" w:firstLine="420"/>
        <w:jc w:val="left"/>
      </w:pPr>
      <w:r>
        <w:rPr>
          <w:rFonts w:ascii="宋体" w:hAnsi="宋体" w:hint="eastAsia"/>
        </w:rPr>
        <w:t>本基金本报告期末未持有积极投资股票。</w:t>
      </w:r>
    </w:p>
    <w:p w:rsidR="00856DF9" w:rsidRDefault="00A22890">
      <w:pPr>
        <w:pStyle w:val="XBRLTitle2"/>
        <w:spacing w:before="156" w:line="360" w:lineRule="auto"/>
        <w:ind w:left="454"/>
      </w:pPr>
      <w:bookmarkStart w:id="209" w:name="_Toc459213781"/>
      <w:bookmarkStart w:id="210" w:name="_Toc456107135"/>
      <w:bookmarkStart w:id="211" w:name="_Toc438654090"/>
      <w:bookmarkStart w:id="212" w:name="_Toc448480302"/>
      <w:bookmarkStart w:id="213" w:name="_Toc480465436"/>
      <w:bookmarkStart w:id="214" w:name="_Toc512611298"/>
      <w:bookmarkStart w:id="215" w:name="_Toc512612094"/>
      <w:bookmarkStart w:id="216" w:name="_Toc512612270"/>
      <w:bookmarkStart w:id="217" w:name="_Toc513658030"/>
      <w:bookmarkStart w:id="218" w:name="_Toc514178692"/>
      <w:bookmarkStart w:id="219" w:name="m505"/>
      <w:proofErr w:type="spellStart"/>
      <w:r>
        <w:rPr>
          <w:rFonts w:hint="eastAsia"/>
        </w:rPr>
        <w:t>报告期末按债券信用等级分类的债券投资组合</w:t>
      </w:r>
      <w:bookmarkEnd w:id="209"/>
      <w:bookmarkEnd w:id="210"/>
      <w:bookmarkEnd w:id="211"/>
      <w:bookmarkEnd w:id="212"/>
      <w:bookmarkEnd w:id="213"/>
      <w:bookmarkEnd w:id="214"/>
      <w:bookmarkEnd w:id="215"/>
      <w:bookmarkEnd w:id="216"/>
      <w:bookmarkEnd w:id="217"/>
      <w:bookmarkEnd w:id="218"/>
      <w:proofErr w:type="spellEnd"/>
      <w:r>
        <w:rPr>
          <w:rFonts w:hint="eastAsia"/>
        </w:rPr>
        <w:t xml:space="preserve"> </w:t>
      </w:r>
    </w:p>
    <w:p w:rsidR="00856DF9" w:rsidRDefault="00A22890">
      <w:pPr>
        <w:spacing w:line="360" w:lineRule="auto"/>
        <w:ind w:firstLineChars="200" w:firstLine="420"/>
        <w:jc w:val="left"/>
      </w:pPr>
      <w:r>
        <w:rPr>
          <w:rFonts w:ascii="宋体" w:hAnsi="宋体" w:hint="eastAsia"/>
        </w:rPr>
        <w:t>本基金本报告期末未持有债券。</w:t>
      </w:r>
    </w:p>
    <w:p w:rsidR="00856DF9" w:rsidRDefault="00A22890">
      <w:pPr>
        <w:pStyle w:val="XBRLTitle2"/>
        <w:spacing w:before="156" w:line="360" w:lineRule="auto"/>
        <w:ind w:left="454"/>
      </w:pPr>
      <w:bookmarkStart w:id="220" w:name="_Toc459213782"/>
      <w:bookmarkStart w:id="221" w:name="_Toc456107136"/>
      <w:bookmarkStart w:id="222" w:name="_Toc438654091"/>
      <w:bookmarkStart w:id="223" w:name="_Toc448480303"/>
      <w:bookmarkStart w:id="224" w:name="_Toc480465437"/>
      <w:bookmarkStart w:id="225" w:name="_Toc514178693"/>
      <w:bookmarkStart w:id="226" w:name="_Toc512611299"/>
      <w:bookmarkStart w:id="227" w:name="_Toc512612095"/>
      <w:bookmarkStart w:id="228" w:name="_Toc512612271"/>
      <w:bookmarkStart w:id="229" w:name="_Toc513658031"/>
      <w:bookmarkStart w:id="230" w:name="m506"/>
      <w:bookmarkEnd w:id="219"/>
      <w:proofErr w:type="spellStart"/>
      <w:r>
        <w:rPr>
          <w:rFonts w:hint="eastAsia"/>
        </w:rPr>
        <w:t>报告期末按公允价值占基金资产净值比例大小排名的前五名债券投资明细</w:t>
      </w:r>
      <w:bookmarkEnd w:id="220"/>
      <w:bookmarkEnd w:id="221"/>
      <w:bookmarkEnd w:id="222"/>
      <w:bookmarkEnd w:id="223"/>
      <w:bookmarkEnd w:id="224"/>
      <w:bookmarkEnd w:id="225"/>
      <w:proofErr w:type="spellEnd"/>
      <w:r>
        <w:rPr>
          <w:rFonts w:hint="eastAsia"/>
        </w:rPr>
        <w:t xml:space="preserve"> </w:t>
      </w:r>
      <w:bookmarkEnd w:id="226"/>
      <w:bookmarkEnd w:id="227"/>
      <w:bookmarkEnd w:id="228"/>
      <w:bookmarkEnd w:id="229"/>
    </w:p>
    <w:p w:rsidR="00856DF9" w:rsidRDefault="00A22890">
      <w:pPr>
        <w:spacing w:line="360" w:lineRule="auto"/>
        <w:ind w:firstLineChars="200" w:firstLine="420"/>
        <w:jc w:val="left"/>
        <w:divId w:val="798643214"/>
      </w:pPr>
      <w:r>
        <w:rPr>
          <w:rFonts w:ascii="宋体" w:hAnsi="宋体" w:hint="eastAsia"/>
          <w:color w:val="000000"/>
          <w:szCs w:val="21"/>
          <w:lang w:eastAsia="zh-Hans"/>
        </w:rPr>
        <w:t>本基金本报告期末未持有债券。</w:t>
      </w:r>
    </w:p>
    <w:p w:rsidR="00856DF9" w:rsidRDefault="00A22890">
      <w:pPr>
        <w:pStyle w:val="XBRLTitle2"/>
        <w:spacing w:before="156" w:line="360" w:lineRule="auto"/>
        <w:ind w:left="454"/>
      </w:pPr>
      <w:bookmarkStart w:id="231" w:name="_Toc459213783"/>
      <w:bookmarkStart w:id="232" w:name="_Toc456107137"/>
      <w:bookmarkStart w:id="233" w:name="_Toc438654092"/>
      <w:bookmarkStart w:id="234" w:name="_Toc448480304"/>
      <w:bookmarkStart w:id="235" w:name="_Toc480465438"/>
      <w:bookmarkStart w:id="236" w:name="_Toc514178694"/>
      <w:bookmarkStart w:id="237" w:name="_Toc512611300"/>
      <w:bookmarkStart w:id="238" w:name="_Toc512612096"/>
      <w:bookmarkStart w:id="239" w:name="_Toc512612272"/>
      <w:bookmarkStart w:id="240" w:name="_Toc513658032"/>
      <w:bookmarkStart w:id="241" w:name="m507"/>
      <w:bookmarkEnd w:id="230"/>
      <w:proofErr w:type="spellStart"/>
      <w:r>
        <w:rPr>
          <w:rFonts w:hint="eastAsia"/>
        </w:rPr>
        <w:t>报告期末按公允价值占基金资产净值比例大小排名的前十名资产支持证券投资明细</w:t>
      </w:r>
      <w:bookmarkEnd w:id="231"/>
      <w:bookmarkEnd w:id="232"/>
      <w:bookmarkEnd w:id="233"/>
      <w:bookmarkEnd w:id="234"/>
      <w:bookmarkEnd w:id="235"/>
      <w:bookmarkEnd w:id="236"/>
      <w:proofErr w:type="spellEnd"/>
      <w:r>
        <w:rPr>
          <w:rFonts w:hint="eastAsia"/>
        </w:rPr>
        <w:t xml:space="preserve"> </w:t>
      </w:r>
      <w:bookmarkEnd w:id="237"/>
      <w:bookmarkEnd w:id="238"/>
      <w:bookmarkEnd w:id="239"/>
      <w:bookmarkEnd w:id="240"/>
    </w:p>
    <w:p w:rsidR="00856DF9" w:rsidRDefault="00A22890">
      <w:pPr>
        <w:spacing w:line="360" w:lineRule="auto"/>
        <w:ind w:firstLineChars="200" w:firstLine="420"/>
        <w:jc w:val="left"/>
        <w:divId w:val="1081442015"/>
      </w:pPr>
      <w:r>
        <w:rPr>
          <w:rFonts w:ascii="宋体" w:hAnsi="宋体" w:hint="eastAsia"/>
          <w:color w:val="000000"/>
          <w:szCs w:val="21"/>
          <w:lang w:eastAsia="zh-Hans"/>
        </w:rPr>
        <w:t>本基金本报告期末未持有资产支持证券。</w:t>
      </w:r>
    </w:p>
    <w:p w:rsidR="00856DF9" w:rsidRDefault="00A22890">
      <w:pPr>
        <w:pStyle w:val="XBRLTitle2"/>
        <w:spacing w:before="156" w:line="360" w:lineRule="auto"/>
        <w:ind w:left="454"/>
      </w:pPr>
      <w:bookmarkStart w:id="242" w:name="_Toc448480305"/>
      <w:bookmarkStart w:id="243" w:name="_Toc438654093"/>
      <w:bookmarkStart w:id="244" w:name="_Toc456107138"/>
      <w:bookmarkStart w:id="245" w:name="_Toc459213784"/>
      <w:bookmarkStart w:id="246" w:name="_Toc480465439"/>
      <w:bookmarkStart w:id="247" w:name="_Toc514178695"/>
      <w:bookmarkStart w:id="248" w:name="_Toc512611301"/>
      <w:bookmarkStart w:id="249" w:name="_Toc512612097"/>
      <w:bookmarkStart w:id="250" w:name="_Toc512612273"/>
      <w:bookmarkStart w:id="251" w:name="_Toc513658033"/>
      <w:bookmarkStart w:id="252" w:name="m508"/>
      <w:bookmarkEnd w:id="241"/>
      <w:proofErr w:type="spellStart"/>
      <w:r>
        <w:rPr>
          <w:rFonts w:hint="eastAsia"/>
        </w:rPr>
        <w:t>报告期末按公允价值占基金资产净值比例大小排名的前五名金融衍生品投资明细</w:t>
      </w:r>
      <w:bookmarkEnd w:id="242"/>
      <w:bookmarkEnd w:id="243"/>
      <w:bookmarkEnd w:id="244"/>
      <w:bookmarkEnd w:id="245"/>
      <w:bookmarkEnd w:id="246"/>
      <w:bookmarkEnd w:id="247"/>
      <w:proofErr w:type="spellEnd"/>
      <w:r>
        <w:rPr>
          <w:rFonts w:hint="eastAsia"/>
        </w:rPr>
        <w:t xml:space="preserve"> </w:t>
      </w:r>
      <w:bookmarkEnd w:id="248"/>
      <w:bookmarkEnd w:id="249"/>
      <w:bookmarkEnd w:id="250"/>
      <w:bookmarkEnd w:id="251"/>
    </w:p>
    <w:p w:rsidR="00856DF9" w:rsidRDefault="00A22890">
      <w:pPr>
        <w:spacing w:line="360" w:lineRule="auto"/>
        <w:ind w:firstLineChars="200" w:firstLine="420"/>
        <w:divId w:val="1526290745"/>
      </w:pPr>
      <w:bookmarkStart w:id="253"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3"/>
      <w:r>
        <w:rPr>
          <w:rFonts w:ascii="宋体" w:hAnsi="宋体" w:hint="eastAsia"/>
          <w:szCs w:val="24"/>
          <w:lang w:eastAsia="zh-Hans"/>
        </w:rPr>
        <w:t xml:space="preserve"> </w:t>
      </w:r>
    </w:p>
    <w:p w:rsidR="00856DF9" w:rsidRDefault="00A22890">
      <w:pPr>
        <w:pStyle w:val="XBRLTitle2"/>
        <w:spacing w:before="156" w:line="360" w:lineRule="auto"/>
        <w:ind w:left="454"/>
      </w:pPr>
      <w:bookmarkStart w:id="254" w:name="_Toc448480306"/>
      <w:bookmarkStart w:id="255" w:name="_Toc438654094"/>
      <w:bookmarkStart w:id="256" w:name="_Toc456107139"/>
      <w:bookmarkStart w:id="257" w:name="_Toc459213785"/>
      <w:bookmarkStart w:id="258" w:name="_Toc480465440"/>
      <w:bookmarkStart w:id="259" w:name="_Toc514178696"/>
      <w:bookmarkStart w:id="260" w:name="_Toc512611302"/>
      <w:bookmarkStart w:id="261" w:name="_Toc512612098"/>
      <w:bookmarkStart w:id="262" w:name="_Toc512612274"/>
      <w:bookmarkStart w:id="263" w:name="_Toc513658034"/>
      <w:bookmarkStart w:id="264" w:name="m509"/>
      <w:bookmarkEnd w:id="252"/>
      <w:proofErr w:type="spellStart"/>
      <w:r>
        <w:rPr>
          <w:rFonts w:hint="eastAsia"/>
        </w:rPr>
        <w:t>报告期末按公允价值占基金资产净值比例大小排序的前十名基金投资明细</w:t>
      </w:r>
      <w:bookmarkEnd w:id="254"/>
      <w:bookmarkEnd w:id="255"/>
      <w:bookmarkEnd w:id="256"/>
      <w:bookmarkEnd w:id="257"/>
      <w:bookmarkEnd w:id="258"/>
      <w:bookmarkEnd w:id="259"/>
      <w:proofErr w:type="spellEnd"/>
      <w:r>
        <w:rPr>
          <w:rFonts w:hint="eastAsia"/>
        </w:rPr>
        <w:t xml:space="preserve"> </w:t>
      </w:r>
      <w:bookmarkEnd w:id="260"/>
      <w:bookmarkEnd w:id="261"/>
      <w:bookmarkEnd w:id="262"/>
      <w:bookmarkEnd w:id="263"/>
    </w:p>
    <w:p w:rsidR="00856DF9" w:rsidRDefault="00A22890">
      <w:pPr>
        <w:spacing w:line="360" w:lineRule="auto"/>
        <w:ind w:firstLineChars="200" w:firstLine="420"/>
      </w:pPr>
      <w:bookmarkStart w:id="265" w:name="m08QD_10"/>
      <w:bookmarkEnd w:id="206"/>
      <w:r>
        <w:rPr>
          <w:rFonts w:ascii="宋体" w:hAnsi="宋体" w:hint="eastAsia"/>
          <w:szCs w:val="21"/>
          <w:lang w:eastAsia="zh-Hans"/>
        </w:rPr>
        <w:t>本基金本报告期末未持有基金。</w:t>
      </w:r>
      <w:r>
        <w:rPr>
          <w:rFonts w:ascii="宋体" w:hAnsi="宋体" w:hint="eastAsia"/>
          <w:lang w:eastAsia="zh-Hans"/>
        </w:rPr>
        <w:t xml:space="preserve"> </w:t>
      </w:r>
      <w:bookmarkEnd w:id="265"/>
      <w:bookmarkEnd w:id="150"/>
      <w:bookmarkEnd w:id="151"/>
      <w:bookmarkEnd w:id="152"/>
      <w:bookmarkEnd w:id="153"/>
    </w:p>
    <w:p w:rsidR="00856DF9" w:rsidRDefault="00A22890">
      <w:pPr>
        <w:pStyle w:val="XBRLTitle2"/>
        <w:spacing w:before="156" w:line="360" w:lineRule="auto"/>
        <w:ind w:left="454"/>
      </w:pPr>
      <w:bookmarkStart w:id="266" w:name="_Toc448480307"/>
      <w:bookmarkStart w:id="267" w:name="_Toc438654095"/>
      <w:bookmarkStart w:id="268" w:name="_Toc456107140"/>
      <w:bookmarkStart w:id="269" w:name="_Toc459213786"/>
      <w:bookmarkStart w:id="270" w:name="_Toc480465441"/>
      <w:bookmarkStart w:id="271" w:name="_Toc512611303"/>
      <w:bookmarkStart w:id="272" w:name="_Toc512612099"/>
      <w:bookmarkStart w:id="273" w:name="_Toc512612275"/>
      <w:bookmarkStart w:id="274" w:name="_Toc513658035"/>
      <w:bookmarkStart w:id="275" w:name="_Toc514178697"/>
      <w:bookmarkEnd w:id="264"/>
      <w:proofErr w:type="spellStart"/>
      <w:r>
        <w:rPr>
          <w:rFonts w:hint="eastAsia"/>
        </w:rPr>
        <w:t>投资组合报告附注</w:t>
      </w:r>
      <w:bookmarkEnd w:id="266"/>
      <w:bookmarkEnd w:id="267"/>
      <w:bookmarkEnd w:id="268"/>
      <w:bookmarkEnd w:id="269"/>
      <w:bookmarkEnd w:id="270"/>
      <w:bookmarkEnd w:id="271"/>
      <w:bookmarkEnd w:id="272"/>
      <w:bookmarkEnd w:id="273"/>
      <w:bookmarkEnd w:id="274"/>
      <w:bookmarkEnd w:id="275"/>
      <w:proofErr w:type="spellEnd"/>
      <w:r>
        <w:rPr>
          <w:rFonts w:hint="eastAsia"/>
        </w:rPr>
        <w:t xml:space="preserve"> </w:t>
      </w:r>
    </w:p>
    <w:p w:rsidR="00856DF9" w:rsidRDefault="00A22890">
      <w:pPr>
        <w:pStyle w:val="XBRLTitle3"/>
        <w:spacing w:before="156"/>
        <w:ind w:left="0"/>
      </w:pPr>
      <w:bookmarkStart w:id="276" w:name="m510_01_1597"/>
      <w:r>
        <w:rPr>
          <w:rFonts w:hint="eastAsia"/>
          <w:lang w:eastAsia="zh-CN"/>
        </w:rPr>
        <w:t xml:space="preserve"> </w:t>
      </w:r>
      <w:bookmarkStart w:id="277" w:name="_Toc514088270"/>
      <w:bookmarkStart w:id="278" w:name="_Toc513542671"/>
      <w:bookmarkStart w:id="279" w:name="_Toc480465442"/>
      <w:bookmarkEnd w:id="277"/>
      <w:bookmarkEnd w:id="278"/>
      <w:bookmarkEnd w:id="279"/>
      <w:r>
        <w:rPr>
          <w:rFonts w:hint="eastAsia"/>
        </w:rPr>
        <w:t xml:space="preserve"> </w:t>
      </w:r>
    </w:p>
    <w:p w:rsidR="00856DF9" w:rsidRDefault="00A22890">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856DF9" w:rsidRDefault="00A22890">
      <w:pPr>
        <w:pStyle w:val="XBRLTitle3"/>
        <w:spacing w:before="156"/>
        <w:ind w:left="0"/>
      </w:pPr>
      <w:bookmarkStart w:id="280" w:name="m510_01_1598"/>
      <w:bookmarkEnd w:id="276"/>
      <w:r>
        <w:rPr>
          <w:rFonts w:hint="eastAsia"/>
          <w:lang w:eastAsia="zh-CN"/>
        </w:rPr>
        <w:t xml:space="preserve"> </w:t>
      </w:r>
      <w:bookmarkStart w:id="281" w:name="_Toc514088271"/>
      <w:bookmarkStart w:id="282" w:name="_Toc513542672"/>
      <w:bookmarkStart w:id="283" w:name="_Toc480465443"/>
      <w:bookmarkEnd w:id="281"/>
      <w:bookmarkEnd w:id="282"/>
      <w:bookmarkEnd w:id="283"/>
      <w:r>
        <w:rPr>
          <w:rFonts w:hint="eastAsia"/>
        </w:rPr>
        <w:t xml:space="preserve"> </w:t>
      </w:r>
    </w:p>
    <w:p w:rsidR="00856DF9" w:rsidRDefault="00A22890">
      <w:pPr>
        <w:spacing w:line="360" w:lineRule="auto"/>
        <w:ind w:firstLineChars="200" w:firstLine="420"/>
      </w:pPr>
      <w:r>
        <w:rPr>
          <w:rFonts w:ascii="宋体" w:hAnsi="宋体" w:hint="eastAsia"/>
        </w:rPr>
        <w:t>报告期内本基金投资的前十名股票中没有在基金合同规定备选股票库之外的股票。</w:t>
      </w:r>
    </w:p>
    <w:p w:rsidR="00856DF9" w:rsidRDefault="00A22890">
      <w:pPr>
        <w:pStyle w:val="XBRLTitle3"/>
        <w:spacing w:before="156"/>
        <w:ind w:left="0"/>
      </w:pPr>
      <w:bookmarkStart w:id="284" w:name="_Toc480465444"/>
      <w:bookmarkStart w:id="285" w:name="_Toc514178700"/>
      <w:bookmarkStart w:id="286" w:name="_Toc513658038"/>
      <w:bookmarkStart w:id="287" w:name="m510_02"/>
      <w:bookmarkEnd w:id="280"/>
      <w:proofErr w:type="spellStart"/>
      <w:r>
        <w:rPr>
          <w:rFonts w:hint="eastAsia"/>
        </w:rPr>
        <w:t>其他资产构成</w:t>
      </w:r>
      <w:bookmarkEnd w:id="284"/>
      <w:bookmarkEnd w:id="285"/>
      <w:proofErr w:type="spellEnd"/>
      <w:r>
        <w:rPr>
          <w:rFonts w:hint="eastAsia"/>
        </w:rPr>
        <w:t xml:space="preserve"> </w:t>
      </w:r>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856DF9">
        <w:trPr>
          <w:divId w:val="1267031861"/>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56DF9" w:rsidRDefault="00A22890">
            <w:pPr>
              <w:jc w:val="center"/>
            </w:pPr>
            <w:r>
              <w:rPr>
                <w:rFonts w:ascii="宋体" w:hAnsi="宋体" w:hint="eastAsia"/>
              </w:rPr>
              <w:t>金额（人民币元）</w:t>
            </w:r>
            <w:r>
              <w:t xml:space="preserve"> </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120,408.99</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lastRenderedPageBreak/>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4,541,810.04</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w:t>
            </w:r>
          </w:p>
        </w:tc>
      </w:tr>
      <w:tr w:rsidR="00856DF9">
        <w:trPr>
          <w:divId w:val="1267031861"/>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56DF9" w:rsidRDefault="00A22890">
            <w:pPr>
              <w:jc w:val="right"/>
            </w:pPr>
            <w:r>
              <w:rPr>
                <w:rFonts w:ascii="宋体" w:hAnsi="宋体" w:hint="eastAsia"/>
              </w:rPr>
              <w:t>4,662,219.03</w:t>
            </w:r>
          </w:p>
        </w:tc>
      </w:tr>
    </w:tbl>
    <w:p w:rsidR="00856DF9" w:rsidRDefault="00A22890">
      <w:pPr>
        <w:pStyle w:val="XBRLTitle3"/>
        <w:spacing w:before="156"/>
        <w:ind w:left="0"/>
      </w:pPr>
      <w:bookmarkStart w:id="288" w:name="_Toc480465445"/>
      <w:bookmarkStart w:id="289" w:name="_Toc514178701"/>
      <w:bookmarkStart w:id="290" w:name="_Toc513658039"/>
      <w:bookmarkStart w:id="291" w:name="m510_03"/>
      <w:bookmarkEnd w:id="287"/>
      <w:proofErr w:type="spellStart"/>
      <w:r>
        <w:rPr>
          <w:rFonts w:hint="eastAsia"/>
        </w:rPr>
        <w:t>报告期末持有的处于转股期的可转换债券明细</w:t>
      </w:r>
      <w:bookmarkEnd w:id="288"/>
      <w:bookmarkEnd w:id="289"/>
      <w:proofErr w:type="spellEnd"/>
      <w:r>
        <w:rPr>
          <w:rFonts w:hint="eastAsia"/>
        </w:rPr>
        <w:t xml:space="preserve"> </w:t>
      </w:r>
      <w:bookmarkEnd w:id="290"/>
    </w:p>
    <w:p w:rsidR="00856DF9" w:rsidRDefault="00A22890">
      <w:pPr>
        <w:spacing w:line="360" w:lineRule="auto"/>
        <w:ind w:firstLineChars="200" w:firstLine="420"/>
        <w:jc w:val="left"/>
        <w:divId w:val="605120432"/>
      </w:pPr>
      <w:r>
        <w:rPr>
          <w:rFonts w:ascii="宋体" w:hAnsi="宋体" w:hint="eastAsia"/>
        </w:rPr>
        <w:t xml:space="preserve">本基金本报告期末未持有处于转股期的可转换债券。 </w:t>
      </w:r>
    </w:p>
    <w:p w:rsidR="00856DF9" w:rsidRDefault="00A22890">
      <w:pPr>
        <w:pStyle w:val="XBRLTitle3"/>
        <w:spacing w:before="156"/>
        <w:ind w:left="0"/>
      </w:pPr>
      <w:bookmarkStart w:id="292" w:name="_Toc480465446"/>
      <w:bookmarkStart w:id="293" w:name="_Toc513658040"/>
      <w:bookmarkStart w:id="294" w:name="_Toc514178702"/>
      <w:bookmarkStart w:id="295" w:name="m510_04"/>
      <w:bookmarkEnd w:id="291"/>
      <w:proofErr w:type="spellStart"/>
      <w:r>
        <w:rPr>
          <w:rFonts w:hint="eastAsia"/>
        </w:rPr>
        <w:t>报告期末前十名股票中存在流通受限情况的说明</w:t>
      </w:r>
      <w:bookmarkEnd w:id="292"/>
      <w:bookmarkEnd w:id="293"/>
      <w:bookmarkEnd w:id="294"/>
      <w:proofErr w:type="spellEnd"/>
    </w:p>
    <w:p w:rsidR="00856DF9" w:rsidRDefault="00A22890">
      <w:pPr>
        <w:pStyle w:val="XBRLTitle4"/>
        <w:numPr>
          <w:ilvl w:val="0"/>
          <w:numId w:val="0"/>
        </w:numPr>
        <w:spacing w:before="156"/>
      </w:pPr>
      <w:bookmarkStart w:id="296" w:name="_Toc513658041"/>
      <w:bookmarkStart w:id="297" w:name="_Toc514178703"/>
      <w:r>
        <w:rPr>
          <w:rFonts w:hint="eastAsia"/>
        </w:rPr>
        <w:t xml:space="preserve">5.10.5.1 </w:t>
      </w:r>
      <w:proofErr w:type="spellStart"/>
      <w:r>
        <w:rPr>
          <w:rFonts w:hint="eastAsia"/>
        </w:rPr>
        <w:t>报告期末指数投资前十名股票中存在流通受限情况的说明</w:t>
      </w:r>
      <w:bookmarkEnd w:id="296"/>
      <w:bookmarkEnd w:id="297"/>
      <w:proofErr w:type="spellEnd"/>
      <w:r>
        <w:rPr>
          <w:rFonts w:hint="eastAsia"/>
        </w:rPr>
        <w:t xml:space="preserve"> </w:t>
      </w:r>
    </w:p>
    <w:p w:rsidR="00856DF9" w:rsidRDefault="00A22890">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856DF9" w:rsidRDefault="00A22890">
      <w:pPr>
        <w:pStyle w:val="XBRLTitle4"/>
        <w:numPr>
          <w:ilvl w:val="0"/>
          <w:numId w:val="0"/>
        </w:numPr>
        <w:spacing w:before="156"/>
      </w:pPr>
      <w:bookmarkStart w:id="298" w:name="_Toc513658042"/>
      <w:bookmarkStart w:id="299" w:name="_Toc514178704"/>
      <w:r>
        <w:rPr>
          <w:rFonts w:hint="eastAsia"/>
        </w:rPr>
        <w:t xml:space="preserve">5.10.5.2 </w:t>
      </w:r>
      <w:proofErr w:type="spellStart"/>
      <w:r>
        <w:rPr>
          <w:rFonts w:hint="eastAsia"/>
        </w:rPr>
        <w:t>报告期末积极投资前五名股票中存在流通受限情况的说明</w:t>
      </w:r>
      <w:bookmarkEnd w:id="298"/>
      <w:bookmarkEnd w:id="299"/>
      <w:proofErr w:type="spellEnd"/>
      <w:r>
        <w:rPr>
          <w:rFonts w:hint="eastAsia"/>
        </w:rPr>
        <w:t xml:space="preserve"> </w:t>
      </w:r>
    </w:p>
    <w:p w:rsidR="00856DF9" w:rsidRDefault="00A22890">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rsidR="00856DF9" w:rsidRDefault="00A22890">
      <w:pPr>
        <w:pStyle w:val="XBRLTitle3"/>
        <w:spacing w:before="156"/>
        <w:ind w:left="0"/>
      </w:pPr>
      <w:bookmarkStart w:id="300" w:name="_Toc480465447"/>
      <w:bookmarkStart w:id="301" w:name="_Toc513658043"/>
      <w:bookmarkStart w:id="302" w:name="_Toc514178705"/>
      <w:bookmarkEnd w:id="295"/>
      <w:proofErr w:type="spellStart"/>
      <w:r>
        <w:rPr>
          <w:rFonts w:hint="eastAsia"/>
        </w:rPr>
        <w:t>投资组合报告附注的其他文字描述部分</w:t>
      </w:r>
      <w:bookmarkEnd w:id="300"/>
      <w:bookmarkEnd w:id="301"/>
      <w:bookmarkEnd w:id="302"/>
      <w:proofErr w:type="spellEnd"/>
    </w:p>
    <w:p w:rsidR="00856DF9" w:rsidRDefault="00A22890">
      <w:pPr>
        <w:spacing w:line="360" w:lineRule="auto"/>
        <w:ind w:firstLineChars="200" w:firstLine="420"/>
        <w:jc w:val="left"/>
      </w:pPr>
      <w:r>
        <w:rPr>
          <w:rFonts w:ascii="宋体" w:hAnsi="宋体" w:hint="eastAsia"/>
        </w:rPr>
        <w:t>因四舍五入原因，投资组合报告中分项之和与合计可能存在尾差。</w:t>
      </w:r>
    </w:p>
    <w:p w:rsidR="00856DF9" w:rsidRDefault="00A22890">
      <w:pPr>
        <w:pStyle w:val="XBRLTitle1"/>
        <w:spacing w:before="156" w:line="360" w:lineRule="auto"/>
        <w:ind w:left="425"/>
      </w:pPr>
      <w:bookmarkStart w:id="303" w:name="_Toc514178706"/>
      <w:proofErr w:type="spellStart"/>
      <w:r>
        <w:rPr>
          <w:rFonts w:hint="eastAsia"/>
        </w:rPr>
        <w:t>开放式基金份额变动</w:t>
      </w:r>
      <w:bookmarkStart w:id="304" w:name="m601_tab"/>
      <w:bookmarkEnd w:id="303"/>
      <w:bookmarkEnd w:id="144"/>
      <w:bookmarkEnd w:id="145"/>
      <w:bookmarkEnd w:id="146"/>
      <w:bookmarkEnd w:id="147"/>
      <w:proofErr w:type="spellEnd"/>
    </w:p>
    <w:p w:rsidR="00856DF9" w:rsidRDefault="00A22890">
      <w:pPr>
        <w:wordWrap w:val="0"/>
        <w:spacing w:line="360" w:lineRule="auto"/>
        <w:jc w:val="right"/>
      </w:pPr>
      <w:bookmarkStart w:id="305"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1514"/>
        <w:gridCol w:w="1514"/>
        <w:gridCol w:w="1097"/>
        <w:gridCol w:w="1097"/>
      </w:tblGrid>
      <w:tr w:rsidR="00856DF9">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856DF9" w:rsidRDefault="00A22890">
            <w:pPr>
              <w:pStyle w:val="xl33"/>
              <w:widowControl w:val="0"/>
              <w:pBdr>
                <w:left w:val="none" w:sz="0" w:space="0" w:color="auto"/>
                <w:bottom w:val="none" w:sz="0" w:space="0" w:color="auto"/>
                <w:right w:val="none" w:sz="0" w:space="0" w:color="auto"/>
              </w:pBdr>
              <w:spacing w:before="0" w:beforeAutospacing="0" w:after="0" w:afterAutospacing="0"/>
              <w:jc w:val="both"/>
            </w:pPr>
            <w:bookmarkStart w:id="306" w:name="m10_01" w:colFirst="1" w:colLast="4"/>
            <w:bookmarkEnd w:id="305"/>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DF9" w:rsidRDefault="00A22890">
            <w:pPr>
              <w:ind w:right="3"/>
              <w:jc w:val="center"/>
            </w:pPr>
            <w:r>
              <w:rPr>
                <w:rFonts w:ascii="宋体" w:hAnsi="宋体" w:hint="eastAsia"/>
                <w:lang w:eastAsia="zh-Hans"/>
              </w:rPr>
              <w:t>摩根纳斯达克100指数(QDII)人民币A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DF9" w:rsidRDefault="00A22890">
            <w:pPr>
              <w:ind w:right="3"/>
              <w:jc w:val="center"/>
            </w:pPr>
            <w:r>
              <w:rPr>
                <w:rFonts w:ascii="宋体" w:hAnsi="宋体" w:hint="eastAsia"/>
                <w:lang w:eastAsia="zh-Hans"/>
              </w:rPr>
              <w:t>摩根纳斯达克100指数(QDII)人民币C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DF9" w:rsidRDefault="00A22890">
            <w:pPr>
              <w:ind w:right="3"/>
              <w:jc w:val="center"/>
            </w:pPr>
            <w:r>
              <w:rPr>
                <w:rFonts w:ascii="宋体" w:hAnsi="宋体" w:hint="eastAsia"/>
                <w:lang w:eastAsia="zh-Hans"/>
              </w:rPr>
              <w:t>摩根纳斯达克100指数(QDII)美元A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56DF9" w:rsidRDefault="00A22890">
            <w:pPr>
              <w:ind w:right="3"/>
              <w:jc w:val="center"/>
            </w:pPr>
            <w:r>
              <w:rPr>
                <w:rFonts w:ascii="宋体" w:hAnsi="宋体" w:hint="eastAsia"/>
                <w:lang w:eastAsia="zh-Hans"/>
              </w:rPr>
              <w:t>摩根纳斯达克100指数(QDII)美元C</w:t>
            </w:r>
            <w:r>
              <w:rPr>
                <w:rFonts w:ascii="宋体" w:hAnsi="宋体" w:hint="eastAsia"/>
                <w:kern w:val="0"/>
                <w:szCs w:val="24"/>
                <w:lang w:eastAsia="zh-Hans"/>
              </w:rPr>
              <w:t xml:space="preserve"> </w:t>
            </w:r>
          </w:p>
        </w:tc>
      </w:tr>
      <w:tr w:rsidR="00856D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347,848,797.69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244,889,878.25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806,160.60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927,557.45</w:t>
            </w:r>
          </w:p>
        </w:tc>
      </w:tr>
      <w:tr w:rsidR="00856D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49,310,322.49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56,249,820.99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54,082.44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60,207.29</w:t>
            </w:r>
          </w:p>
        </w:tc>
      </w:tr>
      <w:tr w:rsidR="00856D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28,747,312.73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53,138,360.77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98,865.17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171,637.46</w:t>
            </w:r>
          </w:p>
        </w:tc>
      </w:tr>
      <w:tr w:rsidR="00856D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w:t>
            </w:r>
          </w:p>
        </w:tc>
      </w:tr>
      <w:tr w:rsidR="00856DF9">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368,411,807.45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248,001,338.47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761,377.87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56DF9" w:rsidRDefault="00A22890">
            <w:pPr>
              <w:jc w:val="right"/>
            </w:pPr>
            <w:r>
              <w:rPr>
                <w:rFonts w:ascii="宋体" w:hAnsi="宋体" w:hint="eastAsia"/>
              </w:rPr>
              <w:t>816,127.28</w:t>
            </w:r>
          </w:p>
        </w:tc>
      </w:tr>
    </w:tbl>
    <w:p w:rsidR="00856DF9" w:rsidRDefault="00A22890">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6"/>
      <w:r>
        <w:rPr>
          <w:rFonts w:ascii="宋体" w:hAnsi="宋体" w:hint="eastAsia"/>
        </w:rPr>
        <w:t xml:space="preserve"> </w:t>
      </w:r>
    </w:p>
    <w:p w:rsidR="00856DF9" w:rsidRDefault="00A22890">
      <w:pPr>
        <w:pStyle w:val="XBRLTitle1"/>
        <w:spacing w:before="156" w:line="360" w:lineRule="auto"/>
        <w:ind w:left="425"/>
      </w:pPr>
      <w:bookmarkStart w:id="307" w:name="m7manage01"/>
      <w:bookmarkStart w:id="308" w:name="_Toc512519522"/>
      <w:bookmarkStart w:id="309" w:name="_Toc481075090"/>
      <w:bookmarkStart w:id="310" w:name="_Toc438646478"/>
      <w:bookmarkStart w:id="311" w:name="_Toc490050043"/>
      <w:bookmarkStart w:id="312" w:name="_Toc514178707"/>
      <w:bookmarkEnd w:id="148"/>
      <w:bookmarkEnd w:id="304"/>
      <w:proofErr w:type="spellStart"/>
      <w:r>
        <w:rPr>
          <w:rFonts w:hint="eastAsia"/>
        </w:rPr>
        <w:t>基金管理人运用固有资金投资本基金交易明细</w:t>
      </w:r>
      <w:bookmarkEnd w:id="307"/>
      <w:bookmarkEnd w:id="308"/>
      <w:bookmarkEnd w:id="309"/>
      <w:bookmarkEnd w:id="310"/>
      <w:bookmarkEnd w:id="311"/>
      <w:bookmarkEnd w:id="312"/>
      <w:proofErr w:type="spellEnd"/>
      <w:r>
        <w:rPr>
          <w:rFonts w:hint="eastAsia"/>
        </w:rPr>
        <w:t xml:space="preserve"> </w:t>
      </w:r>
    </w:p>
    <w:p w:rsidR="00856DF9" w:rsidRDefault="00A22890">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856DF9" w:rsidRDefault="00A22890">
      <w:pPr>
        <w:pStyle w:val="XBRLTitle1"/>
        <w:spacing w:before="156" w:line="360" w:lineRule="auto"/>
        <w:ind w:left="425"/>
      </w:pPr>
      <w:bookmarkStart w:id="313" w:name="_Toc513295937"/>
      <w:bookmarkStart w:id="314" w:name="_Toc513295874"/>
      <w:bookmarkStart w:id="315" w:name="_Toc490050053"/>
      <w:bookmarkStart w:id="316" w:name="_Toc481074873"/>
      <w:bookmarkStart w:id="317" w:name="_Toc512519525"/>
      <w:bookmarkStart w:id="318" w:name="_Toc514507557"/>
      <w:proofErr w:type="spellStart"/>
      <w:r>
        <w:rPr>
          <w:rFonts w:hint="eastAsia"/>
        </w:rPr>
        <w:t>报告期末发起式基金发起资金持有份额情况</w:t>
      </w:r>
      <w:bookmarkEnd w:id="313"/>
      <w:bookmarkEnd w:id="314"/>
      <w:bookmarkEnd w:id="315"/>
      <w:bookmarkEnd w:id="316"/>
      <w:bookmarkEnd w:id="317"/>
      <w:bookmarkEnd w:id="318"/>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395"/>
        <w:gridCol w:w="1727"/>
        <w:gridCol w:w="1395"/>
        <w:gridCol w:w="1727"/>
        <w:gridCol w:w="1240"/>
      </w:tblGrid>
      <w:tr w:rsidR="00856DF9">
        <w:trPr>
          <w:divId w:val="1288854617"/>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856DF9" w:rsidRDefault="00A22890">
            <w:pPr>
              <w:jc w:val="center"/>
            </w:pPr>
            <w:r>
              <w:rPr>
                <w:rFonts w:hint="eastAsia"/>
                <w:color w:val="000000"/>
                <w:szCs w:val="21"/>
              </w:rPr>
              <w:t>发起份额承诺持有期限</w:t>
            </w:r>
            <w:r>
              <w:rPr>
                <w:rFonts w:ascii="宋体" w:hAnsi="宋体" w:hint="eastAsia"/>
                <w:color w:val="000000"/>
              </w:rPr>
              <w:t xml:space="preserve"> </w:t>
            </w:r>
          </w:p>
        </w:tc>
      </w:tr>
      <w:tr w:rsidR="00856DF9">
        <w:trPr>
          <w:divId w:val="128885461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adjustRightInd w:val="0"/>
              <w:snapToGrid w:val="0"/>
              <w:spacing w:line="360" w:lineRule="exact"/>
            </w:pPr>
            <w:r>
              <w:rPr>
                <w:rFonts w:hint="eastAsia"/>
                <w:color w:val="000000"/>
                <w:szCs w:val="21"/>
              </w:rPr>
              <w:lastRenderedPageBreak/>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1.62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1.62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3年</w:t>
            </w:r>
          </w:p>
        </w:tc>
      </w:tr>
      <w:tr w:rsidR="00856DF9">
        <w:trPr>
          <w:divId w:val="128885461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r>
      <w:tr w:rsidR="00856DF9">
        <w:trPr>
          <w:divId w:val="128885461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r>
      <w:tr w:rsidR="00856DF9">
        <w:trPr>
          <w:divId w:val="128885461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r>
      <w:tr w:rsidR="00856DF9">
        <w:trPr>
          <w:divId w:val="128885461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w:t>
            </w:r>
          </w:p>
        </w:tc>
      </w:tr>
      <w:tr w:rsidR="00856DF9">
        <w:trPr>
          <w:divId w:val="1288854617"/>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1.62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10,000,208.33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1.62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56DF9" w:rsidRDefault="00A22890">
            <w:pPr>
              <w:widowControl/>
              <w:jc w:val="right"/>
            </w:pPr>
            <w:r>
              <w:rPr>
                <w:rFonts w:ascii="宋体" w:hAnsi="宋体" w:hint="eastAsia"/>
                <w:color w:val="000000"/>
                <w:szCs w:val="21"/>
              </w:rPr>
              <w:t>3年</w:t>
            </w:r>
          </w:p>
        </w:tc>
      </w:tr>
    </w:tbl>
    <w:p w:rsidR="00856DF9" w:rsidRDefault="00A22890">
      <w:pPr>
        <w:pStyle w:val="XBRLTitle1"/>
        <w:spacing w:before="156" w:line="360" w:lineRule="auto"/>
        <w:ind w:left="425"/>
      </w:pPr>
      <w:bookmarkStart w:id="319" w:name="_Toc512519526"/>
      <w:bookmarkStart w:id="320" w:name="_Toc490050046"/>
      <w:bookmarkStart w:id="321" w:name="_Toc481075094"/>
      <w:bookmarkStart w:id="322" w:name="_Toc479856294"/>
      <w:bookmarkStart w:id="323" w:name="_Toc514178710"/>
      <w:bookmarkStart w:id="324" w:name="m701"/>
      <w:proofErr w:type="spellStart"/>
      <w:r>
        <w:rPr>
          <w:rFonts w:hint="eastAsia"/>
        </w:rPr>
        <w:t>影响投资者决策的其他重要信息</w:t>
      </w:r>
      <w:bookmarkEnd w:id="319"/>
      <w:bookmarkEnd w:id="320"/>
      <w:bookmarkEnd w:id="321"/>
      <w:bookmarkEnd w:id="322"/>
      <w:bookmarkEnd w:id="323"/>
      <w:proofErr w:type="spellEnd"/>
      <w:r>
        <w:rPr>
          <w:rFonts w:hint="eastAsia"/>
          <w:lang w:eastAsia="zh-CN"/>
        </w:rPr>
        <w:t xml:space="preserve"> </w:t>
      </w:r>
    </w:p>
    <w:p w:rsidR="00856DF9" w:rsidRDefault="00A22890">
      <w:pPr>
        <w:pStyle w:val="XBRLTitle2"/>
        <w:spacing w:before="156" w:line="360" w:lineRule="auto"/>
        <w:ind w:left="454"/>
      </w:pPr>
      <w:bookmarkStart w:id="325" w:name="_Toc512519527"/>
      <w:bookmarkStart w:id="326" w:name="_Toc481075095"/>
      <w:bookmarkStart w:id="327" w:name="_Toc490050047"/>
      <w:bookmarkStart w:id="328" w:name="_Toc514178711"/>
      <w:r>
        <w:rPr>
          <w:rFonts w:hint="eastAsia"/>
          <w:kern w:val="0"/>
        </w:rPr>
        <w:t>报告期内单一投资者持有基金份额比例达到或超过20%的情况</w:t>
      </w:r>
      <w:bookmarkEnd w:id="325"/>
      <w:bookmarkEnd w:id="326"/>
      <w:bookmarkEnd w:id="327"/>
      <w:bookmarkEnd w:id="328"/>
      <w:r>
        <w:rPr>
          <w:rFonts w:hint="eastAsia"/>
          <w:kern w:val="0"/>
          <w:lang w:eastAsia="zh-CN"/>
        </w:rPr>
        <w:t xml:space="preserve"> </w:t>
      </w:r>
    </w:p>
    <w:bookmarkEnd w:id="18"/>
    <w:bookmarkEnd w:id="32"/>
    <w:bookmarkEnd w:id="33"/>
    <w:p w:rsidR="00856DF9" w:rsidRDefault="00A22890">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856DF9" w:rsidRDefault="00A22890">
      <w:pPr>
        <w:pStyle w:val="XBRLTitle1"/>
        <w:spacing w:before="156" w:line="360" w:lineRule="auto"/>
        <w:ind w:left="425"/>
      </w:pPr>
      <w:bookmarkStart w:id="329" w:name="_Toc512519529"/>
      <w:bookmarkStart w:id="330" w:name="_Toc490050049"/>
      <w:bookmarkStart w:id="331" w:name="_Toc481075097"/>
      <w:bookmarkStart w:id="332" w:name="_Toc438646481"/>
      <w:bookmarkStart w:id="333" w:name="_Toc514178713"/>
      <w:bookmarkEnd w:id="324"/>
      <w:proofErr w:type="spellStart"/>
      <w:r>
        <w:rPr>
          <w:rFonts w:hint="eastAsia"/>
        </w:rPr>
        <w:t>备查文件目录</w:t>
      </w:r>
      <w:bookmarkEnd w:id="329"/>
      <w:bookmarkEnd w:id="330"/>
      <w:bookmarkEnd w:id="331"/>
      <w:bookmarkEnd w:id="332"/>
      <w:bookmarkEnd w:id="333"/>
      <w:proofErr w:type="spellEnd"/>
      <w:r>
        <w:rPr>
          <w:rFonts w:hint="eastAsia"/>
        </w:rPr>
        <w:t xml:space="preserve"> </w:t>
      </w:r>
    </w:p>
    <w:p w:rsidR="00856DF9" w:rsidRDefault="00A22890">
      <w:pPr>
        <w:pStyle w:val="XBRLTitle2"/>
        <w:spacing w:before="156" w:line="360" w:lineRule="auto"/>
        <w:ind w:left="454"/>
      </w:pPr>
      <w:bookmarkStart w:id="334" w:name="_Toc438646482"/>
      <w:bookmarkStart w:id="335" w:name="_Toc512519530"/>
      <w:bookmarkStart w:id="336" w:name="_Toc481075098"/>
      <w:bookmarkStart w:id="337" w:name="_Toc490050050"/>
      <w:bookmarkStart w:id="338" w:name="_Toc514178714"/>
      <w:bookmarkStart w:id="339" w:name="m801_01_1733"/>
      <w:proofErr w:type="spellStart"/>
      <w:r>
        <w:rPr>
          <w:rFonts w:hint="eastAsia"/>
        </w:rPr>
        <w:t>备查文件目录</w:t>
      </w:r>
      <w:bookmarkEnd w:id="334"/>
      <w:bookmarkEnd w:id="335"/>
      <w:bookmarkEnd w:id="336"/>
      <w:bookmarkEnd w:id="337"/>
      <w:bookmarkEnd w:id="338"/>
      <w:proofErr w:type="spellEnd"/>
      <w:r>
        <w:rPr>
          <w:rFonts w:hint="eastAsia"/>
        </w:rPr>
        <w:t xml:space="preserve"> </w:t>
      </w:r>
    </w:p>
    <w:p w:rsidR="00856DF9" w:rsidRDefault="00A22890">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)中国证监会准予摩根纳斯达克100指数型发起式证券投资基金(QDII)募集注册的文件</w:t>
      </w:r>
      <w:r>
        <w:rPr>
          <w:rFonts w:ascii="宋体" w:hAnsi="宋体" w:cs="宋体" w:hint="eastAsia"/>
          <w:color w:val="000000"/>
          <w:kern w:val="0"/>
        </w:rPr>
        <w:br/>
        <w:t xml:space="preserve">　　(二) 摩根纳斯达克100指数型发起式证券投资基金(QDII)基金合同</w:t>
      </w:r>
      <w:r>
        <w:rPr>
          <w:rFonts w:ascii="宋体" w:hAnsi="宋体" w:cs="宋体" w:hint="eastAsia"/>
          <w:color w:val="000000"/>
          <w:kern w:val="0"/>
        </w:rPr>
        <w:br/>
        <w:t xml:space="preserve">　　(三) 摩根纳斯达克100指数型发起式证券投资基金(QDII)托管协议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856DF9" w:rsidRDefault="00A22890">
      <w:pPr>
        <w:pStyle w:val="XBRLTitle2"/>
        <w:spacing w:before="156" w:line="360" w:lineRule="auto"/>
        <w:ind w:left="454"/>
      </w:pPr>
      <w:bookmarkStart w:id="340" w:name="_Toc438646483"/>
      <w:bookmarkStart w:id="341" w:name="_Toc512519531"/>
      <w:bookmarkStart w:id="342" w:name="_Toc481075099"/>
      <w:bookmarkStart w:id="343" w:name="_Toc490050051"/>
      <w:bookmarkStart w:id="344" w:name="_Toc514178715"/>
      <w:bookmarkStart w:id="345" w:name="m801_01_1734"/>
      <w:bookmarkEnd w:id="339"/>
      <w:proofErr w:type="spellStart"/>
      <w:r>
        <w:rPr>
          <w:rFonts w:hint="eastAsia"/>
        </w:rPr>
        <w:t>存放地点</w:t>
      </w:r>
      <w:bookmarkEnd w:id="340"/>
      <w:bookmarkEnd w:id="341"/>
      <w:bookmarkEnd w:id="342"/>
      <w:bookmarkEnd w:id="343"/>
      <w:bookmarkEnd w:id="344"/>
      <w:proofErr w:type="spellEnd"/>
      <w:r>
        <w:rPr>
          <w:rFonts w:hint="eastAsia"/>
        </w:rPr>
        <w:t xml:space="preserve"> </w:t>
      </w:r>
    </w:p>
    <w:p w:rsidR="00856DF9" w:rsidRDefault="00A22890">
      <w:pPr>
        <w:spacing w:line="360" w:lineRule="auto"/>
        <w:ind w:firstLineChars="200" w:firstLine="420"/>
        <w:jc w:val="left"/>
      </w:pPr>
      <w:r>
        <w:rPr>
          <w:rFonts w:ascii="宋体" w:hAnsi="宋体" w:cs="宋体" w:hint="eastAsia"/>
          <w:color w:val="000000"/>
          <w:kern w:val="0"/>
        </w:rPr>
        <w:t>基金管理人或基金托管人住所。</w:t>
      </w:r>
    </w:p>
    <w:p w:rsidR="00856DF9" w:rsidRDefault="00A22890">
      <w:pPr>
        <w:pStyle w:val="XBRLTitle2"/>
        <w:spacing w:before="156" w:line="360" w:lineRule="auto"/>
        <w:ind w:left="454"/>
      </w:pPr>
      <w:bookmarkStart w:id="346" w:name="_Toc438646484"/>
      <w:bookmarkStart w:id="347" w:name="_Toc512519532"/>
      <w:bookmarkStart w:id="348" w:name="_Toc481075100"/>
      <w:bookmarkStart w:id="349" w:name="_Toc490050052"/>
      <w:bookmarkStart w:id="350" w:name="_Toc514178716"/>
      <w:bookmarkStart w:id="351" w:name="m801_01_1735"/>
      <w:bookmarkEnd w:id="345"/>
      <w:proofErr w:type="spellStart"/>
      <w:r>
        <w:rPr>
          <w:rFonts w:hint="eastAsia"/>
        </w:rPr>
        <w:t>查阅方式</w:t>
      </w:r>
      <w:bookmarkEnd w:id="346"/>
      <w:bookmarkEnd w:id="347"/>
      <w:bookmarkEnd w:id="348"/>
      <w:bookmarkEnd w:id="349"/>
      <w:bookmarkEnd w:id="350"/>
      <w:proofErr w:type="spellEnd"/>
      <w:r>
        <w:rPr>
          <w:rFonts w:hint="eastAsia"/>
        </w:rPr>
        <w:t xml:space="preserve"> </w:t>
      </w:r>
    </w:p>
    <w:p w:rsidR="00856DF9" w:rsidRDefault="00A22890">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1"/>
    <w:p w:rsidR="00856DF9" w:rsidRDefault="00A22890">
      <w:pPr>
        <w:spacing w:line="360" w:lineRule="auto"/>
        <w:ind w:firstLineChars="600" w:firstLine="1687"/>
        <w:jc w:val="left"/>
      </w:pPr>
      <w:r>
        <w:rPr>
          <w:rFonts w:ascii="宋体" w:hAnsi="宋体" w:hint="eastAsia"/>
          <w:b/>
          <w:bCs/>
          <w:sz w:val="28"/>
          <w:szCs w:val="30"/>
        </w:rPr>
        <w:t xml:space="preserve">　 </w:t>
      </w:r>
    </w:p>
    <w:p w:rsidR="00856DF9" w:rsidRDefault="00A22890">
      <w:pPr>
        <w:spacing w:line="360" w:lineRule="auto"/>
        <w:ind w:firstLineChars="600" w:firstLine="1687"/>
        <w:jc w:val="left"/>
      </w:pPr>
      <w:r>
        <w:rPr>
          <w:rFonts w:ascii="宋体" w:hAnsi="宋体" w:hint="eastAsia"/>
          <w:b/>
          <w:bCs/>
          <w:sz w:val="28"/>
          <w:szCs w:val="30"/>
        </w:rPr>
        <w:t xml:space="preserve">　 </w:t>
      </w:r>
    </w:p>
    <w:p w:rsidR="00856DF9" w:rsidRDefault="00A22890">
      <w:pPr>
        <w:spacing w:line="360" w:lineRule="auto"/>
        <w:ind w:firstLineChars="600" w:firstLine="1446"/>
        <w:jc w:val="right"/>
      </w:pPr>
      <w:r>
        <w:rPr>
          <w:rFonts w:ascii="宋体" w:hAnsi="宋体" w:hint="eastAsia"/>
          <w:b/>
          <w:bCs/>
          <w:sz w:val="24"/>
          <w:szCs w:val="24"/>
        </w:rPr>
        <w:lastRenderedPageBreak/>
        <w:t>摩根基金管理（中国）有限公司</w:t>
      </w:r>
    </w:p>
    <w:p w:rsidR="00856DF9" w:rsidRDefault="00A22890">
      <w:pPr>
        <w:spacing w:line="360" w:lineRule="auto"/>
        <w:ind w:firstLineChars="600" w:firstLine="1446"/>
        <w:jc w:val="right"/>
      </w:pPr>
      <w:r>
        <w:rPr>
          <w:rFonts w:ascii="宋体" w:hAnsi="宋体" w:hint="eastAsia"/>
          <w:b/>
          <w:bCs/>
          <w:sz w:val="24"/>
          <w:szCs w:val="24"/>
        </w:rPr>
        <w:t>2025年4月22日</w:t>
      </w:r>
      <w:bookmarkEnd w:id="19"/>
    </w:p>
    <w:sectPr w:rsidR="00856DF9">
      <w:headerReference w:type="default" r:id="rId12"/>
      <w:footerReference w:type="defaul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DF9" w:rsidRDefault="00A22890">
      <w:pPr>
        <w:rPr>
          <w:szCs w:val="21"/>
        </w:rPr>
      </w:pPr>
      <w:r>
        <w:rPr>
          <w:szCs w:val="21"/>
        </w:rPr>
        <w:separator/>
      </w:r>
      <w:r>
        <w:rPr>
          <w:szCs w:val="21"/>
        </w:rPr>
        <w:t xml:space="preserve"> </w:t>
      </w:r>
    </w:p>
  </w:endnote>
  <w:endnote w:type="continuationSeparator" w:id="0">
    <w:p w:rsidR="00856DF9" w:rsidRDefault="00A22890">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F9" w:rsidRDefault="00A22890">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E46AC8">
      <w:rPr>
        <w:rFonts w:ascii="宋体" w:hAnsi="宋体"/>
        <w:noProof/>
        <w:sz w:val="18"/>
        <w:szCs w:val="18"/>
      </w:rPr>
      <w:t>16</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E46AC8">
      <w:rPr>
        <w:rFonts w:ascii="宋体" w:hAnsi="宋体"/>
        <w:noProof/>
        <w:sz w:val="18"/>
        <w:szCs w:val="18"/>
      </w:rPr>
      <w:t>16</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DF9" w:rsidRDefault="00A22890">
      <w:pPr>
        <w:rPr>
          <w:szCs w:val="21"/>
        </w:rPr>
      </w:pPr>
      <w:r>
        <w:rPr>
          <w:szCs w:val="21"/>
        </w:rPr>
        <w:separator/>
      </w:r>
      <w:r>
        <w:rPr>
          <w:szCs w:val="21"/>
        </w:rPr>
        <w:t xml:space="preserve"> </w:t>
      </w:r>
    </w:p>
  </w:footnote>
  <w:footnote w:type="continuationSeparator" w:id="0">
    <w:p w:rsidR="00856DF9" w:rsidRDefault="00A22890">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DF9" w:rsidRDefault="00A22890">
    <w:pPr>
      <w:pStyle w:val="a8"/>
      <w:jc w:val="right"/>
    </w:pPr>
    <w:r>
      <w:rPr>
        <w:rFonts w:ascii="宋体" w:hAnsi="宋体" w:hint="eastAsia"/>
      </w:rPr>
      <w:t>摩根纳斯达克100指数型发起式证券投资基金(QDII)2025年第1季度报告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5841"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90"/>
    <w:rsid w:val="001B516D"/>
    <w:rsid w:val="00856DF9"/>
    <w:rsid w:val="00A22890"/>
    <w:rsid w:val="00E46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宋体" w:eastAsia="宋体" w:hAnsi="宋体" w:cs="Times New Roman" w:hint="eastAsia"/>
      <w:b/>
      <w:bCs/>
      <w:sz w:val="32"/>
      <w:szCs w:val="32"/>
    </w:rPr>
  </w:style>
  <w:style w:type="character" w:customStyle="1" w:styleId="16">
    <w:name w:val="副标题 字符1"/>
    <w:link w:val="ae"/>
    <w:locked/>
    <w:rPr>
      <w:rFonts w:ascii="宋体" w:eastAsia="宋体" w:hAnsi="宋体" w:cs="Times New Roman" w:hint="eastAsia"/>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5369">
      <w:marLeft w:val="0"/>
      <w:marRight w:val="0"/>
      <w:marTop w:val="0"/>
      <w:marBottom w:val="0"/>
      <w:divBdr>
        <w:top w:val="none" w:sz="0" w:space="0" w:color="auto"/>
        <w:left w:val="none" w:sz="0" w:space="0" w:color="auto"/>
        <w:bottom w:val="none" w:sz="0" w:space="0" w:color="auto"/>
        <w:right w:val="none" w:sz="0" w:space="0" w:color="auto"/>
      </w:divBdr>
    </w:div>
    <w:div w:id="182670495">
      <w:marLeft w:val="0"/>
      <w:marRight w:val="0"/>
      <w:marTop w:val="0"/>
      <w:marBottom w:val="0"/>
      <w:divBdr>
        <w:top w:val="none" w:sz="0" w:space="0" w:color="auto"/>
        <w:left w:val="none" w:sz="0" w:space="0" w:color="auto"/>
        <w:bottom w:val="none" w:sz="0" w:space="0" w:color="auto"/>
        <w:right w:val="none" w:sz="0" w:space="0" w:color="auto"/>
      </w:divBdr>
    </w:div>
    <w:div w:id="294796295">
      <w:marLeft w:val="0"/>
      <w:marRight w:val="0"/>
      <w:marTop w:val="0"/>
      <w:marBottom w:val="0"/>
      <w:divBdr>
        <w:top w:val="none" w:sz="0" w:space="0" w:color="auto"/>
        <w:left w:val="none" w:sz="0" w:space="0" w:color="auto"/>
        <w:bottom w:val="none" w:sz="0" w:space="0" w:color="auto"/>
        <w:right w:val="none" w:sz="0" w:space="0" w:color="auto"/>
      </w:divBdr>
    </w:div>
    <w:div w:id="331640551">
      <w:marLeft w:val="0"/>
      <w:marRight w:val="0"/>
      <w:marTop w:val="0"/>
      <w:marBottom w:val="0"/>
      <w:divBdr>
        <w:top w:val="none" w:sz="0" w:space="0" w:color="auto"/>
        <w:left w:val="none" w:sz="0" w:space="0" w:color="auto"/>
        <w:bottom w:val="none" w:sz="0" w:space="0" w:color="auto"/>
        <w:right w:val="none" w:sz="0" w:space="0" w:color="auto"/>
      </w:divBdr>
    </w:div>
    <w:div w:id="552349131">
      <w:marLeft w:val="0"/>
      <w:marRight w:val="0"/>
      <w:marTop w:val="0"/>
      <w:marBottom w:val="0"/>
      <w:divBdr>
        <w:top w:val="none" w:sz="0" w:space="0" w:color="auto"/>
        <w:left w:val="none" w:sz="0" w:space="0" w:color="auto"/>
        <w:bottom w:val="none" w:sz="0" w:space="0" w:color="auto"/>
        <w:right w:val="none" w:sz="0" w:space="0" w:color="auto"/>
      </w:divBdr>
    </w:div>
    <w:div w:id="605120432">
      <w:marLeft w:val="0"/>
      <w:marRight w:val="0"/>
      <w:marTop w:val="0"/>
      <w:marBottom w:val="0"/>
      <w:divBdr>
        <w:top w:val="none" w:sz="0" w:space="0" w:color="auto"/>
        <w:left w:val="none" w:sz="0" w:space="0" w:color="auto"/>
        <w:bottom w:val="none" w:sz="0" w:space="0" w:color="auto"/>
        <w:right w:val="none" w:sz="0" w:space="0" w:color="auto"/>
      </w:divBdr>
    </w:div>
    <w:div w:id="638193996">
      <w:marLeft w:val="0"/>
      <w:marRight w:val="0"/>
      <w:marTop w:val="0"/>
      <w:marBottom w:val="0"/>
      <w:divBdr>
        <w:top w:val="none" w:sz="0" w:space="0" w:color="auto"/>
        <w:left w:val="none" w:sz="0" w:space="0" w:color="auto"/>
        <w:bottom w:val="none" w:sz="0" w:space="0" w:color="auto"/>
        <w:right w:val="none" w:sz="0" w:space="0" w:color="auto"/>
      </w:divBdr>
      <w:divsChild>
        <w:div w:id="1962152492">
          <w:marLeft w:val="0"/>
          <w:marRight w:val="0"/>
          <w:marTop w:val="0"/>
          <w:marBottom w:val="0"/>
          <w:divBdr>
            <w:top w:val="none" w:sz="0" w:space="0" w:color="auto"/>
            <w:left w:val="none" w:sz="0" w:space="0" w:color="auto"/>
            <w:bottom w:val="none" w:sz="0" w:space="0" w:color="auto"/>
            <w:right w:val="none" w:sz="0" w:space="0" w:color="auto"/>
          </w:divBdr>
        </w:div>
      </w:divsChild>
    </w:div>
    <w:div w:id="687098711">
      <w:marLeft w:val="0"/>
      <w:marRight w:val="0"/>
      <w:marTop w:val="0"/>
      <w:marBottom w:val="0"/>
      <w:divBdr>
        <w:top w:val="none" w:sz="0" w:space="0" w:color="auto"/>
        <w:left w:val="none" w:sz="0" w:space="0" w:color="auto"/>
        <w:bottom w:val="none" w:sz="0" w:space="0" w:color="auto"/>
        <w:right w:val="none" w:sz="0" w:space="0" w:color="auto"/>
      </w:divBdr>
    </w:div>
    <w:div w:id="798643214">
      <w:marLeft w:val="0"/>
      <w:marRight w:val="0"/>
      <w:marTop w:val="0"/>
      <w:marBottom w:val="0"/>
      <w:divBdr>
        <w:top w:val="none" w:sz="0" w:space="0" w:color="auto"/>
        <w:left w:val="none" w:sz="0" w:space="0" w:color="auto"/>
        <w:bottom w:val="none" w:sz="0" w:space="0" w:color="auto"/>
        <w:right w:val="none" w:sz="0" w:space="0" w:color="auto"/>
      </w:divBdr>
    </w:div>
    <w:div w:id="812986065">
      <w:marLeft w:val="0"/>
      <w:marRight w:val="0"/>
      <w:marTop w:val="0"/>
      <w:marBottom w:val="0"/>
      <w:divBdr>
        <w:top w:val="none" w:sz="0" w:space="0" w:color="auto"/>
        <w:left w:val="none" w:sz="0" w:space="0" w:color="auto"/>
        <w:bottom w:val="none" w:sz="0" w:space="0" w:color="auto"/>
        <w:right w:val="none" w:sz="0" w:space="0" w:color="auto"/>
      </w:divBdr>
    </w:div>
    <w:div w:id="923489410">
      <w:marLeft w:val="0"/>
      <w:marRight w:val="0"/>
      <w:marTop w:val="0"/>
      <w:marBottom w:val="0"/>
      <w:divBdr>
        <w:top w:val="none" w:sz="0" w:space="0" w:color="auto"/>
        <w:left w:val="none" w:sz="0" w:space="0" w:color="auto"/>
        <w:bottom w:val="none" w:sz="0" w:space="0" w:color="auto"/>
        <w:right w:val="none" w:sz="0" w:space="0" w:color="auto"/>
      </w:divBdr>
      <w:divsChild>
        <w:div w:id="535431040">
          <w:marLeft w:val="0"/>
          <w:marRight w:val="0"/>
          <w:marTop w:val="0"/>
          <w:marBottom w:val="0"/>
          <w:divBdr>
            <w:top w:val="none" w:sz="0" w:space="0" w:color="auto"/>
            <w:left w:val="none" w:sz="0" w:space="0" w:color="auto"/>
            <w:bottom w:val="none" w:sz="0" w:space="0" w:color="auto"/>
            <w:right w:val="none" w:sz="0" w:space="0" w:color="auto"/>
          </w:divBdr>
        </w:div>
      </w:divsChild>
    </w:div>
    <w:div w:id="938219862">
      <w:marLeft w:val="0"/>
      <w:marRight w:val="0"/>
      <w:marTop w:val="0"/>
      <w:marBottom w:val="0"/>
      <w:divBdr>
        <w:top w:val="none" w:sz="0" w:space="0" w:color="auto"/>
        <w:left w:val="none" w:sz="0" w:space="0" w:color="auto"/>
        <w:bottom w:val="none" w:sz="0" w:space="0" w:color="auto"/>
        <w:right w:val="none" w:sz="0" w:space="0" w:color="auto"/>
      </w:divBdr>
    </w:div>
    <w:div w:id="997538321">
      <w:marLeft w:val="0"/>
      <w:marRight w:val="0"/>
      <w:marTop w:val="0"/>
      <w:marBottom w:val="0"/>
      <w:divBdr>
        <w:top w:val="none" w:sz="0" w:space="0" w:color="auto"/>
        <w:left w:val="none" w:sz="0" w:space="0" w:color="auto"/>
        <w:bottom w:val="none" w:sz="0" w:space="0" w:color="auto"/>
        <w:right w:val="none" w:sz="0" w:space="0" w:color="auto"/>
      </w:divBdr>
    </w:div>
    <w:div w:id="1017729884">
      <w:marLeft w:val="0"/>
      <w:marRight w:val="0"/>
      <w:marTop w:val="0"/>
      <w:marBottom w:val="0"/>
      <w:divBdr>
        <w:top w:val="none" w:sz="0" w:space="0" w:color="auto"/>
        <w:left w:val="none" w:sz="0" w:space="0" w:color="auto"/>
        <w:bottom w:val="none" w:sz="0" w:space="0" w:color="auto"/>
        <w:right w:val="none" w:sz="0" w:space="0" w:color="auto"/>
      </w:divBdr>
    </w:div>
    <w:div w:id="1061829923">
      <w:marLeft w:val="0"/>
      <w:marRight w:val="0"/>
      <w:marTop w:val="0"/>
      <w:marBottom w:val="0"/>
      <w:divBdr>
        <w:top w:val="none" w:sz="0" w:space="0" w:color="auto"/>
        <w:left w:val="none" w:sz="0" w:space="0" w:color="auto"/>
        <w:bottom w:val="none" w:sz="0" w:space="0" w:color="auto"/>
        <w:right w:val="none" w:sz="0" w:space="0" w:color="auto"/>
      </w:divBdr>
      <w:divsChild>
        <w:div w:id="1044329047">
          <w:marLeft w:val="0"/>
          <w:marRight w:val="0"/>
          <w:marTop w:val="0"/>
          <w:marBottom w:val="0"/>
          <w:divBdr>
            <w:top w:val="none" w:sz="0" w:space="0" w:color="auto"/>
            <w:left w:val="none" w:sz="0" w:space="0" w:color="auto"/>
            <w:bottom w:val="none" w:sz="0" w:space="0" w:color="auto"/>
            <w:right w:val="none" w:sz="0" w:space="0" w:color="auto"/>
          </w:divBdr>
        </w:div>
      </w:divsChild>
    </w:div>
    <w:div w:id="1081442015">
      <w:marLeft w:val="0"/>
      <w:marRight w:val="0"/>
      <w:marTop w:val="0"/>
      <w:marBottom w:val="0"/>
      <w:divBdr>
        <w:top w:val="none" w:sz="0" w:space="0" w:color="auto"/>
        <w:left w:val="none" w:sz="0" w:space="0" w:color="auto"/>
        <w:bottom w:val="none" w:sz="0" w:space="0" w:color="auto"/>
        <w:right w:val="none" w:sz="0" w:space="0" w:color="auto"/>
      </w:divBdr>
    </w:div>
    <w:div w:id="1267031861">
      <w:marLeft w:val="0"/>
      <w:marRight w:val="0"/>
      <w:marTop w:val="0"/>
      <w:marBottom w:val="0"/>
      <w:divBdr>
        <w:top w:val="none" w:sz="0" w:space="0" w:color="auto"/>
        <w:left w:val="none" w:sz="0" w:space="0" w:color="auto"/>
        <w:bottom w:val="none" w:sz="0" w:space="0" w:color="auto"/>
        <w:right w:val="none" w:sz="0" w:space="0" w:color="auto"/>
      </w:divBdr>
    </w:div>
    <w:div w:id="1288854617">
      <w:marLeft w:val="0"/>
      <w:marRight w:val="0"/>
      <w:marTop w:val="0"/>
      <w:marBottom w:val="0"/>
      <w:divBdr>
        <w:top w:val="none" w:sz="0" w:space="0" w:color="auto"/>
        <w:left w:val="none" w:sz="0" w:space="0" w:color="auto"/>
        <w:bottom w:val="none" w:sz="0" w:space="0" w:color="auto"/>
        <w:right w:val="none" w:sz="0" w:space="0" w:color="auto"/>
      </w:divBdr>
    </w:div>
    <w:div w:id="1481728487">
      <w:marLeft w:val="0"/>
      <w:marRight w:val="0"/>
      <w:marTop w:val="0"/>
      <w:marBottom w:val="0"/>
      <w:divBdr>
        <w:top w:val="none" w:sz="0" w:space="0" w:color="auto"/>
        <w:left w:val="none" w:sz="0" w:space="0" w:color="auto"/>
        <w:bottom w:val="none" w:sz="0" w:space="0" w:color="auto"/>
        <w:right w:val="none" w:sz="0" w:space="0" w:color="auto"/>
      </w:divBdr>
    </w:div>
    <w:div w:id="1517235780">
      <w:marLeft w:val="0"/>
      <w:marRight w:val="0"/>
      <w:marTop w:val="0"/>
      <w:marBottom w:val="0"/>
      <w:divBdr>
        <w:top w:val="none" w:sz="0" w:space="0" w:color="auto"/>
        <w:left w:val="none" w:sz="0" w:space="0" w:color="auto"/>
        <w:bottom w:val="none" w:sz="0" w:space="0" w:color="auto"/>
        <w:right w:val="none" w:sz="0" w:space="0" w:color="auto"/>
      </w:divBdr>
    </w:div>
    <w:div w:id="1526290745">
      <w:marLeft w:val="0"/>
      <w:marRight w:val="0"/>
      <w:marTop w:val="0"/>
      <w:marBottom w:val="0"/>
      <w:divBdr>
        <w:top w:val="none" w:sz="0" w:space="0" w:color="auto"/>
        <w:left w:val="none" w:sz="0" w:space="0" w:color="auto"/>
        <w:bottom w:val="none" w:sz="0" w:space="0" w:color="auto"/>
        <w:right w:val="none" w:sz="0" w:space="0" w:color="auto"/>
      </w:divBdr>
    </w:div>
    <w:div w:id="1542086045">
      <w:marLeft w:val="0"/>
      <w:marRight w:val="0"/>
      <w:marTop w:val="0"/>
      <w:marBottom w:val="0"/>
      <w:divBdr>
        <w:top w:val="none" w:sz="0" w:space="0" w:color="auto"/>
        <w:left w:val="none" w:sz="0" w:space="0" w:color="auto"/>
        <w:bottom w:val="none" w:sz="0" w:space="0" w:color="auto"/>
        <w:right w:val="none" w:sz="0" w:space="0" w:color="auto"/>
      </w:divBdr>
    </w:div>
    <w:div w:id="1639383148">
      <w:marLeft w:val="0"/>
      <w:marRight w:val="0"/>
      <w:marTop w:val="0"/>
      <w:marBottom w:val="0"/>
      <w:divBdr>
        <w:top w:val="none" w:sz="0" w:space="0" w:color="auto"/>
        <w:left w:val="none" w:sz="0" w:space="0" w:color="auto"/>
        <w:bottom w:val="none" w:sz="0" w:space="0" w:color="auto"/>
        <w:right w:val="none" w:sz="0" w:space="0" w:color="auto"/>
      </w:divBdr>
    </w:div>
    <w:div w:id="20678754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EA28D-A8E9-4D38-81B3-B95EBAC1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6302</Words>
  <Characters>3180</Characters>
  <Application>Microsoft Office Word</Application>
  <DocSecurity>0</DocSecurity>
  <Lines>26</Lines>
  <Paragraphs>18</Paragraphs>
  <ScaleCrop>false</ScaleCrop>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Trowa.Ding@FA</cp:lastModifiedBy>
  <cp:revision>4</cp:revision>
  <dcterms:created xsi:type="dcterms:W3CDTF">2025-04-15T12:24:00Z</dcterms:created>
  <dcterms:modified xsi:type="dcterms:W3CDTF">2025-04-21T06:58:00Z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