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0972" w:rsidRDefault="00202E36">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670972" w:rsidRDefault="00202E36">
      <w:pPr>
        <w:spacing w:line="360" w:lineRule="auto"/>
        <w:rPr>
          <w:rFonts w:ascii="宋体" w:hAnsi="宋体"/>
          <w:sz w:val="48"/>
        </w:rPr>
      </w:pPr>
      <w:r>
        <w:rPr>
          <w:rFonts w:ascii="宋体" w:hAnsi="宋体" w:hint="eastAsia"/>
          <w:sz w:val="48"/>
        </w:rPr>
        <w:t xml:space="preserve">　 </w:t>
      </w:r>
    </w:p>
    <w:p w:rsidR="00670972" w:rsidRDefault="00202E36">
      <w:pPr>
        <w:spacing w:line="360" w:lineRule="auto"/>
        <w:jc w:val="center"/>
      </w:pPr>
      <w:r>
        <w:rPr>
          <w:rFonts w:ascii="宋体" w:hAnsi="宋体" w:hint="eastAsia"/>
          <w:b/>
          <w:bCs/>
          <w:color w:val="000000" w:themeColor="text1"/>
          <w:sz w:val="48"/>
          <w:szCs w:val="30"/>
        </w:rPr>
        <w:t>摩根均衡精选混合型证券投资基金</w:t>
      </w:r>
      <w:r>
        <w:rPr>
          <w:rFonts w:ascii="宋体" w:hAnsi="宋体" w:hint="eastAsia"/>
          <w:b/>
          <w:bCs/>
          <w:color w:val="000000" w:themeColor="text1"/>
          <w:sz w:val="48"/>
          <w:szCs w:val="30"/>
        </w:rPr>
        <w:br/>
        <w:t>2025年第1季度报告</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jc w:val="center"/>
      </w:pPr>
      <w:r>
        <w:rPr>
          <w:rFonts w:ascii="宋体" w:hAnsi="宋体" w:hint="eastAsia"/>
          <w:b/>
          <w:bCs/>
          <w:sz w:val="28"/>
          <w:szCs w:val="30"/>
        </w:rPr>
        <w:t>2025年3月31日</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ind w:rightChars="-230" w:right="-483"/>
        <w:jc w:val="center"/>
        <w:rPr>
          <w:rFonts w:ascii="宋体" w:hAnsi="宋体"/>
          <w:sz w:val="28"/>
          <w:szCs w:val="30"/>
        </w:rPr>
      </w:pPr>
      <w:r>
        <w:rPr>
          <w:rFonts w:ascii="宋体" w:hAnsi="宋体" w:hint="eastAsia"/>
          <w:sz w:val="28"/>
          <w:szCs w:val="30"/>
        </w:rPr>
        <w:t xml:space="preserve">　 </w:t>
      </w:r>
      <w:bookmarkStart w:id="7" w:name="_GoBack"/>
      <w:bookmarkEnd w:id="7"/>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jc w:val="center"/>
        <w:rPr>
          <w:rFonts w:ascii="宋体" w:hAnsi="宋体"/>
          <w:sz w:val="28"/>
          <w:szCs w:val="30"/>
        </w:rPr>
      </w:pPr>
      <w:r>
        <w:rPr>
          <w:rFonts w:ascii="宋体" w:hAnsi="宋体" w:hint="eastAsia"/>
          <w:sz w:val="28"/>
          <w:szCs w:val="30"/>
        </w:rPr>
        <w:t xml:space="preserve">　 </w:t>
      </w:r>
    </w:p>
    <w:p w:rsidR="00670972" w:rsidRDefault="00202E36">
      <w:pPr>
        <w:spacing w:line="360" w:lineRule="auto"/>
        <w:ind w:firstLineChars="800" w:firstLine="2249"/>
        <w:jc w:val="left"/>
      </w:pPr>
      <w:r>
        <w:rPr>
          <w:rFonts w:ascii="宋体" w:hAnsi="宋体" w:hint="eastAsia"/>
          <w:b/>
          <w:bCs/>
          <w:sz w:val="28"/>
          <w:szCs w:val="30"/>
        </w:rPr>
        <w:t>基金管理人：摩根基金管理（中国）有限公司</w:t>
      </w:r>
    </w:p>
    <w:p w:rsidR="00670972" w:rsidRDefault="00202E36">
      <w:pPr>
        <w:spacing w:line="360" w:lineRule="auto"/>
        <w:ind w:firstLineChars="800" w:firstLine="2249"/>
        <w:jc w:val="left"/>
      </w:pPr>
      <w:r>
        <w:rPr>
          <w:rFonts w:ascii="宋体" w:hAnsi="宋体" w:hint="eastAsia"/>
          <w:b/>
          <w:bCs/>
          <w:sz w:val="28"/>
          <w:szCs w:val="30"/>
        </w:rPr>
        <w:t>基金托管人：中国光大银行股份有限公司</w:t>
      </w:r>
    </w:p>
    <w:p w:rsidR="00670972" w:rsidRDefault="00202E36">
      <w:pPr>
        <w:spacing w:line="360" w:lineRule="auto"/>
        <w:ind w:firstLineChars="800" w:firstLine="2249"/>
        <w:jc w:val="left"/>
      </w:pPr>
      <w:r>
        <w:rPr>
          <w:rFonts w:ascii="宋体" w:hAnsi="宋体" w:hint="eastAsia"/>
          <w:b/>
          <w:bCs/>
          <w:sz w:val="28"/>
          <w:szCs w:val="30"/>
        </w:rPr>
        <w:t>报告送出日期：2025年4月22日</w:t>
      </w:r>
    </w:p>
    <w:p w:rsidR="00670972" w:rsidRDefault="00202E36">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670972" w:rsidRDefault="00202E36">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基金托管人中国光大银行股份有限公司根据本基金合同规定，于2025年4月21日复核了本报告中的财务指标、净值表现和投资组合报告等内容，保证复核内容不存在虚假记载、误导性陈述或者重大遗漏。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670972" w:rsidRDefault="00202E36">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670972">
        <w:trPr>
          <w:divId w:val="51905127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670972" w:rsidRDefault="00202E36">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szCs w:val="24"/>
                <w:lang w:eastAsia="zh-Hans"/>
              </w:rPr>
              <w:t>摩根均衡精选混合</w:t>
            </w:r>
            <w:r>
              <w:rPr>
                <w:rFonts w:ascii="宋体" w:hAnsi="宋体" w:hint="eastAsia"/>
                <w:lang w:eastAsia="zh-Hans"/>
              </w:rPr>
              <w:t xml:space="preserve"> </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021273</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契约型开放式</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2024年9月3日</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34,299,626.04</w:t>
            </w:r>
            <w:r>
              <w:rPr>
                <w:rFonts w:hint="eastAsia"/>
              </w:rPr>
              <w:t>份</w:t>
            </w:r>
            <w:r>
              <w:rPr>
                <w:rFonts w:ascii="宋体" w:hAnsi="宋体" w:hint="eastAsia"/>
                <w:lang w:eastAsia="zh-Hans"/>
              </w:rPr>
              <w:t xml:space="preserve"> </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本基金主要通过精选个股和风险控制，力争为基金份额持有人获得超越业绩比较基准的收益。</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1.资产配置策略：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60%-95%，其中港股通标的股票的投资比例不超过股票资产的50%。</w:t>
            </w:r>
            <w:r>
              <w:rPr>
                <w:rFonts w:ascii="宋体" w:hAnsi="宋体" w:hint="eastAsia"/>
                <w:lang w:eastAsia="zh-Hans"/>
              </w:rPr>
              <w:br/>
              <w:t>2.股票投资策略：（1）个股投资策略本基金秉承“将风险控制置于收益追求之上”的基本原则，结合中观和微观视角，优选良好的风险收益比个股，构建风格上相对均衡的投资组合。期望在控制风险的前提下，来追求超越市场平均水平的收益，力求实现基金资产</w:t>
            </w:r>
            <w:r>
              <w:rPr>
                <w:rFonts w:ascii="宋体" w:hAnsi="宋体" w:hint="eastAsia"/>
                <w:lang w:eastAsia="zh-Hans"/>
              </w:rPr>
              <w:lastRenderedPageBreak/>
              <w:t>的长期稳定增值。在个股的选择上，本基金坚持以企业价值为评估标准，聚焦于未来几年存在良好的增值可能的公司及由于政策变化或供给关系变化带来的经营预期改善的投资机会。在具体操作上，本基金将从定量和定性的角度综合分析公司的盈利能力以及盈利的确定性、持续性和成长性，重视公司基本面分析，现金流情况及估值合理性，追求良好的风险收益比，精选存在良好的增值可能的标的纳入投资组合。（2）港股通标的股票投资策略本基金可通过内地与香港股票市场交易互联互通机制投资于香港股票市场。本基金将采用与A股市场相同的个股精选策略，从企业盈利能力，盈利的确定性、成长性和持续性等角度入手，精选存在良好的增值可能的港股通标的纳入投资组合。</w:t>
            </w:r>
            <w:r>
              <w:rPr>
                <w:rFonts w:ascii="宋体" w:hAnsi="宋体" w:hint="eastAsia"/>
                <w:lang w:eastAsia="zh-Hans"/>
              </w:rPr>
              <w:br/>
              <w:t>3.其它投资策略：包括：债券投资策略、股指期货投资策略、股票期权投资策略、国债期货投资策略、资产支持证券投资策略、存托凭证投资策略、融资业务策略</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沪深300指数收益率*60%+中证港股通综合指数收益率*20%+银行活期存款利率（税后）*20%</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本基金属于混合型基金产品，预期风险和收益水平高于债券型基金和货币市场基金，低于股票型基金。</w:t>
            </w:r>
            <w:r>
              <w:rPr>
                <w:rFonts w:ascii="宋体" w:hAnsi="宋体" w:hint="eastAsia"/>
                <w:lang w:eastAsia="zh-Hans"/>
              </w:rPr>
              <w:br/>
              <w:t>本基金可投资香港联合交易所上市的股票，将面临港股通机制下因投资环境、投资标的、市场制度以及交易规则等差异带来的特有风险。</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摩根基金管理（中国）有限公司</w:t>
            </w:r>
          </w:p>
        </w:tc>
      </w:tr>
      <w:tr w:rsidR="00670972">
        <w:trPr>
          <w:divId w:val="51905127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lang w:eastAsia="zh-Hans"/>
              </w:rPr>
              <w:t>中国光大银行股份有限公司</w:t>
            </w:r>
          </w:p>
        </w:tc>
      </w:tr>
      <w:tr w:rsidR="00670972">
        <w:trPr>
          <w:divId w:val="51905127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lang w:eastAsia="zh-Hans"/>
              </w:rPr>
              <w:t>摩根均衡精选混合A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lang w:eastAsia="zh-Hans"/>
              </w:rPr>
              <w:t>摩根均衡精选混合C</w:t>
            </w:r>
            <w:r>
              <w:rPr>
                <w:rFonts w:ascii="宋体" w:hAnsi="宋体" w:hint="eastAsia"/>
                <w:kern w:val="0"/>
                <w:sz w:val="20"/>
                <w:lang w:eastAsia="zh-Hans"/>
              </w:rPr>
              <w:t xml:space="preserve"> </w:t>
            </w:r>
          </w:p>
        </w:tc>
      </w:tr>
      <w:tr w:rsidR="00670972">
        <w:trPr>
          <w:divId w:val="51905127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lang w:eastAsia="zh-Hans"/>
              </w:rPr>
              <w:t>021273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lang w:eastAsia="zh-Hans"/>
              </w:rPr>
              <w:t>021274</w:t>
            </w:r>
            <w:r>
              <w:rPr>
                <w:rFonts w:ascii="宋体" w:hAnsi="宋体" w:hint="eastAsia"/>
                <w:kern w:val="0"/>
                <w:sz w:val="20"/>
                <w:lang w:eastAsia="zh-Hans"/>
              </w:rPr>
              <w:t xml:space="preserve"> </w:t>
            </w:r>
          </w:p>
        </w:tc>
      </w:tr>
      <w:bookmarkEnd w:id="34"/>
      <w:bookmarkEnd w:id="33"/>
      <w:tr w:rsidR="00670972">
        <w:trPr>
          <w:divId w:val="51905127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70972" w:rsidRDefault="00202E36">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lang w:eastAsia="zh-Hans"/>
              </w:rPr>
              <w:t>11,894,790.35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lang w:eastAsia="zh-Hans"/>
              </w:rPr>
              <w:t>22,404,835.69</w:t>
            </w:r>
            <w:r>
              <w:rPr>
                <w:rFonts w:hint="eastAsia"/>
              </w:rPr>
              <w:t>份</w:t>
            </w:r>
            <w:r>
              <w:rPr>
                <w:rFonts w:ascii="宋体" w:hAnsi="宋体" w:hint="eastAsia"/>
                <w:lang w:eastAsia="zh-Hans"/>
              </w:rPr>
              <w:t xml:space="preserve"> </w:t>
            </w:r>
          </w:p>
        </w:tc>
      </w:tr>
    </w:tbl>
    <w:p w:rsidR="00670972" w:rsidRDefault="00202E36">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670972" w:rsidRDefault="00202E36">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670972" w:rsidRDefault="00202E36">
      <w:pPr>
        <w:jc w:val="right"/>
        <w:divId w:val="83430239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670972">
        <w:trPr>
          <w:divId w:val="83430239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670972" w:rsidRDefault="00202E36">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670972" w:rsidRDefault="00202E36">
            <w:pPr>
              <w:pStyle w:val="a5"/>
              <w:jc w:val="center"/>
            </w:pPr>
            <w:r>
              <w:rPr>
                <w:rFonts w:hint="eastAsia"/>
                <w:kern w:val="2"/>
                <w:sz w:val="21"/>
                <w:szCs w:val="24"/>
                <w:lang w:eastAsia="zh-Hans"/>
              </w:rPr>
              <w:t xml:space="preserve">报告期（2025年1月1日-2025年3月31日） </w:t>
            </w:r>
          </w:p>
        </w:tc>
      </w:tr>
      <w:tr w:rsidR="00670972">
        <w:trPr>
          <w:divId w:val="83430239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972" w:rsidRDefault="00670972">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670972" w:rsidRDefault="00202E36">
            <w:pPr>
              <w:jc w:val="center"/>
            </w:pPr>
            <w:r>
              <w:rPr>
                <w:rFonts w:ascii="宋体" w:hAnsi="宋体" w:hint="eastAsia"/>
                <w:szCs w:val="24"/>
                <w:lang w:eastAsia="zh-Hans"/>
              </w:rPr>
              <w:t>摩根均衡精选混合A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670972" w:rsidRDefault="00202E36">
            <w:pPr>
              <w:jc w:val="center"/>
            </w:pPr>
            <w:r>
              <w:rPr>
                <w:rFonts w:ascii="宋体" w:hAnsi="宋体" w:hint="eastAsia"/>
                <w:szCs w:val="24"/>
                <w:lang w:eastAsia="zh-Hans"/>
              </w:rPr>
              <w:t>摩根均衡精选混合C</w:t>
            </w:r>
          </w:p>
        </w:tc>
      </w:tr>
      <w:tr w:rsidR="00670972">
        <w:trPr>
          <w:divId w:val="83430239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179,313.14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417,195.54</w:t>
            </w:r>
          </w:p>
        </w:tc>
      </w:tr>
      <w:tr w:rsidR="00670972">
        <w:trPr>
          <w:divId w:val="83430239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838,787.77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2,743,736.05</w:t>
            </w:r>
          </w:p>
        </w:tc>
      </w:tr>
      <w:tr w:rsidR="00670972">
        <w:trPr>
          <w:divId w:val="83430239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0.0668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0.0785</w:t>
            </w:r>
          </w:p>
        </w:tc>
      </w:tr>
      <w:tr w:rsidR="00670972">
        <w:trPr>
          <w:divId w:val="83430239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12,763,041.69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23,971,526.93</w:t>
            </w:r>
          </w:p>
        </w:tc>
      </w:tr>
      <w:tr w:rsidR="00670972">
        <w:trPr>
          <w:divId w:val="83430239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1.0730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70972" w:rsidRDefault="00202E36">
            <w:pPr>
              <w:jc w:val="right"/>
            </w:pPr>
            <w:r>
              <w:rPr>
                <w:rFonts w:ascii="宋体" w:hAnsi="宋体" w:hint="eastAsia"/>
                <w:szCs w:val="24"/>
                <w:lang w:eastAsia="zh-Hans"/>
              </w:rPr>
              <w:t>1.0699</w:t>
            </w:r>
          </w:p>
        </w:tc>
      </w:tr>
    </w:tbl>
    <w:p w:rsidR="00670972" w:rsidRDefault="00202E36">
      <w:pPr>
        <w:wordWrap w:val="0"/>
        <w:spacing w:line="360" w:lineRule="auto"/>
        <w:jc w:val="left"/>
        <w:divId w:val="912736415"/>
      </w:pPr>
      <w:r>
        <w:rPr>
          <w:rFonts w:ascii="宋体" w:hAnsi="宋体" w:hint="eastAsia"/>
          <w:szCs w:val="21"/>
        </w:rPr>
        <w:t>注：本期已实现收益指基金本期利息收入、投资收益、其他收入(不含公允价值变动收益)扣除相</w:t>
      </w:r>
      <w:r>
        <w:rPr>
          <w:rFonts w:ascii="宋体" w:hAnsi="宋体" w:hint="eastAsia"/>
          <w:szCs w:val="21"/>
        </w:rPr>
        <w:lastRenderedPageBreak/>
        <w:t>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670972" w:rsidRDefault="00202E36">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670972" w:rsidRDefault="00202E36">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670972" w:rsidRDefault="00202E36">
      <w:pPr>
        <w:spacing w:line="360" w:lineRule="auto"/>
        <w:jc w:val="center"/>
        <w:divId w:val="231892535"/>
      </w:pPr>
      <w:r>
        <w:rPr>
          <w:rFonts w:ascii="宋体" w:hAnsi="宋体" w:hint="eastAsia"/>
        </w:rPr>
        <w:t>摩根均衡精选混合A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70972">
        <w:trPr>
          <w:divId w:val="23189253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②－④ </w:t>
            </w:r>
          </w:p>
        </w:tc>
      </w:tr>
      <w:tr w:rsidR="00670972">
        <w:trPr>
          <w:divId w:val="2318925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7.06%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2.10%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rsidR="00670972" w:rsidRDefault="00202E36">
            <w:pPr>
              <w:spacing w:line="360" w:lineRule="auto"/>
              <w:jc w:val="right"/>
            </w:pPr>
            <w:r>
              <w:rPr>
                <w:rFonts w:ascii="宋体" w:hAnsi="宋体" w:hint="eastAsia"/>
              </w:rPr>
              <w:t xml:space="preserve">4.96%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0.24% </w:t>
            </w:r>
          </w:p>
        </w:tc>
      </w:tr>
      <w:tr w:rsidR="00670972">
        <w:trPr>
          <w:divId w:val="2318925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7.24%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rsidR="00670972" w:rsidRDefault="00202E36">
            <w:pPr>
              <w:spacing w:line="360" w:lineRule="auto"/>
              <w:jc w:val="right"/>
            </w:pPr>
            <w:r>
              <w:rPr>
                <w:rFonts w:ascii="宋体" w:hAnsi="宋体" w:hint="eastAsia"/>
              </w:rPr>
              <w:t xml:space="preserve">6.63%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-0.14% </w:t>
            </w:r>
          </w:p>
        </w:tc>
      </w:tr>
      <w:tr w:rsidR="00670972">
        <w:trPr>
          <w:divId w:val="2318925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7.30%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18.05%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1.20% </w:t>
            </w:r>
          </w:p>
        </w:tc>
        <w:tc>
          <w:tcPr>
            <w:tcW w:w="728" w:type="pct"/>
            <w:tcBorders>
              <w:top w:val="single" w:sz="4" w:space="0" w:color="auto"/>
              <w:left w:val="single" w:sz="4" w:space="0" w:color="auto"/>
              <w:bottom w:val="single" w:sz="4" w:space="0" w:color="auto"/>
              <w:right w:val="single" w:sz="4" w:space="0" w:color="auto"/>
            </w:tcBorders>
            <w:vAlign w:val="center"/>
            <w:hideMark/>
          </w:tcPr>
          <w:p w:rsidR="00670972" w:rsidRDefault="00202E36">
            <w:pPr>
              <w:spacing w:line="360" w:lineRule="auto"/>
              <w:jc w:val="right"/>
            </w:pPr>
            <w:r>
              <w:rPr>
                <w:rFonts w:ascii="宋体" w:hAnsi="宋体" w:hint="eastAsia"/>
              </w:rPr>
              <w:t xml:space="preserve">-10.75%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-0.37% </w:t>
            </w:r>
          </w:p>
        </w:tc>
      </w:tr>
    </w:tbl>
    <w:p w:rsidR="00670972" w:rsidRDefault="00202E36">
      <w:pPr>
        <w:spacing w:line="360" w:lineRule="auto"/>
        <w:jc w:val="center"/>
        <w:divId w:val="1928147734"/>
      </w:pPr>
      <w:r>
        <w:rPr>
          <w:rFonts w:ascii="宋体" w:hAnsi="宋体" w:hint="eastAsia"/>
        </w:rPr>
        <w:t>摩根均衡精选混合C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70972">
        <w:trPr>
          <w:divId w:val="192814773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 xml:space="preserve">②－④ </w:t>
            </w:r>
          </w:p>
        </w:tc>
      </w:tr>
      <w:tr w:rsidR="00670972">
        <w:trPr>
          <w:divId w:val="19281477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6.93%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2.10%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rsidR="00670972" w:rsidRDefault="00202E36">
            <w:pPr>
              <w:spacing w:line="360" w:lineRule="auto"/>
              <w:jc w:val="right"/>
            </w:pPr>
            <w:r>
              <w:rPr>
                <w:rFonts w:ascii="宋体" w:hAnsi="宋体" w:hint="eastAsia"/>
              </w:rPr>
              <w:t xml:space="preserve">4.83%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0.24% </w:t>
            </w:r>
          </w:p>
        </w:tc>
      </w:tr>
      <w:tr w:rsidR="00670972">
        <w:trPr>
          <w:divId w:val="19281477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6.97%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0.61%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1.03% </w:t>
            </w:r>
          </w:p>
        </w:tc>
        <w:tc>
          <w:tcPr>
            <w:tcW w:w="728" w:type="pct"/>
            <w:tcBorders>
              <w:top w:val="single" w:sz="4" w:space="0" w:color="auto"/>
              <w:left w:val="single" w:sz="4" w:space="0" w:color="auto"/>
              <w:bottom w:val="single" w:sz="4" w:space="0" w:color="auto"/>
              <w:right w:val="single" w:sz="4" w:space="0" w:color="auto"/>
            </w:tcBorders>
            <w:vAlign w:val="center"/>
            <w:hideMark/>
          </w:tcPr>
          <w:p w:rsidR="00670972" w:rsidRDefault="00202E36">
            <w:pPr>
              <w:spacing w:line="360" w:lineRule="auto"/>
              <w:jc w:val="right"/>
            </w:pPr>
            <w:r>
              <w:rPr>
                <w:rFonts w:ascii="宋体" w:hAnsi="宋体" w:hint="eastAsia"/>
              </w:rPr>
              <w:t xml:space="preserve">6.36%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-0.14% </w:t>
            </w:r>
          </w:p>
        </w:tc>
      </w:tr>
      <w:tr w:rsidR="00670972">
        <w:trPr>
          <w:divId w:val="192814773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6.99%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18.05%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1.20% </w:t>
            </w:r>
          </w:p>
        </w:tc>
        <w:tc>
          <w:tcPr>
            <w:tcW w:w="728" w:type="pct"/>
            <w:tcBorders>
              <w:top w:val="single" w:sz="4" w:space="0" w:color="auto"/>
              <w:left w:val="single" w:sz="4" w:space="0" w:color="auto"/>
              <w:bottom w:val="single" w:sz="4" w:space="0" w:color="auto"/>
              <w:right w:val="single" w:sz="4" w:space="0" w:color="auto"/>
            </w:tcBorders>
            <w:vAlign w:val="center"/>
            <w:hideMark/>
          </w:tcPr>
          <w:p w:rsidR="00670972" w:rsidRDefault="00202E36">
            <w:pPr>
              <w:spacing w:line="360" w:lineRule="auto"/>
              <w:jc w:val="right"/>
            </w:pPr>
            <w:r>
              <w:rPr>
                <w:rFonts w:ascii="宋体" w:hAnsi="宋体" w:hint="eastAsia"/>
              </w:rPr>
              <w:t xml:space="preserve">-11.06%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spacing w:line="360" w:lineRule="auto"/>
              <w:jc w:val="right"/>
            </w:pPr>
            <w:r>
              <w:rPr>
                <w:rFonts w:ascii="宋体" w:hAnsi="宋体" w:hint="eastAsia"/>
              </w:rPr>
              <w:t xml:space="preserve">-0.37% </w:t>
            </w:r>
          </w:p>
        </w:tc>
      </w:tr>
    </w:tbl>
    <w:p w:rsidR="00670972" w:rsidRDefault="00202E36">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670972" w:rsidRDefault="00202E36">
      <w:pPr>
        <w:spacing w:line="360" w:lineRule="auto"/>
        <w:jc w:val="left"/>
        <w:divId w:val="1453019737"/>
      </w:pPr>
      <w:bookmarkStart w:id="71" w:name="m07_04_07_09"/>
      <w:bookmarkStart w:id="72"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670972" w:rsidRDefault="00202E36">
      <w:pPr>
        <w:spacing w:line="360" w:lineRule="auto"/>
        <w:jc w:val="left"/>
        <w:divId w:val="1283533398"/>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670972" w:rsidRDefault="00202E36">
      <w:pPr>
        <w:spacing w:line="360" w:lineRule="auto"/>
      </w:pPr>
      <w:r>
        <w:rPr>
          <w:rFonts w:ascii="宋体" w:hAnsi="宋体" w:hint="eastAsia"/>
        </w:rPr>
        <w:t>注：</w:t>
      </w:r>
      <w:r>
        <w:rPr>
          <w:rFonts w:ascii="宋体" w:hAnsi="宋体" w:hint="eastAsia"/>
          <w:lang w:eastAsia="zh-Hans"/>
        </w:rPr>
        <w:t>本基金合同生效日为2024年9月3日，截至本报告期末本基金合同生效未满一年。</w:t>
      </w:r>
      <w:r>
        <w:rPr>
          <w:rFonts w:ascii="宋体" w:hAnsi="宋体" w:hint="eastAsia"/>
          <w:lang w:eastAsia="zh-Hans"/>
        </w:rPr>
        <w:br/>
        <w:t>本基金建仓期为本基金合同生效日起 6 个月，建仓期结束时资产配置比例符合本基金基金合同规定。</w:t>
      </w:r>
      <w:r>
        <w:rPr>
          <w:rFonts w:ascii="宋体" w:hAnsi="宋体" w:hint="eastAsia"/>
          <w:kern w:val="0"/>
          <w:lang w:eastAsia="zh-Hans"/>
        </w:rPr>
        <w:t xml:space="preserve"> </w:t>
      </w:r>
    </w:p>
    <w:p w:rsidR="00670972" w:rsidRDefault="00202E36">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670972" w:rsidRDefault="00202E36">
      <w:pPr>
        <w:pStyle w:val="XBRLTitle2"/>
        <w:spacing w:before="156" w:line="360" w:lineRule="auto"/>
        <w:ind w:left="454"/>
      </w:pPr>
      <w:bookmarkStart w:id="81" w:name="_Toc17898187"/>
      <w:bookmarkStart w:id="82" w:name="_Toc17897943"/>
      <w:bookmarkStart w:id="83" w:name="_Toc513295852"/>
      <w:bookmarkStart w:id="84" w:name="_Toc513295900"/>
      <w:bookmarkStart w:id="85" w:name="_Toc512519488"/>
      <w:bookmarkStart w:id="86" w:name="_Toc490050009"/>
      <w:bookmarkStart w:id="87" w:name="_Toc438646459"/>
      <w:bookmarkStart w:id="88" w:name="_Toc481075055"/>
      <w:proofErr w:type="spellStart"/>
      <w:r>
        <w:rPr>
          <w:rFonts w:hAnsi="宋体" w:hint="eastAsia"/>
        </w:rPr>
        <w:t>基金经理（或基金经理小组）简介</w:t>
      </w:r>
      <w:bookmarkEnd w:id="81"/>
      <w:bookmarkEnd w:id="82"/>
      <w:bookmarkEnd w:id="83"/>
      <w:bookmarkEnd w:id="8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670972">
        <w:trPr>
          <w:divId w:val="199494673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670972">
        <w:trPr>
          <w:divId w:val="199494673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0972" w:rsidRDefault="0067097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972" w:rsidRDefault="00670972">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972" w:rsidRDefault="0067097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0972" w:rsidRDefault="00670972">
            <w:pPr>
              <w:widowControl/>
              <w:jc w:val="left"/>
            </w:pPr>
          </w:p>
        </w:tc>
      </w:tr>
      <w:tr w:rsidR="00670972">
        <w:trPr>
          <w:divId w:val="199494673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梁鹏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2024年9月3日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left"/>
            </w:pPr>
            <w:r>
              <w:rPr>
                <w:rFonts w:ascii="宋体" w:hAnsi="宋体" w:hint="eastAsia"/>
                <w:szCs w:val="24"/>
                <w:lang w:eastAsia="zh-Hans"/>
              </w:rPr>
              <w:t>梁鹏先生曾任上海申银万国证券研究所行业分析师，新活力资本投资公司投资</w:t>
            </w:r>
            <w:r>
              <w:rPr>
                <w:rFonts w:ascii="宋体" w:hAnsi="宋体" w:hint="eastAsia"/>
                <w:szCs w:val="24"/>
                <w:lang w:eastAsia="zh-Hans"/>
              </w:rPr>
              <w:lastRenderedPageBreak/>
              <w:t>副总监，太平基金管理有限公司基金经理；自2023年7月起加入摩根基金管理(中国)有限公司(原上投摩根基金管理有限公司)，现任国内权益投资部高级基金经理。</w:t>
            </w:r>
          </w:p>
        </w:tc>
      </w:tr>
    </w:tbl>
    <w:p w:rsidR="00670972" w:rsidRDefault="00202E36">
      <w:pPr>
        <w:wordWrap w:val="0"/>
        <w:spacing w:line="360" w:lineRule="auto"/>
        <w:jc w:val="left"/>
        <w:divId w:val="1910532245"/>
      </w:pPr>
      <w:r>
        <w:rPr>
          <w:rFonts w:ascii="宋体" w:hAnsi="宋体" w:hint="eastAsia"/>
          <w:szCs w:val="21"/>
        </w:rPr>
        <w:lastRenderedPageBreak/>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670972" w:rsidRDefault="00202E36">
      <w:pPr>
        <w:pStyle w:val="XBRLTitle3"/>
        <w:spacing w:before="156"/>
        <w:ind w:left="0"/>
        <w:divId w:val="1324237282"/>
      </w:pPr>
      <w:bookmarkStart w:id="90" w:name="_Toc5134656621"/>
      <w:proofErr w:type="spellStart"/>
      <w:r>
        <w:rPr>
          <w:rFonts w:hAnsi="宋体" w:hint="eastAsia"/>
        </w:rPr>
        <w:t>期末兼任私募资产管理计划投资经理的基金经理同时管理的产品情况</w:t>
      </w:r>
      <w:bookmarkEnd w:id="85"/>
      <w:bookmarkEnd w:id="86"/>
      <w:bookmarkEnd w:id="87"/>
      <w:bookmarkEnd w:id="88"/>
      <w:bookmarkEnd w:id="90"/>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670972">
        <w:trPr>
          <w:divId w:val="789906774"/>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70972" w:rsidRDefault="00202E36">
            <w:pPr>
              <w:snapToGrid w:val="0"/>
              <w:jc w:val="center"/>
            </w:pPr>
            <w:bookmarkStart w:id="9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70972" w:rsidRDefault="00202E36">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70972" w:rsidRDefault="00202E36">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70972" w:rsidRDefault="00202E36">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670972" w:rsidRDefault="00202E36">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670972">
        <w:trPr>
          <w:divId w:val="789906774"/>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center"/>
            </w:pPr>
            <w:r>
              <w:rPr>
                <w:rFonts w:ascii="宋体" w:hAnsi="宋体" w:hint="eastAsia"/>
                <w:szCs w:val="24"/>
              </w:rPr>
              <w:t>梁鹏</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r>
              <w:rPr>
                <w:rFonts w:ascii="宋体" w:hAnsi="宋体" w:hint="eastAsia"/>
                <w:szCs w:val="24"/>
              </w:rPr>
              <w:t xml:space="preserve">公募基金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right"/>
            </w:pPr>
            <w:r>
              <w:rPr>
                <w:rFonts w:ascii="宋体" w:hAnsi="宋体" w:hint="eastAsia"/>
                <w:szCs w:val="24"/>
              </w:rPr>
              <w:t>3</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right"/>
            </w:pPr>
            <w:r>
              <w:rPr>
                <w:rFonts w:ascii="宋体" w:hAnsi="宋体" w:hint="eastAsia"/>
                <w:szCs w:val="24"/>
              </w:rPr>
              <w:t>1,232,249,185.51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center"/>
            </w:pPr>
            <w:r>
              <w:rPr>
                <w:rFonts w:ascii="宋体" w:hAnsi="宋体" w:hint="eastAsia"/>
                <w:szCs w:val="24"/>
              </w:rPr>
              <w:t>2017-12-01</w:t>
            </w:r>
          </w:p>
        </w:tc>
      </w:tr>
      <w:tr w:rsidR="00670972">
        <w:trPr>
          <w:divId w:val="78990677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70972" w:rsidRDefault="00670972">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right"/>
            </w:pPr>
            <w:r>
              <w:rPr>
                <w:rFonts w:ascii="宋体" w:hAnsi="宋体" w:hint="eastAsia"/>
                <w:szCs w:val="24"/>
              </w:rPr>
              <w:t>62,683,187.02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center"/>
            </w:pPr>
            <w:r>
              <w:rPr>
                <w:rFonts w:ascii="宋体" w:hAnsi="宋体" w:hint="eastAsia"/>
                <w:szCs w:val="24"/>
              </w:rPr>
              <w:t>2024-07-04</w:t>
            </w:r>
          </w:p>
        </w:tc>
      </w:tr>
      <w:tr w:rsidR="00670972">
        <w:trPr>
          <w:divId w:val="78990677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70972" w:rsidRDefault="00670972">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center"/>
            </w:pPr>
            <w:r>
              <w:rPr>
                <w:rFonts w:ascii="宋体" w:hAnsi="宋体" w:hint="eastAsia"/>
                <w:szCs w:val="24"/>
              </w:rPr>
              <w:t>-</w:t>
            </w:r>
          </w:p>
        </w:tc>
      </w:tr>
      <w:tr w:rsidR="00670972">
        <w:trPr>
          <w:divId w:val="78990677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70972" w:rsidRDefault="00670972">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right"/>
            </w:pPr>
            <w:r>
              <w:rPr>
                <w:rFonts w:ascii="宋体" w:hAnsi="宋体" w:hint="eastAsia"/>
                <w:szCs w:val="24"/>
              </w:rPr>
              <w:t>1,294,932,372.53</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0972" w:rsidRDefault="00202E36">
            <w:pPr>
              <w:jc w:val="center"/>
            </w:pPr>
            <w:r>
              <w:rPr>
                <w:rFonts w:ascii="宋体" w:hAnsi="宋体" w:hint="eastAsia"/>
                <w:szCs w:val="24"/>
              </w:rPr>
              <w:t xml:space="preserve">- </w:t>
            </w:r>
          </w:p>
        </w:tc>
      </w:tr>
    </w:tbl>
    <w:p w:rsidR="00670972" w:rsidRDefault="00202E36">
      <w:pPr>
        <w:pStyle w:val="XBRLTitle2"/>
        <w:spacing w:before="156" w:line="360" w:lineRule="auto"/>
        <w:ind w:left="454"/>
      </w:pPr>
      <w:bookmarkStart w:id="92" w:name="_Toc17898188"/>
      <w:bookmarkStart w:id="93" w:name="_Toc17897944"/>
      <w:bookmarkStart w:id="94" w:name="_Toc481075056"/>
      <w:bookmarkStart w:id="95" w:name="_Toc438646460"/>
      <w:bookmarkStart w:id="96" w:name="_Toc490050010"/>
      <w:bookmarkStart w:id="97" w:name="_Toc512519489"/>
      <w:bookmarkStart w:id="98" w:name="_Toc513295853"/>
      <w:bookmarkStart w:id="99" w:name="_Toc513295901"/>
      <w:bookmarkStart w:id="100" w:name="m402"/>
      <w:bookmarkEnd w:id="91"/>
      <w:proofErr w:type="spellStart"/>
      <w:r>
        <w:rPr>
          <w:rFonts w:hAnsi="宋体" w:hint="eastAsia"/>
        </w:rPr>
        <w:t>管理人对报告期内本基金运作遵规守信情况的说明</w:t>
      </w:r>
      <w:bookmarkEnd w:id="92"/>
      <w:bookmarkEnd w:id="93"/>
      <w:bookmarkEnd w:id="94"/>
      <w:bookmarkEnd w:id="95"/>
      <w:bookmarkEnd w:id="96"/>
      <w:bookmarkEnd w:id="97"/>
      <w:bookmarkEnd w:id="98"/>
      <w:bookmarkEnd w:id="99"/>
      <w:proofErr w:type="spellEnd"/>
      <w:r>
        <w:rPr>
          <w:rFonts w:hAnsi="宋体" w:hint="eastAsia"/>
        </w:rPr>
        <w:t xml:space="preserve"> </w:t>
      </w:r>
    </w:p>
    <w:p w:rsidR="00670972" w:rsidRDefault="00202E36">
      <w:pPr>
        <w:spacing w:line="360" w:lineRule="auto"/>
        <w:ind w:firstLineChars="200" w:firstLine="420"/>
        <w:jc w:val="left"/>
      </w:pPr>
      <w:bookmarkStart w:id="101" w:name="m403"/>
      <w:bookmarkEnd w:id="10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670972" w:rsidRDefault="00202E36">
      <w:pPr>
        <w:pStyle w:val="XBRLTitle2"/>
        <w:spacing w:before="156" w:line="360" w:lineRule="auto"/>
        <w:ind w:left="454"/>
      </w:pPr>
      <w:bookmarkStart w:id="102" w:name="_Toc17898189"/>
      <w:bookmarkStart w:id="103" w:name="_Toc17897945"/>
      <w:bookmarkStart w:id="104" w:name="_Toc481075057"/>
      <w:bookmarkStart w:id="105" w:name="_Toc438646462"/>
      <w:bookmarkStart w:id="106" w:name="_Toc490050011"/>
      <w:bookmarkStart w:id="107" w:name="_Toc512519490"/>
      <w:bookmarkStart w:id="108" w:name="_Toc513295854"/>
      <w:bookmarkStart w:id="109" w:name="_Toc513295902"/>
      <w:bookmarkEnd w:id="101"/>
      <w:proofErr w:type="spellStart"/>
      <w:r>
        <w:rPr>
          <w:rFonts w:hAnsi="宋体" w:hint="eastAsia"/>
        </w:rPr>
        <w:t>公平交易专项说明</w:t>
      </w:r>
      <w:bookmarkEnd w:id="102"/>
      <w:bookmarkEnd w:id="103"/>
      <w:bookmarkEnd w:id="104"/>
      <w:bookmarkEnd w:id="105"/>
      <w:bookmarkEnd w:id="106"/>
      <w:bookmarkEnd w:id="107"/>
      <w:bookmarkEnd w:id="108"/>
      <w:bookmarkEnd w:id="109"/>
      <w:proofErr w:type="spellEnd"/>
      <w:r>
        <w:rPr>
          <w:rFonts w:hAnsi="宋体" w:hint="eastAsia"/>
        </w:rPr>
        <w:t xml:space="preserve"> </w:t>
      </w:r>
    </w:p>
    <w:p w:rsidR="00670972" w:rsidRDefault="00202E36">
      <w:pPr>
        <w:pStyle w:val="XBRLTitle3"/>
        <w:spacing w:before="156"/>
        <w:ind w:left="0"/>
      </w:pPr>
      <w:bookmarkStart w:id="110" w:name="_Toc17898190"/>
      <w:bookmarkStart w:id="111" w:name="_Toc481075058"/>
      <w:bookmarkStart w:id="112" w:name="_Toc490050012"/>
      <w:bookmarkStart w:id="113" w:name="_Toc512519491"/>
      <w:bookmarkStart w:id="114" w:name="_Toc513295903"/>
      <w:bookmarkStart w:id="115" w:name="m404_01_0570"/>
      <w:proofErr w:type="spellStart"/>
      <w:r>
        <w:rPr>
          <w:rFonts w:hint="eastAsia"/>
        </w:rPr>
        <w:t>公平交易制度的执行情况</w:t>
      </w:r>
      <w:bookmarkEnd w:id="110"/>
      <w:bookmarkEnd w:id="111"/>
      <w:bookmarkEnd w:id="112"/>
      <w:bookmarkEnd w:id="113"/>
      <w:bookmarkEnd w:id="114"/>
      <w:proofErr w:type="spellEnd"/>
    </w:p>
    <w:p w:rsidR="00670972" w:rsidRDefault="00202E36">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670972" w:rsidRDefault="00202E36">
      <w:pPr>
        <w:pStyle w:val="XBRLTitle3"/>
        <w:spacing w:before="156"/>
        <w:ind w:left="0"/>
      </w:pPr>
      <w:bookmarkStart w:id="116" w:name="_Toc17898191"/>
      <w:bookmarkStart w:id="117" w:name="_Toc481075059"/>
      <w:bookmarkStart w:id="118" w:name="_Toc490050013"/>
      <w:bookmarkStart w:id="119" w:name="_Toc512519492"/>
      <w:bookmarkStart w:id="120" w:name="_Toc513295904"/>
      <w:bookmarkStart w:id="121" w:name="m404_01_0578"/>
      <w:bookmarkEnd w:id="115"/>
      <w:proofErr w:type="spellStart"/>
      <w:r>
        <w:rPr>
          <w:rFonts w:hint="eastAsia"/>
        </w:rPr>
        <w:t>异常交易行为的专项说明</w:t>
      </w:r>
      <w:bookmarkEnd w:id="116"/>
      <w:bookmarkEnd w:id="117"/>
      <w:bookmarkEnd w:id="118"/>
      <w:bookmarkEnd w:id="119"/>
      <w:bookmarkEnd w:id="120"/>
      <w:proofErr w:type="spellEnd"/>
    </w:p>
    <w:p w:rsidR="00670972" w:rsidRDefault="00202E36">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670972" w:rsidRDefault="00202E36">
      <w:pPr>
        <w:pStyle w:val="XBRLTitle2"/>
        <w:spacing w:before="156" w:line="360" w:lineRule="auto"/>
        <w:ind w:left="454"/>
      </w:pPr>
      <w:bookmarkStart w:id="122" w:name="_Toc17898192"/>
      <w:bookmarkStart w:id="123" w:name="_Toc17897946"/>
      <w:bookmarkStart w:id="124" w:name="_Toc481075061"/>
      <w:bookmarkStart w:id="125" w:name="_Toc490050014"/>
      <w:bookmarkStart w:id="126" w:name="_Toc512519493"/>
      <w:bookmarkStart w:id="127" w:name="_Toc513295855"/>
      <w:bookmarkStart w:id="128" w:name="_Toc513295905"/>
      <w:bookmarkStart w:id="129" w:name="m405_01_2550"/>
      <w:bookmarkEnd w:id="121"/>
      <w:proofErr w:type="spellStart"/>
      <w:r>
        <w:rPr>
          <w:rFonts w:hAnsi="宋体" w:hint="eastAsia"/>
        </w:rPr>
        <w:t>报告期内基金的投资策略和运作分析</w:t>
      </w:r>
      <w:bookmarkEnd w:id="122"/>
      <w:bookmarkEnd w:id="123"/>
      <w:bookmarkEnd w:id="124"/>
      <w:bookmarkEnd w:id="125"/>
      <w:bookmarkEnd w:id="126"/>
      <w:bookmarkEnd w:id="127"/>
      <w:bookmarkEnd w:id="128"/>
      <w:proofErr w:type="spellEnd"/>
      <w:r>
        <w:rPr>
          <w:rFonts w:hAnsi="宋体" w:hint="eastAsia"/>
        </w:rPr>
        <w:t xml:space="preserve"> </w:t>
      </w:r>
    </w:p>
    <w:p w:rsidR="00670972" w:rsidRDefault="00202E36">
      <w:pPr>
        <w:spacing w:line="360" w:lineRule="auto"/>
        <w:ind w:firstLineChars="200" w:firstLine="420"/>
        <w:jc w:val="left"/>
      </w:pPr>
      <w:r>
        <w:rPr>
          <w:rFonts w:ascii="宋体" w:hAnsi="宋体" w:cs="宋体" w:hint="eastAsia"/>
          <w:color w:val="000000"/>
          <w:kern w:val="0"/>
        </w:rPr>
        <w:t>2025年一季度市场整体走势相对平稳，但结构性行情明显。以AI、机器人为代表的科技成长板块精彩纷呈。本基金未参与相关热点板块，并不是否认其为社会带来的创新和变革，而是仅基于行业前景的判断，无法帮助我们在现阶段选出最终的赢家，并据此给予价值判断，这超出了我们的能力范围。当然，另一方面而言，我们同时也避免了更多的可能的输家。对于长期投资而言，避免输家甚至比选对赢家对结果的影响更大。</w:t>
      </w:r>
      <w:r>
        <w:rPr>
          <w:rFonts w:ascii="宋体" w:hAnsi="宋体" w:cs="宋体" w:hint="eastAsia"/>
          <w:color w:val="000000"/>
          <w:kern w:val="0"/>
        </w:rPr>
        <w:br/>
        <w:t xml:space="preserve">　　本基金坚持将风险控制置于收益追求之上的基本原则，首先力求预防买错的风险和买贵的风险。在注重风险控制的同时，多维度进行研究分析比较，不偏离选择配置优良风险收益比资产的根本策略。基金保持了对化工、钢材料、工程机械、消费电子和港股的消费与互联网等行业的持仓。基于政策端将会在供给侧的改革和消化，以及促进内需和提振消费等方面发力。综合考虑行业自身供需格局变化带来的价格韧性，以及行业历史估值水平等因素，组合标的具备较好的风险收益比，力争在风险可控的条件下，于中期维度争取实现一定程度的超额收益。</w:t>
      </w:r>
      <w:r>
        <w:rPr>
          <w:rFonts w:ascii="宋体" w:hAnsi="宋体" w:cs="宋体" w:hint="eastAsia"/>
          <w:color w:val="000000"/>
          <w:kern w:val="0"/>
        </w:rPr>
        <w:br/>
        <w:t xml:space="preserve">　　诚然我们清楚风险只有在成为事实时才会造成损失，投资人不会因为基金规避了风险而付费。但本基金仍力求坚守将风险控制置于收益追求之上的基本原则，宁愿承担由于保守策略带来的短期落后，也不想因为“跟风”而导致遭受无法挽回的大幅回撤和本金损失，期望通过合理的风险承担，争取获得基金资产长期稳健的增值回报。</w:t>
      </w:r>
    </w:p>
    <w:p w:rsidR="00670972" w:rsidRDefault="00202E36">
      <w:pPr>
        <w:pStyle w:val="XBRLTitle2"/>
        <w:spacing w:before="156" w:line="360" w:lineRule="auto"/>
        <w:ind w:left="454"/>
      </w:pPr>
      <w:bookmarkStart w:id="130" w:name="_Toc17898193"/>
      <w:bookmarkStart w:id="131" w:name="_Toc17897947"/>
      <w:bookmarkStart w:id="132" w:name="_Toc490050015"/>
      <w:bookmarkStart w:id="133" w:name="_Toc481075062"/>
      <w:bookmarkStart w:id="134" w:name="_Toc512519494"/>
      <w:bookmarkStart w:id="135" w:name="_Toc513295856"/>
      <w:bookmarkStart w:id="136" w:name="_Toc513295906"/>
      <w:bookmarkStart w:id="137" w:name="m405_01_2549"/>
      <w:bookmarkEnd w:id="129"/>
      <w:proofErr w:type="spellStart"/>
      <w:r>
        <w:rPr>
          <w:rFonts w:hAnsi="宋体" w:hint="eastAsia"/>
        </w:rPr>
        <w:t>报告期内基金的业绩表现</w:t>
      </w:r>
      <w:bookmarkEnd w:id="130"/>
      <w:bookmarkEnd w:id="131"/>
      <w:bookmarkEnd w:id="132"/>
      <w:bookmarkEnd w:id="133"/>
      <w:bookmarkEnd w:id="134"/>
      <w:bookmarkEnd w:id="135"/>
      <w:bookmarkEnd w:id="136"/>
      <w:proofErr w:type="spellEnd"/>
      <w:r>
        <w:rPr>
          <w:rFonts w:hAnsi="宋体" w:hint="eastAsia"/>
        </w:rPr>
        <w:t xml:space="preserve"> </w:t>
      </w:r>
      <w:bookmarkEnd w:id="137"/>
    </w:p>
    <w:p w:rsidR="00670972" w:rsidRDefault="00202E36">
      <w:pPr>
        <w:spacing w:line="360" w:lineRule="auto"/>
        <w:ind w:firstLineChars="200" w:firstLine="420"/>
      </w:pPr>
      <w:r>
        <w:rPr>
          <w:rFonts w:ascii="宋体" w:hAnsi="宋体" w:hint="eastAsia"/>
        </w:rPr>
        <w:t>本报告期摩根均衡精选混合A份额净值增长率为：7.06%，同期业绩比较基准收益率为：2.10%；</w:t>
      </w:r>
      <w:r>
        <w:rPr>
          <w:rFonts w:ascii="宋体" w:hAnsi="宋体" w:hint="eastAsia"/>
        </w:rPr>
        <w:br/>
        <w:t xml:space="preserve">　　摩根均衡精选混合C份额净值增长率为：6.93%，同期业绩比较基准收益率为：2.10%。</w:t>
      </w:r>
    </w:p>
    <w:p w:rsidR="00670972" w:rsidRDefault="00202E36">
      <w:pPr>
        <w:pStyle w:val="XBRLTitle2"/>
        <w:spacing w:before="156" w:line="360" w:lineRule="auto"/>
        <w:ind w:left="454"/>
      </w:pPr>
      <w:bookmarkStart w:id="138" w:name="m406"/>
      <w:bookmarkStart w:id="139" w:name="_Toc17898194"/>
      <w:bookmarkStart w:id="140" w:name="_Toc17897948"/>
      <w:bookmarkStart w:id="141" w:name="_Toc490050016"/>
      <w:bookmarkStart w:id="142" w:name="_Toc481075063"/>
      <w:bookmarkStart w:id="143" w:name="_Toc438646465"/>
      <w:bookmarkStart w:id="144" w:name="_Toc512519495"/>
      <w:bookmarkStart w:id="145" w:name="_Toc513295857"/>
      <w:bookmarkStart w:id="146" w:name="_Toc513295907"/>
      <w:bookmarkStart w:id="147" w:name="m407"/>
      <w:bookmarkEnd w:id="138"/>
      <w:proofErr w:type="spellStart"/>
      <w:r>
        <w:rPr>
          <w:rFonts w:hAnsi="宋体" w:hint="eastAsia"/>
        </w:rPr>
        <w:t>报告期内基金持有人数或基金资产净值预警说明</w:t>
      </w:r>
      <w:bookmarkEnd w:id="139"/>
      <w:bookmarkEnd w:id="140"/>
      <w:bookmarkEnd w:id="141"/>
      <w:bookmarkEnd w:id="142"/>
      <w:bookmarkEnd w:id="143"/>
      <w:bookmarkEnd w:id="144"/>
      <w:bookmarkEnd w:id="145"/>
      <w:bookmarkEnd w:id="146"/>
      <w:proofErr w:type="spellEnd"/>
      <w:r>
        <w:rPr>
          <w:rFonts w:hAnsi="宋体" w:hint="eastAsia"/>
        </w:rPr>
        <w:t xml:space="preserve"> </w:t>
      </w:r>
    </w:p>
    <w:p w:rsidR="00670972" w:rsidRDefault="00202E36">
      <w:pPr>
        <w:spacing w:line="360" w:lineRule="auto"/>
        <w:ind w:firstLineChars="200" w:firstLine="420"/>
        <w:jc w:val="left"/>
      </w:pPr>
      <w:r>
        <w:rPr>
          <w:rFonts w:ascii="宋体" w:hAnsi="宋体" w:hint="eastAsia"/>
        </w:rPr>
        <w:t>截至本报告期末,本基金已连续超过二十个工作日出现基金资产净值低于五千万元的情形，</w:t>
      </w:r>
      <w:r>
        <w:rPr>
          <w:rFonts w:ascii="宋体" w:hAnsi="宋体" w:hint="eastAsia"/>
        </w:rPr>
        <w:lastRenderedPageBreak/>
        <w:t>相应解决方案已报送中国证监会。</w:t>
      </w:r>
    </w:p>
    <w:p w:rsidR="00670972" w:rsidRDefault="00202E36">
      <w:pPr>
        <w:pStyle w:val="XBRLTitle1"/>
        <w:spacing w:before="156" w:line="360" w:lineRule="auto"/>
        <w:ind w:left="425"/>
      </w:pPr>
      <w:bookmarkStart w:id="148" w:name="_Toc17898195"/>
      <w:bookmarkStart w:id="149" w:name="_Toc17897949"/>
      <w:bookmarkStart w:id="150" w:name="_Toc512519496"/>
      <w:bookmarkStart w:id="151" w:name="_Toc481075064"/>
      <w:bookmarkStart w:id="152" w:name="_Toc438646466"/>
      <w:bookmarkStart w:id="153" w:name="_Toc490050017"/>
      <w:bookmarkStart w:id="154" w:name="_Toc513295858"/>
      <w:bookmarkStart w:id="155" w:name="_Toc513295908"/>
      <w:bookmarkEnd w:id="147"/>
      <w:proofErr w:type="spellStart"/>
      <w:r>
        <w:rPr>
          <w:rFonts w:hAnsi="宋体" w:hint="eastAsia"/>
        </w:rPr>
        <w:t>投资组合报告</w:t>
      </w:r>
      <w:bookmarkEnd w:id="148"/>
      <w:bookmarkEnd w:id="149"/>
      <w:bookmarkEnd w:id="150"/>
      <w:bookmarkEnd w:id="151"/>
      <w:bookmarkEnd w:id="152"/>
      <w:bookmarkEnd w:id="153"/>
      <w:bookmarkEnd w:id="154"/>
      <w:bookmarkEnd w:id="155"/>
      <w:proofErr w:type="spellEnd"/>
      <w:r>
        <w:rPr>
          <w:rFonts w:hAnsi="宋体" w:hint="eastAsia"/>
        </w:rPr>
        <w:t xml:space="preserve"> </w:t>
      </w:r>
    </w:p>
    <w:p w:rsidR="00670972" w:rsidRDefault="00202E36">
      <w:pPr>
        <w:pStyle w:val="XBRLTitle2"/>
        <w:spacing w:before="156" w:line="360" w:lineRule="auto"/>
        <w:ind w:left="454"/>
      </w:pPr>
      <w:bookmarkStart w:id="156" w:name="_Toc17898196"/>
      <w:bookmarkStart w:id="157" w:name="_Toc17897950"/>
      <w:bookmarkStart w:id="158" w:name="_Toc481075065"/>
      <w:bookmarkStart w:id="159" w:name="_Toc438646467"/>
      <w:bookmarkStart w:id="160" w:name="_Toc490050018"/>
      <w:bookmarkStart w:id="161" w:name="_Toc512519497"/>
      <w:bookmarkStart w:id="162" w:name="_Toc513295859"/>
      <w:bookmarkStart w:id="163" w:name="_Toc513295909"/>
      <w:bookmarkStart w:id="164" w:name="m501"/>
      <w:proofErr w:type="spellStart"/>
      <w:r>
        <w:rPr>
          <w:rFonts w:hAnsi="宋体" w:hint="eastAsia"/>
        </w:rPr>
        <w:t>报告期末基金资产组合情况</w:t>
      </w:r>
      <w:bookmarkEnd w:id="156"/>
      <w:bookmarkEnd w:id="157"/>
      <w:bookmarkEnd w:id="158"/>
      <w:bookmarkEnd w:id="159"/>
      <w:bookmarkEnd w:id="160"/>
      <w:bookmarkEnd w:id="161"/>
      <w:bookmarkEnd w:id="162"/>
      <w:bookmarkEnd w:id="16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0972" w:rsidRDefault="00202E36">
            <w:pPr>
              <w:jc w:val="center"/>
            </w:pPr>
            <w:bookmarkStart w:id="165" w:name="m08QD_01_tab"/>
            <w:bookmarkEnd w:id="16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670972" w:rsidRDefault="00202E36">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670972" w:rsidRDefault="00202E36">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670972" w:rsidRDefault="00202E36">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31,948,723.00</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85.65</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31,948,723.00</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85.65</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5,349,851.94</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14.34</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1,334.80</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0.00</w:t>
            </w:r>
          </w:p>
        </w:tc>
      </w:tr>
      <w:tr w:rsidR="00670972">
        <w:trPr>
          <w:divId w:val="45240741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70972" w:rsidRDefault="00202E36">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670972" w:rsidRDefault="00202E36">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37,299,909.74</w:t>
            </w:r>
          </w:p>
        </w:tc>
        <w:tc>
          <w:tcPr>
            <w:tcW w:w="1333" w:type="pct"/>
            <w:tcBorders>
              <w:top w:val="single" w:sz="4" w:space="0" w:color="auto"/>
              <w:left w:val="nil"/>
              <w:bottom w:val="single" w:sz="4" w:space="0" w:color="auto"/>
              <w:right w:val="single" w:sz="4" w:space="0" w:color="auto"/>
            </w:tcBorders>
            <w:vAlign w:val="center"/>
            <w:hideMark/>
          </w:tcPr>
          <w:p w:rsidR="00670972" w:rsidRDefault="00202E36">
            <w:pPr>
              <w:jc w:val="right"/>
            </w:pPr>
            <w:r>
              <w:rPr>
                <w:rFonts w:ascii="宋体" w:hAnsi="宋体" w:hint="eastAsia"/>
                <w:szCs w:val="24"/>
                <w:lang w:eastAsia="zh-Hans"/>
              </w:rPr>
              <w:t>100.00</w:t>
            </w:r>
          </w:p>
        </w:tc>
      </w:tr>
    </w:tbl>
    <w:p w:rsidR="00670972" w:rsidRDefault="00202E36">
      <w:pPr>
        <w:spacing w:line="360" w:lineRule="auto"/>
        <w:jc w:val="left"/>
        <w:divId w:val="759986242"/>
      </w:pPr>
      <w:r>
        <w:rPr>
          <w:rFonts w:ascii="宋体" w:hAnsi="宋体" w:hint="eastAsia"/>
          <w:szCs w:val="21"/>
        </w:rPr>
        <w:t>注：</w:t>
      </w:r>
      <w:r>
        <w:rPr>
          <w:rFonts w:ascii="宋体" w:hAnsi="宋体" w:hint="eastAsia"/>
        </w:rPr>
        <w:t>本基金本报告期末通过港股通交易机制投资的港股公允价值为人民币4,354,868.00元,占期末净值比例为11.85%。</w:t>
      </w:r>
    </w:p>
    <w:p w:rsidR="00670972" w:rsidRDefault="00202E36">
      <w:pPr>
        <w:pStyle w:val="XBRLTitle2"/>
        <w:spacing w:before="156" w:line="360" w:lineRule="auto"/>
        <w:ind w:left="454"/>
      </w:pPr>
      <w:bookmarkStart w:id="166" w:name="_Toc17898197"/>
      <w:bookmarkStart w:id="167" w:name="_Toc17897951"/>
      <w:bookmarkStart w:id="168" w:name="_Toc512519498"/>
      <w:bookmarkStart w:id="169" w:name="_Toc481075066"/>
      <w:bookmarkStart w:id="170" w:name="_Toc438646468"/>
      <w:bookmarkStart w:id="171" w:name="_Toc490050019"/>
      <w:bookmarkStart w:id="172" w:name="_Toc513295860"/>
      <w:bookmarkStart w:id="173" w:name="_Toc513295910"/>
      <w:bookmarkEnd w:id="164"/>
      <w:proofErr w:type="spellStart"/>
      <w:r>
        <w:rPr>
          <w:rFonts w:hAnsi="宋体" w:hint="eastAsia"/>
        </w:rPr>
        <w:t>报告期末按行业分类的股票投资组合</w:t>
      </w:r>
      <w:bookmarkEnd w:id="166"/>
      <w:bookmarkEnd w:id="167"/>
      <w:bookmarkEnd w:id="168"/>
      <w:bookmarkEnd w:id="169"/>
      <w:bookmarkEnd w:id="170"/>
      <w:bookmarkEnd w:id="171"/>
      <w:bookmarkEnd w:id="172"/>
      <w:bookmarkEnd w:id="173"/>
      <w:proofErr w:type="spellEnd"/>
      <w:r>
        <w:rPr>
          <w:rFonts w:hAnsi="宋体" w:hint="eastAsia"/>
          <w:lang w:eastAsia="zh-CN"/>
        </w:rPr>
        <w:t xml:space="preserve"> </w:t>
      </w:r>
    </w:p>
    <w:p w:rsidR="00670972" w:rsidRDefault="00202E36">
      <w:pPr>
        <w:pStyle w:val="XBRLTitle3"/>
        <w:spacing w:before="156"/>
        <w:ind w:left="0"/>
      </w:pPr>
      <w:bookmarkStart w:id="174" w:name="_Toc17898198"/>
      <w:bookmarkStart w:id="175" w:name="_Toc481075067"/>
      <w:bookmarkStart w:id="176" w:name="_Toc490050020"/>
      <w:bookmarkStart w:id="177" w:name="_Toc512519499"/>
      <w:bookmarkStart w:id="178" w:name="_Toc513295911"/>
      <w:proofErr w:type="spellStart"/>
      <w:r>
        <w:rPr>
          <w:rFonts w:hint="eastAsia"/>
        </w:rPr>
        <w:t>报告期末按行业分类的境内股票投资组合</w:t>
      </w:r>
      <w:bookmarkEnd w:id="174"/>
      <w:bookmarkEnd w:id="175"/>
      <w:bookmarkEnd w:id="176"/>
      <w:bookmarkEnd w:id="177"/>
      <w:bookmarkEnd w:id="178"/>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670972">
        <w:trPr>
          <w:divId w:val="58380208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70972" w:rsidRDefault="00202E36">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670972" w:rsidRDefault="00202E36">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670972" w:rsidRDefault="00202E36">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670972" w:rsidRDefault="00202E36">
            <w:pPr>
              <w:jc w:val="center"/>
            </w:pPr>
            <w:r>
              <w:rPr>
                <w:rFonts w:ascii="宋体" w:hAnsi="宋体" w:hint="eastAsia"/>
                <w:color w:val="000000"/>
              </w:rPr>
              <w:t xml:space="preserve">占基金资产净值比例（%） </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27,593,855.00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75.12</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lastRenderedPageBreak/>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w:t>
            </w:r>
          </w:p>
        </w:tc>
      </w:tr>
      <w:tr w:rsidR="00670972">
        <w:trPr>
          <w:divId w:val="58380208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70972" w:rsidRDefault="00202E36">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70972" w:rsidRDefault="00202E36">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70972" w:rsidRDefault="00202E36">
            <w:pPr>
              <w:jc w:val="right"/>
            </w:pPr>
            <w:r>
              <w:rPr>
                <w:rFonts w:ascii="宋体" w:hAnsi="宋体" w:hint="eastAsia"/>
                <w:szCs w:val="24"/>
                <w:lang w:eastAsia="zh-Hans"/>
              </w:rPr>
              <w:t>27,593,855.00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70972" w:rsidRDefault="00202E36">
            <w:pPr>
              <w:jc w:val="right"/>
            </w:pPr>
            <w:r>
              <w:rPr>
                <w:rFonts w:ascii="宋体" w:hAnsi="宋体" w:hint="eastAsia"/>
                <w:szCs w:val="24"/>
                <w:lang w:eastAsia="zh-Hans"/>
              </w:rPr>
              <w:t>75.12</w:t>
            </w:r>
          </w:p>
        </w:tc>
      </w:tr>
    </w:tbl>
    <w:p w:rsidR="00670972" w:rsidRDefault="00202E36">
      <w:pPr>
        <w:pStyle w:val="XBRLTitle3"/>
        <w:spacing w:before="156"/>
        <w:ind w:left="0"/>
      </w:pPr>
      <w:bookmarkStart w:id="179" w:name="_Toc17898199"/>
      <w:bookmarkStart w:id="180" w:name="_Toc481075068"/>
      <w:bookmarkStart w:id="181" w:name="_Toc490050021"/>
      <w:bookmarkStart w:id="182" w:name="_Toc512519500"/>
      <w:bookmarkStart w:id="183" w:name="_Toc513295912"/>
      <w:bookmarkStart w:id="184" w:name="m502_tab"/>
      <w:proofErr w:type="spellStart"/>
      <w:r>
        <w:rPr>
          <w:rFonts w:hint="eastAsia"/>
        </w:rPr>
        <w:t>报告期末按行业分类的港股通投资股票投资组合</w:t>
      </w:r>
      <w:bookmarkEnd w:id="179"/>
      <w:bookmarkEnd w:id="180"/>
      <w:bookmarkEnd w:id="181"/>
      <w:bookmarkEnd w:id="182"/>
      <w:bookmarkEnd w:id="183"/>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0972" w:rsidRDefault="00202E36">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0972" w:rsidRDefault="00202E36">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70972" w:rsidRDefault="00202E36">
            <w:pPr>
              <w:jc w:val="center"/>
            </w:pPr>
            <w:r>
              <w:rPr>
                <w:rFonts w:ascii="宋体" w:hAnsi="宋体" w:hint="eastAsia"/>
                <w:color w:val="000000"/>
              </w:rPr>
              <w:t xml:space="preserve">占基金资产净值比例（%） </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637,848.00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1.74</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347,700.00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0.95</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929,720.00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2.53</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1,830,080.00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4.98</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609,520.00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1.66</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w:t>
            </w:r>
          </w:p>
        </w:tc>
      </w:tr>
      <w:tr w:rsidR="00670972">
        <w:trPr>
          <w:divId w:val="659425729"/>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4,354,868.00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670972" w:rsidRDefault="00202E36">
            <w:pPr>
              <w:jc w:val="right"/>
            </w:pPr>
            <w:r>
              <w:rPr>
                <w:rFonts w:ascii="宋体" w:hAnsi="宋体" w:hint="eastAsia"/>
                <w:szCs w:val="24"/>
                <w:lang w:eastAsia="zh-Hans"/>
              </w:rPr>
              <w:t>11.85</w:t>
            </w:r>
          </w:p>
        </w:tc>
      </w:tr>
    </w:tbl>
    <w:p w:rsidR="00670972" w:rsidRDefault="00202E36">
      <w:pPr>
        <w:spacing w:line="360" w:lineRule="auto"/>
        <w:divId w:val="943004171"/>
      </w:pPr>
      <w:r>
        <w:rPr>
          <w:rFonts w:ascii="宋体" w:hAnsi="宋体" w:hint="eastAsia"/>
          <w:szCs w:val="21"/>
        </w:rPr>
        <w:t>注：</w:t>
      </w:r>
      <w:r>
        <w:rPr>
          <w:rFonts w:ascii="宋体" w:hAnsi="宋体" w:hint="eastAsia"/>
          <w:szCs w:val="21"/>
          <w:lang w:eastAsia="zh-Hans"/>
        </w:rPr>
        <w:t>以上分类采用全球行业分类标准（GICS）。</w:t>
      </w:r>
    </w:p>
    <w:p w:rsidR="00670972" w:rsidRDefault="00202E36">
      <w:pPr>
        <w:pStyle w:val="XBRLTitle2"/>
        <w:spacing w:before="156"/>
        <w:ind w:left="454"/>
      </w:pPr>
      <w:bookmarkStart w:id="185" w:name="_Toc178982961"/>
      <w:bookmarkStart w:id="186" w:name="_Toc17897958"/>
      <w:bookmarkStart w:id="187" w:name="_Toc485300375"/>
      <w:bookmarkStart w:id="188" w:name="_Toc453852755"/>
      <w:bookmarkStart w:id="189" w:name="_Toc452398761"/>
      <w:bookmarkStart w:id="190" w:name="_Toc454983410"/>
      <w:bookmarkStart w:id="191" w:name="_Toc497398255"/>
      <w:bookmarkStart w:id="192" w:name="_Toc506208451"/>
      <w:bookmarkStart w:id="193" w:name="m08QD_10"/>
      <w:proofErr w:type="spellStart"/>
      <w:r>
        <w:rPr>
          <w:rFonts w:hint="eastAsia"/>
        </w:rPr>
        <w:t>期末按公允价值占基金资产净值比例大小排序的股票投资明细</w:t>
      </w:r>
      <w:bookmarkEnd w:id="185"/>
      <w:proofErr w:type="spellEnd"/>
    </w:p>
    <w:p w:rsidR="00670972" w:rsidRDefault="00202E36">
      <w:pPr>
        <w:pStyle w:val="XBRLTitle3"/>
        <w:spacing w:before="156"/>
        <w:ind w:left="0"/>
      </w:pPr>
      <w:bookmarkStart w:id="194" w:name="_Toc178982962"/>
      <w:bookmarkStart w:id="195" w:name="_Toc485300376"/>
      <w:bookmarkStart w:id="196" w:name="_Toc497398256"/>
      <w:bookmarkStart w:id="197" w:name="_Toc453852756"/>
      <w:bookmarkStart w:id="198" w:name="_Toc454983411"/>
      <w:proofErr w:type="spellStart"/>
      <w:r>
        <w:rPr>
          <w:rFonts w:hAnsi="宋体" w:hint="eastAsia"/>
        </w:rPr>
        <w:t>报告期末按公允价值占基金资产净值比例大小排序的前十名股票投资明细</w:t>
      </w:r>
      <w:bookmarkEnd w:id="194"/>
      <w:bookmarkEnd w:id="195"/>
      <w:bookmarkEnd w:id="196"/>
      <w:bookmarkEnd w:id="197"/>
      <w:bookmarkEnd w:id="19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670972">
        <w:trPr>
          <w:divId w:val="75369759"/>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0972" w:rsidRDefault="00202E36">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0972" w:rsidRDefault="00202E36">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0972" w:rsidRDefault="00202E36">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0972" w:rsidRDefault="00202E36">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0972" w:rsidRDefault="00202E36">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70972" w:rsidRDefault="00202E36">
            <w:pPr>
              <w:jc w:val="center"/>
            </w:pPr>
            <w:r>
              <w:rPr>
                <w:rFonts w:ascii="宋体" w:hAnsi="宋体" w:hint="eastAsia"/>
                <w:color w:val="000000"/>
              </w:rPr>
              <w:t xml:space="preserve">占基金资产净值比例（%） </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002541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鸿路钢构</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173,300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3,490,262.00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9.50</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000932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华菱钢铁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633,000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3,152,340.00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8.58</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2,586,000.00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7.04</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9,300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2,352,342.00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6.40</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63,300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2,072,442.00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5.64</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50,000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2,044,500.00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5.57</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1,874,500.00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5.10</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000831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中国稀土</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50,800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1,608,836.00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4.38</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19,300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1,563,493.00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4.26</w:t>
            </w:r>
          </w:p>
        </w:tc>
      </w:tr>
      <w:tr w:rsidR="00670972">
        <w:trPr>
          <w:divId w:val="75369759"/>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300821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szCs w:val="24"/>
                <w:lang w:eastAsia="zh-Hans"/>
              </w:rPr>
              <w:t>东岳硅材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166,000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1,359,540.00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szCs w:val="24"/>
                <w:lang w:eastAsia="zh-Hans"/>
              </w:rPr>
              <w:t>3.70</w:t>
            </w:r>
          </w:p>
        </w:tc>
      </w:tr>
    </w:tbl>
    <w:p w:rsidR="00670972" w:rsidRDefault="00202E36">
      <w:pPr>
        <w:pStyle w:val="XBRLTitle2"/>
        <w:spacing w:before="156" w:line="360" w:lineRule="auto"/>
        <w:ind w:left="454"/>
      </w:pPr>
      <w:bookmarkStart w:id="199" w:name="_Toc17898201"/>
      <w:bookmarkStart w:id="200" w:name="_Toc17897953"/>
      <w:bookmarkStart w:id="201" w:name="_Toc481075070"/>
      <w:bookmarkStart w:id="202" w:name="_Toc438646471"/>
      <w:bookmarkStart w:id="203" w:name="_Toc490050023"/>
      <w:bookmarkStart w:id="204" w:name="_Toc512519502"/>
      <w:bookmarkStart w:id="205" w:name="_Toc513295862"/>
      <w:bookmarkStart w:id="206" w:name="_Toc513295914"/>
      <w:bookmarkStart w:id="207" w:name="m505"/>
      <w:proofErr w:type="spellStart"/>
      <w:r>
        <w:rPr>
          <w:rFonts w:hAnsi="宋体" w:hint="eastAsia"/>
        </w:rPr>
        <w:t>报告期末按债券品种分类的债券投资组合</w:t>
      </w:r>
      <w:bookmarkEnd w:id="199"/>
      <w:bookmarkEnd w:id="200"/>
      <w:bookmarkEnd w:id="201"/>
      <w:bookmarkEnd w:id="202"/>
      <w:bookmarkEnd w:id="203"/>
      <w:bookmarkEnd w:id="204"/>
      <w:bookmarkEnd w:id="205"/>
      <w:bookmarkEnd w:id="206"/>
      <w:proofErr w:type="spellEnd"/>
      <w:r>
        <w:rPr>
          <w:rFonts w:hAnsi="宋体" w:hint="eastAsia"/>
        </w:rPr>
        <w:t xml:space="preserve"> </w:t>
      </w:r>
    </w:p>
    <w:p w:rsidR="00670972" w:rsidRDefault="00202E36">
      <w:pPr>
        <w:spacing w:line="360" w:lineRule="auto"/>
        <w:ind w:firstLineChars="200" w:firstLine="420"/>
        <w:jc w:val="left"/>
      </w:pPr>
      <w:r>
        <w:rPr>
          <w:rFonts w:ascii="宋体" w:hAnsi="宋体" w:hint="eastAsia"/>
        </w:rPr>
        <w:lastRenderedPageBreak/>
        <w:t>本基金本报告期末未持有债券。</w:t>
      </w:r>
      <w:bookmarkStart w:id="208" w:name="m08QD_06"/>
      <w:bookmarkEnd w:id="208"/>
      <w:r>
        <w:rPr>
          <w:rFonts w:ascii="宋体" w:hAnsi="宋体" w:hint="eastAsia"/>
        </w:rPr>
        <w:t xml:space="preserve"> </w:t>
      </w:r>
    </w:p>
    <w:p w:rsidR="00670972" w:rsidRDefault="00202E36">
      <w:pPr>
        <w:pStyle w:val="XBRLTitle2"/>
        <w:spacing w:before="156" w:line="360" w:lineRule="auto"/>
        <w:ind w:left="454"/>
      </w:pPr>
      <w:bookmarkStart w:id="209" w:name="_Toc17898202"/>
      <w:bookmarkStart w:id="210" w:name="_Toc17897954"/>
      <w:bookmarkStart w:id="211" w:name="_Toc481075071"/>
      <w:bookmarkStart w:id="212" w:name="_Toc438646472"/>
      <w:bookmarkStart w:id="213" w:name="_Toc490050024"/>
      <w:bookmarkStart w:id="214" w:name="_Toc512519503"/>
      <w:bookmarkStart w:id="215" w:name="_Toc513295863"/>
      <w:bookmarkStart w:id="216" w:name="_Toc513295915"/>
      <w:bookmarkStart w:id="217" w:name="m506"/>
      <w:bookmarkEnd w:id="207"/>
      <w:proofErr w:type="spellStart"/>
      <w:r>
        <w:rPr>
          <w:rFonts w:hAnsi="宋体" w:hint="eastAsia"/>
        </w:rPr>
        <w:t>报告期末按公允价值占基金资产净值比例大小排序的前五名债券投资明细</w:t>
      </w:r>
      <w:bookmarkEnd w:id="209"/>
      <w:bookmarkEnd w:id="210"/>
      <w:bookmarkEnd w:id="211"/>
      <w:bookmarkEnd w:id="212"/>
      <w:bookmarkEnd w:id="213"/>
      <w:bookmarkEnd w:id="214"/>
      <w:bookmarkEnd w:id="215"/>
      <w:bookmarkEnd w:id="216"/>
      <w:proofErr w:type="spellEnd"/>
      <w:r>
        <w:rPr>
          <w:rFonts w:hAnsi="宋体" w:hint="eastAsia"/>
        </w:rPr>
        <w:t xml:space="preserve"> </w:t>
      </w:r>
    </w:p>
    <w:p w:rsidR="00670972" w:rsidRDefault="00202E36">
      <w:pPr>
        <w:spacing w:line="360" w:lineRule="auto"/>
        <w:ind w:firstLineChars="200" w:firstLine="420"/>
        <w:jc w:val="left"/>
      </w:pPr>
      <w:r>
        <w:rPr>
          <w:rFonts w:ascii="宋体" w:hAnsi="宋体" w:hint="eastAsia"/>
          <w:color w:val="000000"/>
          <w:szCs w:val="21"/>
          <w:lang w:eastAsia="zh-Hans"/>
        </w:rPr>
        <w:t>本基金本报告期末未持有债券。</w:t>
      </w:r>
    </w:p>
    <w:p w:rsidR="00670972" w:rsidRDefault="00202E36">
      <w:pPr>
        <w:pStyle w:val="XBRLTitle2"/>
        <w:spacing w:before="156" w:line="360" w:lineRule="auto"/>
        <w:ind w:left="454"/>
      </w:pPr>
      <w:bookmarkStart w:id="218" w:name="_Toc17898203"/>
      <w:bookmarkStart w:id="219" w:name="_Toc17897955"/>
      <w:bookmarkStart w:id="220" w:name="_Toc481075072"/>
      <w:bookmarkStart w:id="221" w:name="_Toc438646473"/>
      <w:bookmarkStart w:id="222" w:name="_Toc490050025"/>
      <w:bookmarkStart w:id="223" w:name="_Toc512519504"/>
      <w:bookmarkStart w:id="224" w:name="_Toc513295864"/>
      <w:bookmarkStart w:id="225" w:name="_Toc513295916"/>
      <w:bookmarkStart w:id="226" w:name="m507"/>
      <w:bookmarkEnd w:id="217"/>
      <w:proofErr w:type="spellStart"/>
      <w:r>
        <w:rPr>
          <w:rFonts w:hAnsi="宋体" w:hint="eastAsia"/>
        </w:rPr>
        <w:t>报告期末按公允价值占基金资产净值比例大小排序的前十名资产支持证券投资明细</w:t>
      </w:r>
      <w:bookmarkEnd w:id="218"/>
      <w:bookmarkEnd w:id="219"/>
      <w:bookmarkEnd w:id="220"/>
      <w:bookmarkEnd w:id="221"/>
      <w:bookmarkEnd w:id="222"/>
      <w:bookmarkEnd w:id="223"/>
      <w:bookmarkEnd w:id="224"/>
      <w:bookmarkEnd w:id="225"/>
      <w:proofErr w:type="spellEnd"/>
      <w:r>
        <w:rPr>
          <w:rFonts w:hAnsi="宋体" w:hint="eastAsia"/>
        </w:rPr>
        <w:t xml:space="preserve"> </w:t>
      </w:r>
    </w:p>
    <w:p w:rsidR="00670972" w:rsidRDefault="00202E36">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670972" w:rsidRDefault="00202E36">
      <w:pPr>
        <w:pStyle w:val="XBRLTitle2"/>
        <w:spacing w:before="156" w:line="360" w:lineRule="auto"/>
        <w:ind w:left="454"/>
      </w:pPr>
      <w:bookmarkStart w:id="227" w:name="_Toc17898204"/>
      <w:bookmarkStart w:id="228" w:name="_Toc17897956"/>
      <w:bookmarkStart w:id="229" w:name="_Toc481075073"/>
      <w:bookmarkStart w:id="230" w:name="_Toc438646474"/>
      <w:bookmarkStart w:id="231" w:name="_Toc490050026"/>
      <w:bookmarkStart w:id="232" w:name="_Toc512519505"/>
      <w:bookmarkStart w:id="233" w:name="_Toc513295865"/>
      <w:bookmarkStart w:id="234" w:name="_Toc513295917"/>
      <w:bookmarkStart w:id="235" w:name="m508"/>
      <w:bookmarkEnd w:id="226"/>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7"/>
      <w:bookmarkEnd w:id="228"/>
      <w:bookmarkEnd w:id="229"/>
      <w:bookmarkEnd w:id="230"/>
      <w:bookmarkEnd w:id="231"/>
      <w:bookmarkEnd w:id="232"/>
      <w:bookmarkEnd w:id="233"/>
      <w:bookmarkEnd w:id="234"/>
      <w:proofErr w:type="spellEnd"/>
      <w:r>
        <w:rPr>
          <w:rFonts w:hAnsi="宋体" w:hint="eastAsia"/>
        </w:rPr>
        <w:t xml:space="preserve"> </w:t>
      </w:r>
    </w:p>
    <w:p w:rsidR="00670972" w:rsidRDefault="00202E36">
      <w:pPr>
        <w:spacing w:line="360" w:lineRule="auto"/>
        <w:ind w:firstLineChars="200" w:firstLine="420"/>
        <w:divId w:val="1669869856"/>
      </w:pPr>
      <w:r>
        <w:rPr>
          <w:rFonts w:ascii="宋体" w:hAnsi="宋体" w:hint="eastAsia"/>
          <w:szCs w:val="21"/>
          <w:lang w:eastAsia="zh-Hans"/>
        </w:rPr>
        <w:t>本基金本报告期末未持有贵金属。</w:t>
      </w:r>
    </w:p>
    <w:p w:rsidR="00670972" w:rsidRDefault="00202E36">
      <w:pPr>
        <w:pStyle w:val="XBRLTitle2"/>
        <w:spacing w:before="156" w:line="360" w:lineRule="auto"/>
        <w:ind w:left="454"/>
      </w:pPr>
      <w:bookmarkStart w:id="236" w:name="_Toc17898205"/>
      <w:bookmarkStart w:id="237" w:name="_Toc17897957"/>
      <w:bookmarkStart w:id="238" w:name="_Toc481075074"/>
      <w:bookmarkStart w:id="239" w:name="_Toc438646475"/>
      <w:bookmarkStart w:id="240" w:name="_Toc490050027"/>
      <w:bookmarkStart w:id="241" w:name="_Toc512519506"/>
      <w:bookmarkStart w:id="242" w:name="_Toc513295866"/>
      <w:bookmarkStart w:id="243" w:name="_Toc513295918"/>
      <w:bookmarkStart w:id="244" w:name="m509"/>
      <w:bookmarkEnd w:id="235"/>
      <w:proofErr w:type="spellStart"/>
      <w:r>
        <w:rPr>
          <w:rFonts w:hAnsi="宋体" w:hint="eastAsia"/>
        </w:rPr>
        <w:t>报告期末按公允价值占基金资产净值比例大小排序的前五名权证投资明细</w:t>
      </w:r>
      <w:bookmarkEnd w:id="236"/>
      <w:bookmarkEnd w:id="237"/>
      <w:bookmarkEnd w:id="238"/>
      <w:bookmarkEnd w:id="239"/>
      <w:bookmarkEnd w:id="240"/>
      <w:bookmarkEnd w:id="241"/>
      <w:bookmarkEnd w:id="242"/>
      <w:bookmarkEnd w:id="243"/>
      <w:proofErr w:type="spellEnd"/>
      <w:r>
        <w:rPr>
          <w:rFonts w:hAnsi="宋体" w:hint="eastAsia"/>
        </w:rPr>
        <w:t xml:space="preserve"> </w:t>
      </w:r>
      <w:bookmarkEnd w:id="244"/>
    </w:p>
    <w:p w:rsidR="00670972" w:rsidRDefault="00202E36">
      <w:pPr>
        <w:spacing w:line="360" w:lineRule="auto"/>
        <w:ind w:firstLineChars="200" w:firstLine="420"/>
        <w:divId w:val="1020276958"/>
      </w:pPr>
      <w:r>
        <w:rPr>
          <w:rFonts w:ascii="宋体" w:hAnsi="宋体" w:hint="eastAsia"/>
          <w:szCs w:val="21"/>
          <w:lang w:eastAsia="zh-Hans"/>
        </w:rPr>
        <w:t>本基金本报告期末未持有权证。</w:t>
      </w:r>
    </w:p>
    <w:p w:rsidR="00670972" w:rsidRDefault="00202E36">
      <w:pPr>
        <w:pStyle w:val="XBRLTitle2"/>
        <w:spacing w:before="156"/>
        <w:ind w:left="454"/>
      </w:pPr>
      <w:bookmarkStart w:id="245" w:name="_Toc17898206"/>
      <w:proofErr w:type="spellStart"/>
      <w:r>
        <w:rPr>
          <w:rFonts w:hint="eastAsia"/>
        </w:rPr>
        <w:t>报告期末本基金投资的股指期货交易情况说明</w:t>
      </w:r>
      <w:bookmarkEnd w:id="245"/>
      <w:bookmarkEnd w:id="186"/>
      <w:bookmarkEnd w:id="187"/>
      <w:bookmarkEnd w:id="188"/>
      <w:bookmarkEnd w:id="189"/>
      <w:bookmarkEnd w:id="190"/>
      <w:bookmarkEnd w:id="191"/>
      <w:bookmarkEnd w:id="192"/>
      <w:bookmarkEnd w:id="193"/>
      <w:bookmarkEnd w:id="71"/>
      <w:bookmarkEnd w:id="72"/>
      <w:bookmarkEnd w:id="17"/>
      <w:proofErr w:type="spellEnd"/>
    </w:p>
    <w:p w:rsidR="00670972" w:rsidRDefault="00202E36">
      <w:pPr>
        <w:spacing w:line="360" w:lineRule="auto"/>
        <w:ind w:firstLineChars="200" w:firstLine="420"/>
        <w:divId w:val="1432776993"/>
      </w:pPr>
      <w:r>
        <w:rPr>
          <w:rFonts w:ascii="宋体" w:hAnsi="宋体" w:hint="eastAsia"/>
          <w:szCs w:val="21"/>
          <w:lang w:eastAsia="zh-Hans"/>
        </w:rPr>
        <w:t>本基金本报告期末未持有股指期货。</w:t>
      </w:r>
    </w:p>
    <w:p w:rsidR="00670972" w:rsidRDefault="00202E36">
      <w:pPr>
        <w:pStyle w:val="XBRLTitle2"/>
        <w:spacing w:before="156" w:line="360" w:lineRule="auto"/>
        <w:ind w:left="454"/>
      </w:pPr>
      <w:bookmarkStart w:id="246" w:name="_Toc17898209"/>
      <w:bookmarkStart w:id="247" w:name="_Toc17897959"/>
      <w:bookmarkStart w:id="248" w:name="_Toc512519510"/>
      <w:bookmarkStart w:id="249" w:name="_Toc481075078"/>
      <w:bookmarkStart w:id="250" w:name="_Toc490050031"/>
      <w:bookmarkStart w:id="251" w:name="_Toc513295868"/>
      <w:bookmarkStart w:id="252" w:name="_Toc513295922"/>
      <w:bookmarkStart w:id="253" w:name="_Toc438646476"/>
      <w:proofErr w:type="spellStart"/>
      <w:r>
        <w:rPr>
          <w:rFonts w:hAnsi="宋体" w:hint="eastAsia"/>
        </w:rPr>
        <w:t>报告期末本基金投资的国债期货交易情况说明</w:t>
      </w:r>
      <w:bookmarkEnd w:id="246"/>
      <w:bookmarkEnd w:id="247"/>
      <w:bookmarkEnd w:id="248"/>
      <w:bookmarkEnd w:id="249"/>
      <w:bookmarkEnd w:id="250"/>
      <w:bookmarkEnd w:id="251"/>
      <w:bookmarkEnd w:id="252"/>
      <w:proofErr w:type="spellEnd"/>
      <w:r>
        <w:rPr>
          <w:rFonts w:hAnsi="宋体" w:hint="eastAsia"/>
        </w:rPr>
        <w:t xml:space="preserve"> </w:t>
      </w:r>
      <w:bookmarkEnd w:id="253"/>
    </w:p>
    <w:p w:rsidR="00670972" w:rsidRDefault="00202E36">
      <w:pPr>
        <w:spacing w:line="360" w:lineRule="auto"/>
        <w:ind w:firstLineChars="200" w:firstLine="420"/>
        <w:divId w:val="536624765"/>
      </w:pPr>
      <w:bookmarkStart w:id="254" w:name="m510_01_1597"/>
      <w:bookmarkStart w:id="255" w:name="m510_01_1598"/>
      <w:bookmarkEnd w:id="254"/>
      <w:r>
        <w:rPr>
          <w:rFonts w:ascii="宋体" w:hAnsi="宋体" w:hint="eastAsia"/>
          <w:szCs w:val="21"/>
          <w:lang w:eastAsia="zh-Hans"/>
        </w:rPr>
        <w:t>本基金本报告期末未持有国债期货。</w:t>
      </w:r>
    </w:p>
    <w:p w:rsidR="00670972" w:rsidRDefault="00202E36">
      <w:pPr>
        <w:pStyle w:val="XBRLTitle2"/>
        <w:spacing w:before="156" w:line="360" w:lineRule="auto"/>
        <w:ind w:left="454"/>
      </w:pPr>
      <w:bookmarkStart w:id="256" w:name="_Toc17898213"/>
      <w:bookmarkStart w:id="257" w:name="_Toc17897960"/>
      <w:bookmarkStart w:id="258" w:name="_Toc512519514"/>
      <w:bookmarkStart w:id="259" w:name="_Toc481075082"/>
      <w:bookmarkStart w:id="260" w:name="_Toc490050035"/>
      <w:bookmarkStart w:id="261" w:name="_Toc513295869"/>
      <w:bookmarkStart w:id="262" w:name="_Toc513295926"/>
      <w:proofErr w:type="spellStart"/>
      <w:r>
        <w:rPr>
          <w:rFonts w:hAnsi="宋体" w:hint="eastAsia"/>
        </w:rPr>
        <w:t>投资组合报告附注</w:t>
      </w:r>
      <w:bookmarkEnd w:id="256"/>
      <w:bookmarkEnd w:id="257"/>
      <w:bookmarkEnd w:id="258"/>
      <w:bookmarkEnd w:id="259"/>
      <w:bookmarkEnd w:id="260"/>
      <w:bookmarkEnd w:id="261"/>
      <w:bookmarkEnd w:id="262"/>
      <w:proofErr w:type="spellEnd"/>
      <w:r>
        <w:rPr>
          <w:rFonts w:hAnsi="宋体" w:hint="eastAsia"/>
        </w:rPr>
        <w:t xml:space="preserve"> </w:t>
      </w:r>
    </w:p>
    <w:p w:rsidR="00670972" w:rsidRDefault="00202E36">
      <w:pPr>
        <w:pStyle w:val="XBRLTitle3"/>
        <w:spacing w:before="156"/>
        <w:ind w:left="0"/>
      </w:pPr>
      <w:bookmarkStart w:id="263" w:name="_Toc513295927"/>
      <w:bookmarkStart w:id="264" w:name="_Toc490050036"/>
      <w:bookmarkStart w:id="265" w:name="_Toc481075083"/>
      <w:bookmarkStart w:id="266" w:name="_Toc512519515"/>
      <w:bookmarkStart w:id="267" w:name="_Toc17898214"/>
      <w:bookmarkEnd w:id="263"/>
      <w:bookmarkEnd w:id="264"/>
      <w:bookmarkEnd w:id="265"/>
      <w:bookmarkEnd w:id="266"/>
      <w:r>
        <w:rPr>
          <w:rFonts w:hint="eastAsia"/>
          <w:lang w:eastAsia="zh-CN"/>
        </w:rPr>
        <w:t xml:space="preserve"> </w:t>
      </w:r>
      <w:bookmarkEnd w:id="267"/>
    </w:p>
    <w:p w:rsidR="00670972" w:rsidRDefault="00202E36">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670972" w:rsidRDefault="00202E36">
      <w:pPr>
        <w:pStyle w:val="XBRLTitle3"/>
        <w:spacing w:before="156"/>
        <w:ind w:left="0"/>
      </w:pPr>
      <w:bookmarkStart w:id="268" w:name="_Toc490050037"/>
      <w:bookmarkStart w:id="269" w:name="_Toc481075084"/>
      <w:bookmarkStart w:id="270" w:name="_Toc512519516"/>
      <w:bookmarkStart w:id="271" w:name="_Toc513295928"/>
      <w:bookmarkStart w:id="272" w:name="_Toc17898215"/>
      <w:bookmarkEnd w:id="268"/>
      <w:bookmarkEnd w:id="269"/>
      <w:bookmarkEnd w:id="270"/>
      <w:bookmarkEnd w:id="271"/>
      <w:r>
        <w:rPr>
          <w:rFonts w:hint="eastAsia"/>
          <w:lang w:eastAsia="zh-CN"/>
        </w:rPr>
        <w:t xml:space="preserve"> </w:t>
      </w:r>
      <w:bookmarkEnd w:id="272"/>
    </w:p>
    <w:p w:rsidR="00670972" w:rsidRDefault="00202E36">
      <w:pPr>
        <w:spacing w:line="360" w:lineRule="auto"/>
        <w:ind w:firstLineChars="200" w:firstLine="420"/>
      </w:pPr>
      <w:r>
        <w:rPr>
          <w:rFonts w:ascii="宋体" w:hAnsi="宋体" w:hint="eastAsia"/>
        </w:rPr>
        <w:t>报告期内本基金投资的前十名股票中没有在基金合同规定备选股票库之外的股票。</w:t>
      </w:r>
    </w:p>
    <w:p w:rsidR="00670972" w:rsidRDefault="00202E36">
      <w:pPr>
        <w:pStyle w:val="XBRLTitle3"/>
        <w:spacing w:before="156"/>
        <w:ind w:left="0"/>
      </w:pPr>
      <w:bookmarkStart w:id="273" w:name="_Toc17898216"/>
      <w:bookmarkStart w:id="274" w:name="_Toc481075085"/>
      <w:bookmarkStart w:id="275" w:name="_Toc490050038"/>
      <w:bookmarkStart w:id="276" w:name="_Toc512519517"/>
      <w:bookmarkStart w:id="277" w:name="_Toc513295929"/>
      <w:bookmarkStart w:id="278" w:name="m510_02"/>
      <w:bookmarkEnd w:id="255"/>
      <w:proofErr w:type="spellStart"/>
      <w:r>
        <w:rPr>
          <w:rFonts w:hint="eastAsia"/>
        </w:rPr>
        <w:t>其他资产构成</w:t>
      </w:r>
      <w:bookmarkEnd w:id="273"/>
      <w:bookmarkEnd w:id="274"/>
      <w:bookmarkEnd w:id="275"/>
      <w:bookmarkEnd w:id="276"/>
      <w:bookmarkEnd w:id="27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670972">
        <w:trPr>
          <w:divId w:val="29926481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0972" w:rsidRDefault="00202E36">
            <w:pPr>
              <w:jc w:val="center"/>
            </w:pPr>
            <w:r>
              <w:rPr>
                <w:rFonts w:ascii="宋体" w:hAnsi="宋体" w:hint="eastAsia"/>
              </w:rPr>
              <w:t>金额（元）</w:t>
            </w:r>
            <w:r>
              <w:t xml:space="preserve"> </w:t>
            </w:r>
          </w:p>
        </w:tc>
      </w:tr>
      <w:tr w:rsidR="00670972">
        <w:trPr>
          <w:divId w:val="2992648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rPr>
              <w:t>-</w:t>
            </w:r>
          </w:p>
        </w:tc>
      </w:tr>
      <w:tr w:rsidR="00670972">
        <w:trPr>
          <w:divId w:val="2992648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rPr>
              <w:t>-</w:t>
            </w:r>
          </w:p>
        </w:tc>
      </w:tr>
      <w:tr w:rsidR="00670972">
        <w:trPr>
          <w:divId w:val="2992648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rPr>
              <w:t>-</w:t>
            </w:r>
          </w:p>
        </w:tc>
      </w:tr>
      <w:tr w:rsidR="00670972">
        <w:trPr>
          <w:divId w:val="2992648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rPr>
              <w:t>-</w:t>
            </w:r>
          </w:p>
        </w:tc>
      </w:tr>
      <w:tr w:rsidR="00670972">
        <w:trPr>
          <w:divId w:val="2992648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rPr>
              <w:t>1,334.80</w:t>
            </w:r>
          </w:p>
        </w:tc>
      </w:tr>
      <w:tr w:rsidR="00670972">
        <w:trPr>
          <w:divId w:val="2992648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rPr>
              <w:t>-</w:t>
            </w:r>
          </w:p>
        </w:tc>
      </w:tr>
      <w:tr w:rsidR="00670972">
        <w:trPr>
          <w:divId w:val="2992648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rPr>
              <w:lastRenderedPageBreak/>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rPr>
              <w:t>-</w:t>
            </w:r>
          </w:p>
        </w:tc>
      </w:tr>
      <w:tr w:rsidR="00670972">
        <w:trPr>
          <w:divId w:val="2992648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70972" w:rsidRDefault="00202E36">
            <w:pPr>
              <w:jc w:val="right"/>
            </w:pPr>
            <w:r>
              <w:rPr>
                <w:rFonts w:ascii="宋体" w:hAnsi="宋体" w:hint="eastAsia"/>
              </w:rPr>
              <w:t>1,334.80</w:t>
            </w:r>
          </w:p>
        </w:tc>
      </w:tr>
    </w:tbl>
    <w:p w:rsidR="00670972" w:rsidRDefault="00202E36">
      <w:pPr>
        <w:pStyle w:val="XBRLTitle3"/>
        <w:spacing w:before="156"/>
        <w:ind w:left="0"/>
      </w:pPr>
      <w:bookmarkStart w:id="279" w:name="_Toc17898217"/>
      <w:bookmarkStart w:id="280" w:name="_Toc481075086"/>
      <w:bookmarkStart w:id="281" w:name="_Toc490050039"/>
      <w:bookmarkStart w:id="282" w:name="_Toc512519518"/>
      <w:bookmarkStart w:id="283" w:name="_Toc513295930"/>
      <w:bookmarkStart w:id="284" w:name="m510_03"/>
      <w:bookmarkEnd w:id="278"/>
      <w:proofErr w:type="spellStart"/>
      <w:r>
        <w:rPr>
          <w:rFonts w:hint="eastAsia"/>
        </w:rPr>
        <w:t>报告期末持有的处于转股期的可转换债券明细</w:t>
      </w:r>
      <w:bookmarkEnd w:id="279"/>
      <w:bookmarkEnd w:id="280"/>
      <w:bookmarkEnd w:id="281"/>
      <w:bookmarkEnd w:id="282"/>
      <w:bookmarkEnd w:id="283"/>
      <w:proofErr w:type="spellEnd"/>
    </w:p>
    <w:p w:rsidR="00670972" w:rsidRDefault="00202E36">
      <w:pPr>
        <w:spacing w:line="360" w:lineRule="auto"/>
        <w:ind w:firstLineChars="200" w:firstLine="420"/>
        <w:jc w:val="left"/>
      </w:pPr>
      <w:r>
        <w:rPr>
          <w:rFonts w:ascii="宋体" w:hAnsi="宋体" w:hint="eastAsia"/>
        </w:rPr>
        <w:t xml:space="preserve">本基金本报告期末未持有处于转股期的可转换债券。 </w:t>
      </w:r>
    </w:p>
    <w:p w:rsidR="00670972" w:rsidRDefault="00202E36">
      <w:pPr>
        <w:pStyle w:val="XBRLTitle3"/>
        <w:spacing w:before="156"/>
        <w:ind w:left="0"/>
      </w:pPr>
      <w:bookmarkStart w:id="285" w:name="_Toc17898218"/>
      <w:bookmarkStart w:id="286" w:name="_Toc481075087"/>
      <w:bookmarkStart w:id="287" w:name="_Toc490050040"/>
      <w:bookmarkStart w:id="288" w:name="_Toc512519519"/>
      <w:bookmarkStart w:id="289" w:name="_Toc513295931"/>
      <w:bookmarkStart w:id="290" w:name="m510_04"/>
      <w:bookmarkEnd w:id="284"/>
      <w:proofErr w:type="spellStart"/>
      <w:r>
        <w:rPr>
          <w:rFonts w:hint="eastAsia"/>
        </w:rPr>
        <w:t>报告期末前十名股票中存在流通受限情况的说明</w:t>
      </w:r>
      <w:bookmarkEnd w:id="285"/>
      <w:bookmarkEnd w:id="286"/>
      <w:bookmarkEnd w:id="287"/>
      <w:bookmarkEnd w:id="288"/>
      <w:bookmarkEnd w:id="289"/>
      <w:proofErr w:type="spellEnd"/>
    </w:p>
    <w:p w:rsidR="00670972" w:rsidRDefault="00202E36">
      <w:pPr>
        <w:spacing w:line="360" w:lineRule="auto"/>
        <w:ind w:firstLineChars="200" w:firstLine="420"/>
        <w:jc w:val="left"/>
        <w:divId w:val="1738673278"/>
      </w:pPr>
      <w:r>
        <w:rPr>
          <w:rFonts w:ascii="宋体" w:hAnsi="宋体" w:hint="eastAsia"/>
        </w:rPr>
        <w:t>本基金本报告期末前十名股票中不存在流通受限情况。</w:t>
      </w:r>
      <w:bookmarkEnd w:id="19"/>
      <w:bookmarkEnd w:id="20"/>
      <w:bookmarkEnd w:id="21"/>
      <w:bookmarkEnd w:id="22"/>
      <w:bookmarkEnd w:id="18"/>
    </w:p>
    <w:p w:rsidR="00670972" w:rsidRDefault="00202E36">
      <w:pPr>
        <w:pStyle w:val="XBRLTitle3"/>
        <w:spacing w:before="156"/>
        <w:ind w:left="0"/>
      </w:pPr>
      <w:bookmarkStart w:id="291" w:name="_Toc17898219"/>
      <w:bookmarkStart w:id="292" w:name="_Toc512519520"/>
      <w:bookmarkStart w:id="293" w:name="_Toc481075088"/>
      <w:bookmarkStart w:id="294" w:name="_Toc490050041"/>
      <w:bookmarkStart w:id="295" w:name="_Toc513295932"/>
      <w:bookmarkStart w:id="296" w:name="m510_05_1678"/>
      <w:bookmarkEnd w:id="290"/>
      <w:proofErr w:type="spellStart"/>
      <w:r>
        <w:rPr>
          <w:rFonts w:hint="eastAsia"/>
        </w:rPr>
        <w:t>投资组合报告附注的其他文字描述部分</w:t>
      </w:r>
      <w:bookmarkEnd w:id="291"/>
      <w:bookmarkEnd w:id="292"/>
      <w:bookmarkEnd w:id="293"/>
      <w:bookmarkEnd w:id="294"/>
      <w:bookmarkEnd w:id="295"/>
      <w:proofErr w:type="spellEnd"/>
      <w:r>
        <w:rPr>
          <w:rFonts w:hint="eastAsia"/>
          <w:sz w:val="21"/>
        </w:rPr>
        <w:t xml:space="preserve"> </w:t>
      </w:r>
    </w:p>
    <w:p w:rsidR="00670972" w:rsidRDefault="00202E36">
      <w:pPr>
        <w:spacing w:line="360" w:lineRule="auto"/>
        <w:ind w:firstLineChars="200" w:firstLine="420"/>
        <w:jc w:val="left"/>
      </w:pPr>
      <w:r>
        <w:rPr>
          <w:rFonts w:ascii="宋体" w:hAnsi="宋体" w:hint="eastAsia"/>
        </w:rPr>
        <w:t>因四舍五入原因，投资组合报告中分项之和与合计可能存在尾差。</w:t>
      </w:r>
      <w:bookmarkEnd w:id="296"/>
      <w:r>
        <w:rPr>
          <w:rFonts w:ascii="宋体" w:hAnsi="宋体" w:hint="eastAsia"/>
        </w:rPr>
        <w:t xml:space="preserve"> </w:t>
      </w:r>
    </w:p>
    <w:p w:rsidR="00670972" w:rsidRDefault="00202E36">
      <w:pPr>
        <w:pStyle w:val="XBRLTitle1"/>
        <w:spacing w:before="156" w:line="360" w:lineRule="auto"/>
        <w:ind w:left="425"/>
      </w:pPr>
      <w:bookmarkStart w:id="297" w:name="_Toc17898220"/>
      <w:bookmarkStart w:id="298" w:name="_Toc17897961"/>
      <w:bookmarkStart w:id="299" w:name="_Toc512519521"/>
      <w:bookmarkStart w:id="300" w:name="_Toc481075089"/>
      <w:bookmarkStart w:id="301" w:name="_Toc438646477"/>
      <w:bookmarkStart w:id="302" w:name="_Toc490050042"/>
      <w:bookmarkStart w:id="303" w:name="_Toc513295870"/>
      <w:bookmarkStart w:id="304" w:name="_Toc513295933"/>
      <w:bookmarkStart w:id="305" w:name="m601"/>
      <w:bookmarkEnd w:id="184"/>
      <w:proofErr w:type="spellStart"/>
      <w:r>
        <w:rPr>
          <w:rFonts w:hAnsi="宋体" w:hint="eastAsia"/>
        </w:rPr>
        <w:t>开放式基金份额变动</w:t>
      </w:r>
      <w:bookmarkStart w:id="306" w:name="m601_tab"/>
      <w:bookmarkEnd w:id="297"/>
      <w:bookmarkEnd w:id="298"/>
      <w:bookmarkEnd w:id="299"/>
      <w:bookmarkEnd w:id="300"/>
      <w:bookmarkEnd w:id="301"/>
      <w:bookmarkEnd w:id="302"/>
      <w:bookmarkEnd w:id="303"/>
      <w:bookmarkEnd w:id="304"/>
      <w:proofErr w:type="spellEnd"/>
      <w:r>
        <w:rPr>
          <w:rFonts w:hAnsi="宋体" w:hint="eastAsia"/>
        </w:rPr>
        <w:t xml:space="preserve"> </w:t>
      </w:r>
    </w:p>
    <w:p w:rsidR="00670972" w:rsidRDefault="00202E36">
      <w:pPr>
        <w:wordWrap w:val="0"/>
        <w:spacing w:line="360" w:lineRule="auto"/>
        <w:jc w:val="right"/>
        <w:divId w:val="280503140"/>
      </w:pPr>
      <w:bookmarkStart w:id="307"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670972">
        <w:trPr>
          <w:divId w:val="28050314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670972" w:rsidRDefault="00202E36">
            <w:pPr>
              <w:pStyle w:val="xl33"/>
              <w:widowControl w:val="0"/>
              <w:pBdr>
                <w:left w:val="none" w:sz="0" w:space="0" w:color="auto"/>
                <w:bottom w:val="none" w:sz="0" w:space="0" w:color="auto"/>
                <w:right w:val="none" w:sz="0" w:space="0" w:color="auto"/>
              </w:pBdr>
              <w:spacing w:before="0" w:beforeAutospacing="0" w:after="0" w:afterAutospacing="0"/>
              <w:jc w:val="both"/>
            </w:pPr>
            <w:bookmarkStart w:id="308" w:name="m10_01" w:colFirst="1" w:colLast="2"/>
            <w:bookmarkEnd w:id="307"/>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0972" w:rsidRDefault="00202E36">
            <w:pPr>
              <w:ind w:right="3"/>
              <w:jc w:val="center"/>
            </w:pPr>
            <w:r>
              <w:rPr>
                <w:rFonts w:ascii="宋体" w:hAnsi="宋体" w:hint="eastAsia"/>
                <w:lang w:eastAsia="zh-Hans"/>
              </w:rPr>
              <w:t>摩根均衡精选混合A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0972" w:rsidRDefault="00202E36">
            <w:pPr>
              <w:ind w:right="3"/>
              <w:jc w:val="center"/>
            </w:pPr>
            <w:r>
              <w:rPr>
                <w:rFonts w:ascii="宋体" w:hAnsi="宋体" w:hint="eastAsia"/>
                <w:lang w:eastAsia="zh-Hans"/>
              </w:rPr>
              <w:t>摩根均衡精选混合C</w:t>
            </w:r>
            <w:r>
              <w:rPr>
                <w:rFonts w:ascii="宋体" w:hAnsi="宋体" w:hint="eastAsia"/>
                <w:kern w:val="0"/>
                <w:szCs w:val="24"/>
                <w:lang w:eastAsia="zh-Hans"/>
              </w:rPr>
              <w:t xml:space="preserve"> </w:t>
            </w:r>
          </w:p>
        </w:tc>
      </w:tr>
      <w:tr w:rsidR="00670972">
        <w:trPr>
          <w:divId w:val="2805031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14,723,902.30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43,530,569.17</w:t>
            </w:r>
          </w:p>
        </w:tc>
      </w:tr>
      <w:tr w:rsidR="00670972">
        <w:trPr>
          <w:divId w:val="2805031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3,176,522.12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1,284,764.60</w:t>
            </w:r>
          </w:p>
        </w:tc>
      </w:tr>
      <w:tr w:rsidR="00670972">
        <w:trPr>
          <w:divId w:val="2805031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6,005,634.07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22,410,498.08</w:t>
            </w:r>
          </w:p>
        </w:tc>
      </w:tr>
      <w:tr w:rsidR="00670972">
        <w:trPr>
          <w:divId w:val="2805031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w:t>
            </w:r>
          </w:p>
        </w:tc>
      </w:tr>
      <w:tr w:rsidR="00670972">
        <w:trPr>
          <w:divId w:val="28050314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11,894,790.35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70972" w:rsidRDefault="00202E36">
            <w:pPr>
              <w:jc w:val="right"/>
            </w:pPr>
            <w:r>
              <w:rPr>
                <w:rFonts w:ascii="宋体" w:hAnsi="宋体" w:hint="eastAsia"/>
              </w:rPr>
              <w:t>22,404,835.69</w:t>
            </w:r>
          </w:p>
        </w:tc>
      </w:tr>
    </w:tbl>
    <w:p w:rsidR="00670972" w:rsidRDefault="00202E36">
      <w:pPr>
        <w:spacing w:line="360" w:lineRule="auto"/>
        <w:jc w:val="left"/>
        <w:divId w:val="28050314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8"/>
      <w:r>
        <w:rPr>
          <w:rFonts w:ascii="宋体" w:hAnsi="宋体" w:hint="eastAsia"/>
        </w:rPr>
        <w:t xml:space="preserve"> </w:t>
      </w:r>
    </w:p>
    <w:p w:rsidR="00670972" w:rsidRDefault="00202E36">
      <w:pPr>
        <w:pStyle w:val="XBRLTitle1"/>
        <w:spacing w:before="156" w:line="360" w:lineRule="auto"/>
        <w:ind w:left="425"/>
      </w:pPr>
      <w:bookmarkStart w:id="309" w:name="_Toc17898221"/>
      <w:bookmarkStart w:id="310" w:name="_Toc17897962"/>
      <w:bookmarkStart w:id="311" w:name="m7manage01"/>
      <w:bookmarkStart w:id="312" w:name="_Toc512519522"/>
      <w:bookmarkStart w:id="313" w:name="_Toc481075090"/>
      <w:bookmarkStart w:id="314" w:name="_Toc438646478"/>
      <w:bookmarkStart w:id="315" w:name="_Toc490050043"/>
      <w:bookmarkStart w:id="316" w:name="_Toc513295871"/>
      <w:bookmarkStart w:id="317" w:name="_Toc513295934"/>
      <w:bookmarkEnd w:id="305"/>
      <w:bookmarkEnd w:id="306"/>
      <w:proofErr w:type="spellStart"/>
      <w:r>
        <w:rPr>
          <w:rFonts w:hAnsi="宋体" w:hint="eastAsia"/>
        </w:rPr>
        <w:t>基金管理人运用固有资金投资本基金情况</w:t>
      </w:r>
      <w:bookmarkEnd w:id="309"/>
      <w:bookmarkEnd w:id="310"/>
      <w:bookmarkEnd w:id="311"/>
      <w:bookmarkEnd w:id="312"/>
      <w:bookmarkEnd w:id="313"/>
      <w:bookmarkEnd w:id="314"/>
      <w:bookmarkEnd w:id="315"/>
      <w:bookmarkEnd w:id="316"/>
      <w:bookmarkEnd w:id="317"/>
      <w:proofErr w:type="spellEnd"/>
      <w:r>
        <w:rPr>
          <w:rFonts w:hAnsi="宋体" w:hint="eastAsia"/>
        </w:rPr>
        <w:t xml:space="preserve"> </w:t>
      </w:r>
    </w:p>
    <w:p w:rsidR="00670972" w:rsidRDefault="00202E36">
      <w:pPr>
        <w:pStyle w:val="XBRLTitle2"/>
        <w:spacing w:before="156" w:line="360" w:lineRule="auto"/>
        <w:ind w:left="454"/>
      </w:pPr>
      <w:bookmarkStart w:id="318" w:name="_Toc17898222"/>
      <w:bookmarkStart w:id="319" w:name="_Toc17897963"/>
      <w:bookmarkStart w:id="320" w:name="_Toc512519523"/>
      <w:bookmarkStart w:id="321" w:name="_Toc481075091"/>
      <w:bookmarkStart w:id="322" w:name="_Toc458599606"/>
      <w:bookmarkStart w:id="323" w:name="_Toc490050044"/>
      <w:bookmarkStart w:id="324" w:name="_Toc513295872"/>
      <w:bookmarkStart w:id="325" w:name="_Toc513295935"/>
      <w:proofErr w:type="spellStart"/>
      <w:r>
        <w:rPr>
          <w:rFonts w:hAnsi="宋体" w:hint="eastAsia"/>
        </w:rPr>
        <w:t>基金管理人持有本基金份额变动情况</w:t>
      </w:r>
      <w:bookmarkEnd w:id="318"/>
      <w:bookmarkEnd w:id="319"/>
      <w:bookmarkEnd w:id="320"/>
      <w:bookmarkEnd w:id="321"/>
      <w:bookmarkEnd w:id="322"/>
      <w:bookmarkEnd w:id="323"/>
      <w:bookmarkEnd w:id="324"/>
      <w:bookmarkEnd w:id="325"/>
      <w:proofErr w:type="spellEnd"/>
      <w:r>
        <w:rPr>
          <w:rFonts w:hAnsi="宋体" w:hint="eastAsia"/>
          <w:lang w:eastAsia="zh-CN"/>
        </w:rPr>
        <w:t xml:space="preserve"> </w:t>
      </w:r>
    </w:p>
    <w:p w:rsidR="00670972" w:rsidRDefault="00202E36">
      <w:pPr>
        <w:spacing w:line="360" w:lineRule="auto"/>
        <w:ind w:firstLineChars="200" w:firstLine="420"/>
        <w:jc w:val="left"/>
        <w:divId w:val="885795694"/>
      </w:pPr>
      <w:r>
        <w:rPr>
          <w:rFonts w:ascii="宋体" w:hAnsi="宋体" w:hint="eastAsia"/>
          <w:szCs w:val="21"/>
          <w:lang w:eastAsia="zh-Hans"/>
        </w:rPr>
        <w:t>无。</w:t>
      </w:r>
      <w:r>
        <w:rPr>
          <w:rFonts w:ascii="宋体" w:hAnsi="宋体" w:hint="eastAsia"/>
          <w:szCs w:val="21"/>
        </w:rPr>
        <w:t xml:space="preserve"> </w:t>
      </w:r>
    </w:p>
    <w:p w:rsidR="00670972" w:rsidRDefault="00202E36">
      <w:pPr>
        <w:pStyle w:val="XBRLTitle2"/>
        <w:spacing w:before="156" w:line="360" w:lineRule="auto"/>
        <w:ind w:left="454"/>
      </w:pPr>
      <w:bookmarkStart w:id="326" w:name="_Toc17898223"/>
      <w:bookmarkStart w:id="327" w:name="_Toc17897964"/>
      <w:bookmarkStart w:id="328" w:name="_Toc512519524"/>
      <w:bookmarkStart w:id="329" w:name="_Toc481075092"/>
      <w:bookmarkStart w:id="330" w:name="_Toc458599607"/>
      <w:bookmarkStart w:id="331" w:name="_Toc490050045"/>
      <w:bookmarkStart w:id="332" w:name="_Toc513295873"/>
      <w:bookmarkStart w:id="333" w:name="_Toc513295936"/>
      <w:proofErr w:type="spellStart"/>
      <w:r>
        <w:rPr>
          <w:rFonts w:hAnsi="宋体" w:hint="eastAsia"/>
        </w:rPr>
        <w:t>基金管理人运用固有资金投资本基金交易明细</w:t>
      </w:r>
      <w:bookmarkEnd w:id="326"/>
      <w:bookmarkEnd w:id="327"/>
      <w:bookmarkEnd w:id="328"/>
      <w:bookmarkEnd w:id="329"/>
      <w:bookmarkEnd w:id="330"/>
      <w:bookmarkEnd w:id="331"/>
      <w:bookmarkEnd w:id="332"/>
      <w:bookmarkEnd w:id="333"/>
      <w:proofErr w:type="spellEnd"/>
      <w:r>
        <w:rPr>
          <w:rFonts w:hAnsi="宋体" w:hint="eastAsia"/>
          <w:lang w:eastAsia="zh-CN"/>
        </w:rPr>
        <w:t xml:space="preserve"> </w:t>
      </w:r>
    </w:p>
    <w:p w:rsidR="00670972" w:rsidRDefault="00202E36">
      <w:pPr>
        <w:spacing w:line="360" w:lineRule="auto"/>
        <w:ind w:firstLineChars="200" w:firstLine="420"/>
        <w:jc w:val="left"/>
        <w:divId w:val="487406070"/>
      </w:pPr>
      <w:r>
        <w:rPr>
          <w:rFonts w:ascii="宋体" w:hAnsi="宋体" w:hint="eastAsia"/>
          <w:lang w:eastAsia="zh-Hans"/>
        </w:rPr>
        <w:t>无。</w:t>
      </w:r>
      <w:r>
        <w:rPr>
          <w:rFonts w:ascii="宋体" w:hAnsi="宋体" w:hint="eastAsia"/>
        </w:rPr>
        <w:t xml:space="preserve"> </w:t>
      </w:r>
    </w:p>
    <w:p w:rsidR="00670972" w:rsidRDefault="00202E36">
      <w:pPr>
        <w:pStyle w:val="XBRLTitle1"/>
        <w:spacing w:before="156" w:line="360" w:lineRule="auto"/>
        <w:ind w:left="425"/>
      </w:pPr>
      <w:bookmarkStart w:id="334" w:name="_Toc17898225"/>
      <w:bookmarkStart w:id="335" w:name="_Toc17897966"/>
      <w:bookmarkStart w:id="336" w:name="_Toc512519526"/>
      <w:bookmarkStart w:id="337" w:name="_Toc490050046"/>
      <w:bookmarkStart w:id="338" w:name="_Toc481075094"/>
      <w:bookmarkStart w:id="339" w:name="_Toc479856294"/>
      <w:bookmarkStart w:id="340" w:name="_Toc513295875"/>
      <w:bookmarkStart w:id="341" w:name="_Toc513295938"/>
      <w:bookmarkStart w:id="342" w:name="m701"/>
      <w:proofErr w:type="spellStart"/>
      <w:r>
        <w:rPr>
          <w:rFonts w:hAnsi="宋体" w:hint="eastAsia"/>
        </w:rPr>
        <w:t>影响投资者决策的其他重要信息</w:t>
      </w:r>
      <w:bookmarkEnd w:id="334"/>
      <w:bookmarkEnd w:id="335"/>
      <w:bookmarkEnd w:id="336"/>
      <w:bookmarkEnd w:id="337"/>
      <w:bookmarkEnd w:id="338"/>
      <w:bookmarkEnd w:id="339"/>
      <w:bookmarkEnd w:id="340"/>
      <w:bookmarkEnd w:id="341"/>
      <w:proofErr w:type="spellEnd"/>
      <w:r>
        <w:rPr>
          <w:rFonts w:hAnsi="宋体" w:hint="eastAsia"/>
          <w:lang w:eastAsia="zh-CN"/>
        </w:rPr>
        <w:t xml:space="preserve"> </w:t>
      </w:r>
    </w:p>
    <w:p w:rsidR="00670972" w:rsidRDefault="00202E36">
      <w:pPr>
        <w:pStyle w:val="XBRLTitle2"/>
        <w:spacing w:before="156" w:line="360" w:lineRule="auto"/>
        <w:ind w:left="454"/>
      </w:pPr>
      <w:bookmarkStart w:id="343" w:name="_Toc17898226"/>
      <w:bookmarkStart w:id="344" w:name="_Toc17897967"/>
      <w:bookmarkStart w:id="345" w:name="_Toc512519527"/>
      <w:bookmarkStart w:id="346" w:name="_Toc481075095"/>
      <w:bookmarkStart w:id="347" w:name="_Toc490050047"/>
      <w:bookmarkStart w:id="348" w:name="_Toc513295876"/>
      <w:bookmarkStart w:id="349" w:name="_Toc513295939"/>
      <w:r>
        <w:rPr>
          <w:rFonts w:hAnsi="宋体" w:hint="eastAsia"/>
          <w:kern w:val="0"/>
        </w:rPr>
        <w:t>报告期内单一投资者持有基金份额比例达到或超过20%的情况</w:t>
      </w:r>
      <w:bookmarkEnd w:id="343"/>
      <w:bookmarkEnd w:id="344"/>
      <w:bookmarkEnd w:id="345"/>
      <w:bookmarkEnd w:id="346"/>
      <w:bookmarkEnd w:id="347"/>
      <w:bookmarkEnd w:id="348"/>
      <w:bookmarkEnd w:id="349"/>
      <w:r>
        <w:rPr>
          <w:rFonts w:hAnsi="宋体" w:hint="eastAsia"/>
          <w:kern w:val="0"/>
          <w:lang w:eastAsia="zh-CN"/>
        </w:rPr>
        <w:t xml:space="preserve"> </w:t>
      </w:r>
    </w:p>
    <w:bookmarkEnd w:id="23"/>
    <w:bookmarkEnd w:id="43"/>
    <w:bookmarkEnd w:id="44"/>
    <w:p w:rsidR="00670972" w:rsidRDefault="00202E36">
      <w:pPr>
        <w:spacing w:line="360" w:lineRule="auto"/>
        <w:ind w:firstLineChars="200" w:firstLine="420"/>
        <w:divId w:val="932394498"/>
        <w:rPr>
          <w:rFonts w:ascii="宋体" w:hAnsi="宋体"/>
          <w:szCs w:val="21"/>
          <w:lang w:eastAsia="zh-Hans"/>
        </w:rPr>
      </w:pPr>
      <w:r>
        <w:rPr>
          <w:rFonts w:ascii="宋体" w:hAnsi="宋体" w:hint="eastAsia"/>
          <w:szCs w:val="21"/>
          <w:lang w:eastAsia="zh-Hans"/>
        </w:rPr>
        <w:t>无。</w:t>
      </w:r>
    </w:p>
    <w:p w:rsidR="00670972" w:rsidRDefault="00202E36">
      <w:pPr>
        <w:pStyle w:val="XBRLTitle1"/>
        <w:spacing w:before="156" w:line="360" w:lineRule="auto"/>
        <w:ind w:left="425"/>
      </w:pPr>
      <w:bookmarkStart w:id="350" w:name="_Toc17898228"/>
      <w:bookmarkStart w:id="351" w:name="_Toc17897969"/>
      <w:bookmarkStart w:id="352" w:name="_Toc512519529"/>
      <w:bookmarkStart w:id="353" w:name="_Toc490050049"/>
      <w:bookmarkStart w:id="354" w:name="_Toc481075097"/>
      <w:bookmarkStart w:id="355" w:name="_Toc438646481"/>
      <w:bookmarkStart w:id="356" w:name="_Toc513295878"/>
      <w:bookmarkStart w:id="357" w:name="_Toc513295941"/>
      <w:bookmarkEnd w:id="342"/>
      <w:proofErr w:type="spellStart"/>
      <w:r>
        <w:rPr>
          <w:rFonts w:hAnsi="宋体" w:hint="eastAsia"/>
        </w:rPr>
        <w:t>备查文件目录</w:t>
      </w:r>
      <w:bookmarkEnd w:id="350"/>
      <w:bookmarkEnd w:id="351"/>
      <w:bookmarkEnd w:id="352"/>
      <w:bookmarkEnd w:id="353"/>
      <w:bookmarkEnd w:id="354"/>
      <w:bookmarkEnd w:id="355"/>
      <w:bookmarkEnd w:id="356"/>
      <w:bookmarkEnd w:id="357"/>
      <w:proofErr w:type="spellEnd"/>
      <w:r>
        <w:rPr>
          <w:rFonts w:hAnsi="宋体" w:hint="eastAsia"/>
        </w:rPr>
        <w:t xml:space="preserve"> </w:t>
      </w:r>
    </w:p>
    <w:p w:rsidR="00670972" w:rsidRDefault="00202E36">
      <w:pPr>
        <w:pStyle w:val="XBRLTitle2"/>
        <w:spacing w:before="156" w:line="360" w:lineRule="auto"/>
        <w:ind w:left="454"/>
      </w:pPr>
      <w:bookmarkStart w:id="358" w:name="_Toc438646482"/>
      <w:bookmarkStart w:id="359" w:name="_Toc17898229"/>
      <w:bookmarkStart w:id="360" w:name="_Toc17897970"/>
      <w:bookmarkStart w:id="361" w:name="_Toc512519530"/>
      <w:bookmarkStart w:id="362" w:name="_Toc481075098"/>
      <w:bookmarkStart w:id="363" w:name="_Toc490050050"/>
      <w:bookmarkStart w:id="364" w:name="_Toc513295879"/>
      <w:bookmarkStart w:id="365" w:name="_Toc513295942"/>
      <w:bookmarkStart w:id="366" w:name="m801_01_1733"/>
      <w:proofErr w:type="spellStart"/>
      <w:r>
        <w:rPr>
          <w:rFonts w:hAnsi="宋体" w:hint="eastAsia"/>
        </w:rPr>
        <w:t>备查文件目录</w:t>
      </w:r>
      <w:bookmarkEnd w:id="358"/>
      <w:bookmarkEnd w:id="359"/>
      <w:bookmarkEnd w:id="360"/>
      <w:bookmarkEnd w:id="361"/>
      <w:bookmarkEnd w:id="362"/>
      <w:bookmarkEnd w:id="363"/>
      <w:bookmarkEnd w:id="364"/>
      <w:bookmarkEnd w:id="365"/>
      <w:proofErr w:type="spellEnd"/>
      <w:r>
        <w:rPr>
          <w:rFonts w:hAnsi="宋体" w:hint="eastAsia"/>
        </w:rPr>
        <w:t xml:space="preserve"> </w:t>
      </w:r>
    </w:p>
    <w:p w:rsidR="00604FA6" w:rsidRDefault="00202E36" w:rsidP="00A806E5">
      <w:pPr>
        <w:spacing w:line="360" w:lineRule="auto"/>
        <w:rPr>
          <w:rFonts w:eastAsiaTheme="minorEastAsia"/>
          <w:color w:val="000000" w:themeColor="text1"/>
          <w:szCs w:val="21"/>
        </w:rPr>
      </w:pPr>
      <w:r>
        <w:rPr>
          <w:rFonts w:ascii="宋体" w:hAnsi="宋体" w:cs="宋体" w:hint="eastAsia"/>
          <w:color w:val="000000"/>
          <w:kern w:val="0"/>
        </w:rPr>
        <w:lastRenderedPageBreak/>
        <w:t>（一）</w:t>
      </w:r>
      <w:r w:rsidR="00604FA6">
        <w:rPr>
          <w:rFonts w:eastAsiaTheme="minorEastAsia"/>
          <w:color w:val="000000" w:themeColor="text1"/>
          <w:szCs w:val="21"/>
        </w:rPr>
        <w:t>中国证监会准予摩根均衡精选混合型证券投资基金募集注册的文件</w:t>
      </w:r>
    </w:p>
    <w:p w:rsidR="00670972" w:rsidRDefault="00202E36" w:rsidP="00A806E5">
      <w:pPr>
        <w:spacing w:line="360" w:lineRule="auto"/>
        <w:jc w:val="left"/>
      </w:pPr>
      <w:r>
        <w:rPr>
          <w:rFonts w:ascii="宋体" w:hAnsi="宋体" w:cs="宋体" w:hint="eastAsia"/>
          <w:color w:val="000000"/>
          <w:kern w:val="0"/>
        </w:rPr>
        <w:t>（二）摩根均衡精选混合型证券投资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（三）摩根均衡精选混合型证券投资基金托管协议</w:t>
      </w:r>
      <w:r>
        <w:rPr>
          <w:rFonts w:ascii="宋体" w:hAnsi="宋体" w:cs="宋体" w:hint="eastAsia"/>
          <w:color w:val="000000"/>
          <w:kern w:val="0"/>
        </w:rPr>
        <w:br/>
        <w:t>（四）法律意见书</w:t>
      </w:r>
      <w:r>
        <w:rPr>
          <w:rFonts w:ascii="宋体" w:hAnsi="宋体" w:cs="宋体" w:hint="eastAsia"/>
          <w:color w:val="000000"/>
          <w:kern w:val="0"/>
        </w:rPr>
        <w:br/>
        <w:t>（五）基金管理人业务资格批件、营业执照</w:t>
      </w:r>
      <w:r>
        <w:rPr>
          <w:rFonts w:ascii="宋体" w:hAnsi="宋体" w:cs="宋体" w:hint="eastAsia"/>
          <w:color w:val="000000"/>
          <w:kern w:val="0"/>
        </w:rPr>
        <w:br/>
        <w:t>（六）基金托管人业务资格批件、营业执照</w:t>
      </w:r>
      <w:r>
        <w:rPr>
          <w:rFonts w:ascii="宋体" w:hAnsi="宋体" w:cs="宋体" w:hint="eastAsia"/>
          <w:color w:val="000000"/>
          <w:kern w:val="0"/>
        </w:rPr>
        <w:br/>
        <w:t>（七）摩根基金管理（中国）有限公司开放式基金业务规则</w:t>
      </w:r>
      <w:r>
        <w:rPr>
          <w:rFonts w:ascii="宋体" w:hAnsi="宋体" w:cs="宋体" w:hint="eastAsia"/>
          <w:color w:val="000000"/>
          <w:kern w:val="0"/>
        </w:rPr>
        <w:br/>
        <w:t>（八）中国证监会要求的其他文件</w:t>
      </w:r>
    </w:p>
    <w:p w:rsidR="00670972" w:rsidRDefault="00202E36">
      <w:pPr>
        <w:pStyle w:val="XBRLTitle2"/>
        <w:spacing w:before="156" w:line="360" w:lineRule="auto"/>
        <w:ind w:left="454"/>
      </w:pPr>
      <w:bookmarkStart w:id="367" w:name="_Toc438646483"/>
      <w:bookmarkStart w:id="368" w:name="_Toc17898230"/>
      <w:bookmarkStart w:id="369" w:name="_Toc17897971"/>
      <w:bookmarkStart w:id="370" w:name="_Toc512519531"/>
      <w:bookmarkStart w:id="371" w:name="_Toc481075099"/>
      <w:bookmarkStart w:id="372" w:name="_Toc490050051"/>
      <w:bookmarkStart w:id="373" w:name="_Toc513295880"/>
      <w:bookmarkStart w:id="374" w:name="_Toc513295943"/>
      <w:bookmarkStart w:id="375" w:name="m801_01_1734"/>
      <w:bookmarkEnd w:id="366"/>
      <w:proofErr w:type="spellStart"/>
      <w:r>
        <w:rPr>
          <w:rFonts w:hAnsi="宋体" w:hint="eastAsia"/>
        </w:rPr>
        <w:t>存放地点</w:t>
      </w:r>
      <w:bookmarkEnd w:id="367"/>
      <w:bookmarkEnd w:id="368"/>
      <w:bookmarkEnd w:id="369"/>
      <w:bookmarkEnd w:id="370"/>
      <w:bookmarkEnd w:id="371"/>
      <w:bookmarkEnd w:id="372"/>
      <w:bookmarkEnd w:id="373"/>
      <w:bookmarkEnd w:id="374"/>
      <w:proofErr w:type="spellEnd"/>
      <w:r>
        <w:rPr>
          <w:rFonts w:hAnsi="宋体" w:hint="eastAsia"/>
        </w:rPr>
        <w:t xml:space="preserve"> </w:t>
      </w:r>
    </w:p>
    <w:p w:rsidR="00670972" w:rsidRDefault="00202E36">
      <w:pPr>
        <w:spacing w:line="360" w:lineRule="auto"/>
        <w:ind w:firstLineChars="200" w:firstLine="420"/>
        <w:jc w:val="left"/>
      </w:pPr>
      <w:r>
        <w:rPr>
          <w:rFonts w:ascii="宋体" w:hAnsi="宋体" w:cs="宋体" w:hint="eastAsia"/>
          <w:color w:val="000000"/>
          <w:kern w:val="0"/>
        </w:rPr>
        <w:t>基金管理人或基金托管人住所。</w:t>
      </w:r>
    </w:p>
    <w:p w:rsidR="00670972" w:rsidRDefault="00202E36">
      <w:pPr>
        <w:pStyle w:val="XBRLTitle2"/>
        <w:spacing w:before="156" w:line="360" w:lineRule="auto"/>
        <w:ind w:left="454"/>
      </w:pPr>
      <w:bookmarkStart w:id="376" w:name="_Toc438646484"/>
      <w:bookmarkStart w:id="377" w:name="_Toc17898231"/>
      <w:bookmarkStart w:id="378" w:name="_Toc17897972"/>
      <w:bookmarkStart w:id="379" w:name="_Toc512519532"/>
      <w:bookmarkStart w:id="380" w:name="_Toc481075100"/>
      <w:bookmarkStart w:id="381" w:name="_Toc490050052"/>
      <w:bookmarkStart w:id="382" w:name="_Toc513295881"/>
      <w:bookmarkStart w:id="383" w:name="_Toc513295944"/>
      <w:bookmarkStart w:id="384" w:name="m801_01_1735"/>
      <w:bookmarkEnd w:id="375"/>
      <w:proofErr w:type="spellStart"/>
      <w:r>
        <w:rPr>
          <w:rFonts w:hAnsi="宋体" w:hint="eastAsia"/>
        </w:rPr>
        <w:t>查阅方式</w:t>
      </w:r>
      <w:bookmarkEnd w:id="376"/>
      <w:bookmarkEnd w:id="377"/>
      <w:bookmarkEnd w:id="378"/>
      <w:bookmarkEnd w:id="379"/>
      <w:bookmarkEnd w:id="380"/>
      <w:bookmarkEnd w:id="381"/>
      <w:bookmarkEnd w:id="382"/>
      <w:bookmarkEnd w:id="383"/>
      <w:proofErr w:type="spellEnd"/>
      <w:r>
        <w:rPr>
          <w:rFonts w:hAnsi="宋体" w:hint="eastAsia"/>
        </w:rPr>
        <w:t xml:space="preserve"> </w:t>
      </w:r>
    </w:p>
    <w:p w:rsidR="00670972" w:rsidRDefault="00202E36">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4"/>
    <w:p w:rsidR="00670972" w:rsidRDefault="00202E36">
      <w:pPr>
        <w:spacing w:line="360" w:lineRule="auto"/>
        <w:ind w:firstLineChars="600" w:firstLine="1687"/>
        <w:jc w:val="left"/>
      </w:pPr>
      <w:r>
        <w:rPr>
          <w:rFonts w:ascii="宋体" w:hAnsi="宋体" w:hint="eastAsia"/>
          <w:b/>
          <w:bCs/>
          <w:sz w:val="28"/>
          <w:szCs w:val="30"/>
        </w:rPr>
        <w:t xml:space="preserve">　 </w:t>
      </w:r>
    </w:p>
    <w:p w:rsidR="00670972" w:rsidRDefault="00202E36">
      <w:pPr>
        <w:spacing w:line="360" w:lineRule="auto"/>
        <w:ind w:firstLineChars="600" w:firstLine="1687"/>
        <w:jc w:val="left"/>
      </w:pPr>
      <w:r>
        <w:rPr>
          <w:rFonts w:ascii="宋体" w:hAnsi="宋体" w:hint="eastAsia"/>
          <w:b/>
          <w:bCs/>
          <w:sz w:val="28"/>
          <w:szCs w:val="30"/>
        </w:rPr>
        <w:t xml:space="preserve">　 </w:t>
      </w:r>
    </w:p>
    <w:p w:rsidR="00670972" w:rsidRDefault="00202E36">
      <w:pPr>
        <w:spacing w:line="360" w:lineRule="auto"/>
        <w:ind w:firstLineChars="600" w:firstLine="1446"/>
        <w:jc w:val="right"/>
      </w:pPr>
      <w:r>
        <w:rPr>
          <w:rFonts w:ascii="宋体" w:hAnsi="宋体" w:hint="eastAsia"/>
          <w:b/>
          <w:bCs/>
          <w:sz w:val="24"/>
          <w:szCs w:val="24"/>
        </w:rPr>
        <w:t>摩根基金管理（中国）有限公司</w:t>
      </w:r>
    </w:p>
    <w:p w:rsidR="00670972" w:rsidRDefault="00202E36">
      <w:pPr>
        <w:spacing w:line="360" w:lineRule="auto"/>
        <w:ind w:firstLineChars="600" w:firstLine="1446"/>
        <w:jc w:val="right"/>
      </w:pPr>
      <w:r>
        <w:rPr>
          <w:rFonts w:ascii="宋体" w:hAnsi="宋体" w:hint="eastAsia"/>
          <w:b/>
          <w:bCs/>
          <w:sz w:val="24"/>
          <w:szCs w:val="24"/>
        </w:rPr>
        <w:t>2025年4月22日</w:t>
      </w:r>
      <w:bookmarkEnd w:id="24"/>
    </w:p>
    <w:sectPr w:rsidR="00670972">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72" w:rsidRDefault="00202E36">
      <w:pPr>
        <w:rPr>
          <w:szCs w:val="21"/>
        </w:rPr>
      </w:pPr>
      <w:r>
        <w:rPr>
          <w:szCs w:val="21"/>
        </w:rPr>
        <w:separator/>
      </w:r>
      <w:r>
        <w:rPr>
          <w:szCs w:val="21"/>
        </w:rPr>
        <w:t xml:space="preserve"> </w:t>
      </w:r>
    </w:p>
  </w:endnote>
  <w:endnote w:type="continuationSeparator" w:id="0">
    <w:p w:rsidR="00670972" w:rsidRDefault="00202E36">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72" w:rsidRDefault="00202E36">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A806E5">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A806E5">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72" w:rsidRDefault="00202E36">
      <w:pPr>
        <w:rPr>
          <w:szCs w:val="21"/>
        </w:rPr>
      </w:pPr>
      <w:r>
        <w:rPr>
          <w:szCs w:val="21"/>
        </w:rPr>
        <w:separator/>
      </w:r>
      <w:r>
        <w:rPr>
          <w:szCs w:val="21"/>
        </w:rPr>
        <w:t xml:space="preserve"> </w:t>
      </w:r>
    </w:p>
  </w:footnote>
  <w:footnote w:type="continuationSeparator" w:id="0">
    <w:p w:rsidR="00670972" w:rsidRDefault="00202E36">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72" w:rsidRDefault="00202E36">
    <w:pPr>
      <w:pStyle w:val="a8"/>
      <w:jc w:val="right"/>
    </w:pPr>
    <w:r>
      <w:rPr>
        <w:rFonts w:ascii="宋体" w:hAnsi="宋体" w:hint="eastAsia"/>
      </w:rPr>
      <w:t>摩根均衡精选混合型证券投资基金2025年第1季度报告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36"/>
    <w:rsid w:val="00202E36"/>
    <w:rsid w:val="00604FA6"/>
    <w:rsid w:val="00670972"/>
    <w:rsid w:val="00A8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CDE1C0E-CD8F-44EE-A829-013E61E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9759">
      <w:marLeft w:val="0"/>
      <w:marRight w:val="0"/>
      <w:marTop w:val="0"/>
      <w:marBottom w:val="0"/>
      <w:divBdr>
        <w:top w:val="none" w:sz="0" w:space="0" w:color="auto"/>
        <w:left w:val="none" w:sz="0" w:space="0" w:color="auto"/>
        <w:bottom w:val="none" w:sz="0" w:space="0" w:color="auto"/>
        <w:right w:val="none" w:sz="0" w:space="0" w:color="auto"/>
      </w:divBdr>
    </w:div>
    <w:div w:id="255788833">
      <w:marLeft w:val="0"/>
      <w:marRight w:val="0"/>
      <w:marTop w:val="0"/>
      <w:marBottom w:val="0"/>
      <w:divBdr>
        <w:top w:val="none" w:sz="0" w:space="0" w:color="auto"/>
        <w:left w:val="none" w:sz="0" w:space="0" w:color="auto"/>
        <w:bottom w:val="none" w:sz="0" w:space="0" w:color="auto"/>
        <w:right w:val="none" w:sz="0" w:space="0" w:color="auto"/>
      </w:divBdr>
      <w:divsChild>
        <w:div w:id="583802082">
          <w:marLeft w:val="0"/>
          <w:marRight w:val="0"/>
          <w:marTop w:val="0"/>
          <w:marBottom w:val="0"/>
          <w:divBdr>
            <w:top w:val="none" w:sz="0" w:space="0" w:color="auto"/>
            <w:left w:val="none" w:sz="0" w:space="0" w:color="auto"/>
            <w:bottom w:val="none" w:sz="0" w:space="0" w:color="auto"/>
            <w:right w:val="none" w:sz="0" w:space="0" w:color="auto"/>
          </w:divBdr>
        </w:div>
      </w:divsChild>
    </w:div>
    <w:div w:id="280503140">
      <w:marLeft w:val="0"/>
      <w:marRight w:val="0"/>
      <w:marTop w:val="0"/>
      <w:marBottom w:val="0"/>
      <w:divBdr>
        <w:top w:val="none" w:sz="0" w:space="0" w:color="auto"/>
        <w:left w:val="none" w:sz="0" w:space="0" w:color="auto"/>
        <w:bottom w:val="none" w:sz="0" w:space="0" w:color="auto"/>
        <w:right w:val="none" w:sz="0" w:space="0" w:color="auto"/>
      </w:divBdr>
    </w:div>
    <w:div w:id="487406070">
      <w:marLeft w:val="0"/>
      <w:marRight w:val="0"/>
      <w:marTop w:val="0"/>
      <w:marBottom w:val="0"/>
      <w:divBdr>
        <w:top w:val="none" w:sz="0" w:space="0" w:color="auto"/>
        <w:left w:val="none" w:sz="0" w:space="0" w:color="auto"/>
        <w:bottom w:val="none" w:sz="0" w:space="0" w:color="auto"/>
        <w:right w:val="none" w:sz="0" w:space="0" w:color="auto"/>
      </w:divBdr>
    </w:div>
    <w:div w:id="519051271">
      <w:marLeft w:val="0"/>
      <w:marRight w:val="0"/>
      <w:marTop w:val="0"/>
      <w:marBottom w:val="0"/>
      <w:divBdr>
        <w:top w:val="none" w:sz="0" w:space="0" w:color="auto"/>
        <w:left w:val="none" w:sz="0" w:space="0" w:color="auto"/>
        <w:bottom w:val="none" w:sz="0" w:space="0" w:color="auto"/>
        <w:right w:val="none" w:sz="0" w:space="0" w:color="auto"/>
      </w:divBdr>
    </w:div>
    <w:div w:id="536624765">
      <w:marLeft w:val="0"/>
      <w:marRight w:val="0"/>
      <w:marTop w:val="0"/>
      <w:marBottom w:val="0"/>
      <w:divBdr>
        <w:top w:val="none" w:sz="0" w:space="0" w:color="auto"/>
        <w:left w:val="none" w:sz="0" w:space="0" w:color="auto"/>
        <w:bottom w:val="none" w:sz="0" w:space="0" w:color="auto"/>
        <w:right w:val="none" w:sz="0" w:space="0" w:color="auto"/>
      </w:divBdr>
    </w:div>
    <w:div w:id="759986242">
      <w:marLeft w:val="0"/>
      <w:marRight w:val="0"/>
      <w:marTop w:val="0"/>
      <w:marBottom w:val="0"/>
      <w:divBdr>
        <w:top w:val="none" w:sz="0" w:space="0" w:color="auto"/>
        <w:left w:val="none" w:sz="0" w:space="0" w:color="auto"/>
        <w:bottom w:val="none" w:sz="0" w:space="0" w:color="auto"/>
        <w:right w:val="none" w:sz="0" w:space="0" w:color="auto"/>
      </w:divBdr>
      <w:divsChild>
        <w:div w:id="452407417">
          <w:marLeft w:val="0"/>
          <w:marRight w:val="0"/>
          <w:marTop w:val="0"/>
          <w:marBottom w:val="0"/>
          <w:divBdr>
            <w:top w:val="none" w:sz="0" w:space="0" w:color="auto"/>
            <w:left w:val="none" w:sz="0" w:space="0" w:color="auto"/>
            <w:bottom w:val="none" w:sz="0" w:space="0" w:color="auto"/>
            <w:right w:val="none" w:sz="0" w:space="0" w:color="auto"/>
          </w:divBdr>
        </w:div>
      </w:divsChild>
    </w:div>
    <w:div w:id="885795694">
      <w:marLeft w:val="0"/>
      <w:marRight w:val="0"/>
      <w:marTop w:val="0"/>
      <w:marBottom w:val="0"/>
      <w:divBdr>
        <w:top w:val="none" w:sz="0" w:space="0" w:color="auto"/>
        <w:left w:val="none" w:sz="0" w:space="0" w:color="auto"/>
        <w:bottom w:val="none" w:sz="0" w:space="0" w:color="auto"/>
        <w:right w:val="none" w:sz="0" w:space="0" w:color="auto"/>
      </w:divBdr>
    </w:div>
    <w:div w:id="912736415">
      <w:marLeft w:val="0"/>
      <w:marRight w:val="0"/>
      <w:marTop w:val="0"/>
      <w:marBottom w:val="0"/>
      <w:divBdr>
        <w:top w:val="none" w:sz="0" w:space="0" w:color="auto"/>
        <w:left w:val="none" w:sz="0" w:space="0" w:color="auto"/>
        <w:bottom w:val="none" w:sz="0" w:space="0" w:color="auto"/>
        <w:right w:val="none" w:sz="0" w:space="0" w:color="auto"/>
      </w:divBdr>
      <w:divsChild>
        <w:div w:id="834302395">
          <w:marLeft w:val="0"/>
          <w:marRight w:val="0"/>
          <w:marTop w:val="0"/>
          <w:marBottom w:val="0"/>
          <w:divBdr>
            <w:top w:val="none" w:sz="0" w:space="0" w:color="auto"/>
            <w:left w:val="none" w:sz="0" w:space="0" w:color="auto"/>
            <w:bottom w:val="none" w:sz="0" w:space="0" w:color="auto"/>
            <w:right w:val="none" w:sz="0" w:space="0" w:color="auto"/>
          </w:divBdr>
        </w:div>
      </w:divsChild>
    </w:div>
    <w:div w:id="932394498">
      <w:marLeft w:val="0"/>
      <w:marRight w:val="0"/>
      <w:marTop w:val="0"/>
      <w:marBottom w:val="0"/>
      <w:divBdr>
        <w:top w:val="none" w:sz="0" w:space="0" w:color="auto"/>
        <w:left w:val="none" w:sz="0" w:space="0" w:color="auto"/>
        <w:bottom w:val="none" w:sz="0" w:space="0" w:color="auto"/>
        <w:right w:val="none" w:sz="0" w:space="0" w:color="auto"/>
      </w:divBdr>
    </w:div>
    <w:div w:id="943004171">
      <w:marLeft w:val="0"/>
      <w:marRight w:val="0"/>
      <w:marTop w:val="0"/>
      <w:marBottom w:val="0"/>
      <w:divBdr>
        <w:top w:val="none" w:sz="0" w:space="0" w:color="auto"/>
        <w:left w:val="none" w:sz="0" w:space="0" w:color="auto"/>
        <w:bottom w:val="none" w:sz="0" w:space="0" w:color="auto"/>
        <w:right w:val="none" w:sz="0" w:space="0" w:color="auto"/>
      </w:divBdr>
      <w:divsChild>
        <w:div w:id="659425729">
          <w:marLeft w:val="0"/>
          <w:marRight w:val="0"/>
          <w:marTop w:val="0"/>
          <w:marBottom w:val="0"/>
          <w:divBdr>
            <w:top w:val="none" w:sz="0" w:space="0" w:color="auto"/>
            <w:left w:val="none" w:sz="0" w:space="0" w:color="auto"/>
            <w:bottom w:val="none" w:sz="0" w:space="0" w:color="auto"/>
            <w:right w:val="none" w:sz="0" w:space="0" w:color="auto"/>
          </w:divBdr>
        </w:div>
      </w:divsChild>
    </w:div>
    <w:div w:id="984941724">
      <w:marLeft w:val="0"/>
      <w:marRight w:val="0"/>
      <w:marTop w:val="0"/>
      <w:marBottom w:val="0"/>
      <w:divBdr>
        <w:top w:val="none" w:sz="0" w:space="0" w:color="auto"/>
        <w:left w:val="none" w:sz="0" w:space="0" w:color="auto"/>
        <w:bottom w:val="none" w:sz="0" w:space="0" w:color="auto"/>
        <w:right w:val="none" w:sz="0" w:space="0" w:color="auto"/>
      </w:divBdr>
      <w:divsChild>
        <w:div w:id="299264813">
          <w:marLeft w:val="0"/>
          <w:marRight w:val="0"/>
          <w:marTop w:val="0"/>
          <w:marBottom w:val="0"/>
          <w:divBdr>
            <w:top w:val="none" w:sz="0" w:space="0" w:color="auto"/>
            <w:left w:val="none" w:sz="0" w:space="0" w:color="auto"/>
            <w:bottom w:val="none" w:sz="0" w:space="0" w:color="auto"/>
            <w:right w:val="none" w:sz="0" w:space="0" w:color="auto"/>
          </w:divBdr>
        </w:div>
      </w:divsChild>
    </w:div>
    <w:div w:id="1020276958">
      <w:marLeft w:val="0"/>
      <w:marRight w:val="0"/>
      <w:marTop w:val="0"/>
      <w:marBottom w:val="0"/>
      <w:divBdr>
        <w:top w:val="none" w:sz="0" w:space="0" w:color="auto"/>
        <w:left w:val="none" w:sz="0" w:space="0" w:color="auto"/>
        <w:bottom w:val="none" w:sz="0" w:space="0" w:color="auto"/>
        <w:right w:val="none" w:sz="0" w:space="0" w:color="auto"/>
      </w:divBdr>
    </w:div>
    <w:div w:id="1283533398">
      <w:marLeft w:val="0"/>
      <w:marRight w:val="0"/>
      <w:marTop w:val="0"/>
      <w:marBottom w:val="0"/>
      <w:divBdr>
        <w:top w:val="none" w:sz="0" w:space="0" w:color="auto"/>
        <w:left w:val="none" w:sz="0" w:space="0" w:color="auto"/>
        <w:bottom w:val="none" w:sz="0" w:space="0" w:color="auto"/>
        <w:right w:val="none" w:sz="0" w:space="0" w:color="auto"/>
      </w:divBdr>
    </w:div>
    <w:div w:id="1324237282">
      <w:marLeft w:val="0"/>
      <w:marRight w:val="0"/>
      <w:marTop w:val="0"/>
      <w:marBottom w:val="0"/>
      <w:divBdr>
        <w:top w:val="none" w:sz="0" w:space="0" w:color="auto"/>
        <w:left w:val="none" w:sz="0" w:space="0" w:color="auto"/>
        <w:bottom w:val="none" w:sz="0" w:space="0" w:color="auto"/>
        <w:right w:val="none" w:sz="0" w:space="0" w:color="auto"/>
      </w:divBdr>
      <w:divsChild>
        <w:div w:id="870069897">
          <w:marLeft w:val="0"/>
          <w:marRight w:val="0"/>
          <w:marTop w:val="0"/>
          <w:marBottom w:val="0"/>
          <w:divBdr>
            <w:top w:val="none" w:sz="0" w:space="0" w:color="auto"/>
            <w:left w:val="none" w:sz="0" w:space="0" w:color="auto"/>
            <w:bottom w:val="none" w:sz="0" w:space="0" w:color="auto"/>
            <w:right w:val="none" w:sz="0" w:space="0" w:color="auto"/>
          </w:divBdr>
          <w:divsChild>
            <w:div w:id="7899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6993">
      <w:marLeft w:val="0"/>
      <w:marRight w:val="0"/>
      <w:marTop w:val="0"/>
      <w:marBottom w:val="0"/>
      <w:divBdr>
        <w:top w:val="none" w:sz="0" w:space="0" w:color="auto"/>
        <w:left w:val="none" w:sz="0" w:space="0" w:color="auto"/>
        <w:bottom w:val="none" w:sz="0" w:space="0" w:color="auto"/>
        <w:right w:val="none" w:sz="0" w:space="0" w:color="auto"/>
      </w:divBdr>
    </w:div>
    <w:div w:id="1453019737">
      <w:marLeft w:val="0"/>
      <w:marRight w:val="0"/>
      <w:marTop w:val="0"/>
      <w:marBottom w:val="0"/>
      <w:divBdr>
        <w:top w:val="none" w:sz="0" w:space="0" w:color="auto"/>
        <w:left w:val="none" w:sz="0" w:space="0" w:color="auto"/>
        <w:bottom w:val="none" w:sz="0" w:space="0" w:color="auto"/>
        <w:right w:val="none" w:sz="0" w:space="0" w:color="auto"/>
      </w:divBdr>
    </w:div>
    <w:div w:id="1669869856">
      <w:marLeft w:val="0"/>
      <w:marRight w:val="0"/>
      <w:marTop w:val="0"/>
      <w:marBottom w:val="0"/>
      <w:divBdr>
        <w:top w:val="none" w:sz="0" w:space="0" w:color="auto"/>
        <w:left w:val="none" w:sz="0" w:space="0" w:color="auto"/>
        <w:bottom w:val="none" w:sz="0" w:space="0" w:color="auto"/>
        <w:right w:val="none" w:sz="0" w:space="0" w:color="auto"/>
      </w:divBdr>
    </w:div>
    <w:div w:id="1738673278">
      <w:marLeft w:val="0"/>
      <w:marRight w:val="0"/>
      <w:marTop w:val="0"/>
      <w:marBottom w:val="0"/>
      <w:divBdr>
        <w:top w:val="none" w:sz="0" w:space="0" w:color="auto"/>
        <w:left w:val="none" w:sz="0" w:space="0" w:color="auto"/>
        <w:bottom w:val="none" w:sz="0" w:space="0" w:color="auto"/>
        <w:right w:val="none" w:sz="0" w:space="0" w:color="auto"/>
      </w:divBdr>
    </w:div>
    <w:div w:id="1757092731">
      <w:marLeft w:val="0"/>
      <w:marRight w:val="0"/>
      <w:marTop w:val="0"/>
      <w:marBottom w:val="0"/>
      <w:divBdr>
        <w:top w:val="none" w:sz="0" w:space="0" w:color="auto"/>
        <w:left w:val="none" w:sz="0" w:space="0" w:color="auto"/>
        <w:bottom w:val="none" w:sz="0" w:space="0" w:color="auto"/>
        <w:right w:val="none" w:sz="0" w:space="0" w:color="auto"/>
      </w:divBdr>
      <w:divsChild>
        <w:div w:id="231892535">
          <w:marLeft w:val="0"/>
          <w:marRight w:val="0"/>
          <w:marTop w:val="0"/>
          <w:marBottom w:val="0"/>
          <w:divBdr>
            <w:top w:val="none" w:sz="0" w:space="0" w:color="auto"/>
            <w:left w:val="none" w:sz="0" w:space="0" w:color="auto"/>
            <w:bottom w:val="none" w:sz="0" w:space="0" w:color="auto"/>
            <w:right w:val="none" w:sz="0" w:space="0" w:color="auto"/>
          </w:divBdr>
        </w:div>
        <w:div w:id="1928147734">
          <w:marLeft w:val="0"/>
          <w:marRight w:val="0"/>
          <w:marTop w:val="0"/>
          <w:marBottom w:val="0"/>
          <w:divBdr>
            <w:top w:val="none" w:sz="0" w:space="0" w:color="auto"/>
            <w:left w:val="none" w:sz="0" w:space="0" w:color="auto"/>
            <w:bottom w:val="none" w:sz="0" w:space="0" w:color="auto"/>
            <w:right w:val="none" w:sz="0" w:space="0" w:color="auto"/>
          </w:divBdr>
        </w:div>
      </w:divsChild>
    </w:div>
    <w:div w:id="1910532245">
      <w:marLeft w:val="0"/>
      <w:marRight w:val="0"/>
      <w:marTop w:val="0"/>
      <w:marBottom w:val="0"/>
      <w:divBdr>
        <w:top w:val="none" w:sz="0" w:space="0" w:color="auto"/>
        <w:left w:val="none" w:sz="0" w:space="0" w:color="auto"/>
        <w:bottom w:val="none" w:sz="0" w:space="0" w:color="auto"/>
        <w:right w:val="none" w:sz="0" w:space="0" w:color="auto"/>
      </w:divBdr>
      <w:divsChild>
        <w:div w:id="19949467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7F7E-60F5-4322-8618-0EE6DD13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5853</Words>
  <Characters>1956</Characters>
  <Application>Microsoft Office Word</Application>
  <DocSecurity>0</DocSecurity>
  <Lines>16</Lines>
  <Paragraphs>15</Paragraphs>
  <ScaleCrop>false</ScaleCrop>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4</cp:revision>
  <dcterms:created xsi:type="dcterms:W3CDTF">2025-04-15T12:18:00Z</dcterms:created>
  <dcterms:modified xsi:type="dcterms:W3CDTF">2025-04-21T08:13:00Z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