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上投摩根转型动力灵活配置混合型证券投资基金</w:t>
      </w:r>
    </w:p>
    <w:p w:rsidR="00277F10" w:rsidRDefault="00FB59C2">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2019年第4季度报告</w:t>
      </w:r>
    </w:p>
    <w:p w:rsidR="00277F10" w:rsidRDefault="00FB59C2">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2019年12月31日</w:t>
      </w: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jc w:val="center"/>
        <w:rPr>
          <w:rFonts w:asciiTheme="minorEastAsia" w:eastAsiaTheme="minorEastAsia" w:hAnsiTheme="minorEastAsia"/>
          <w:b/>
          <w:bCs/>
          <w:color w:val="000000" w:themeColor="text1"/>
          <w:sz w:val="24"/>
          <w:szCs w:val="24"/>
        </w:rPr>
      </w:pPr>
    </w:p>
    <w:p w:rsidR="00277F10" w:rsidRDefault="00277F10">
      <w:pPr>
        <w:spacing w:line="360" w:lineRule="auto"/>
        <w:rPr>
          <w:rFonts w:asciiTheme="minorEastAsia" w:eastAsiaTheme="minorEastAsia" w:hAnsiTheme="minorEastAsia"/>
          <w:b/>
          <w:bCs/>
          <w:color w:val="000000" w:themeColor="text1"/>
          <w:sz w:val="24"/>
          <w:szCs w:val="24"/>
        </w:rPr>
      </w:pPr>
    </w:p>
    <w:p w:rsidR="00277F10" w:rsidRDefault="00FB59C2">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277F10" w:rsidRDefault="00FB59C2">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277F10" w:rsidRDefault="00FB59C2">
      <w:pPr>
        <w:spacing w:line="360" w:lineRule="auto"/>
        <w:ind w:firstLineChars="900" w:firstLine="2168"/>
        <w:rPr>
          <w:rFonts w:asciiTheme="minorEastAsia" w:eastAsiaTheme="minorEastAsia" w:hAnsiTheme="minorEastAsia"/>
          <w:b/>
          <w:color w:val="000000" w:themeColor="text1"/>
          <w:sz w:val="24"/>
          <w:szCs w:val="24"/>
        </w:rPr>
        <w:sectPr w:rsidR="00277F10">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277F10" w:rsidRDefault="00FB59C2">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基金托管人中国建设银行股份有限公司根据本基金合同规定，于2020年1月17日复核了本报告中的财务指标、净值表现和投资组合报告等内容，保证复核内容不存在虚假记载、误导性陈述或者重大遗漏。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本报告期自2019年10月1日起至12月31日止。</w:t>
      </w:r>
    </w:p>
    <w:p w:rsidR="00277F10" w:rsidRDefault="00FB59C2">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上投摩根转型动力混合</w:t>
            </w:r>
          </w:p>
        </w:tc>
      </w:tr>
      <w:tr w:rsidR="00277F10">
        <w:tc>
          <w:tcPr>
            <w:tcW w:w="2835" w:type="dxa"/>
            <w:tcBorders>
              <w:top w:val="single" w:sz="4" w:space="0" w:color="auto"/>
              <w:left w:val="single" w:sz="4" w:space="0" w:color="auto"/>
              <w:bottom w:val="single" w:sz="4" w:space="0" w:color="auto"/>
              <w:right w:val="single" w:sz="4" w:space="0" w:color="auto"/>
            </w:tcBorders>
            <w:vAlign w:val="center"/>
          </w:tcPr>
          <w:p w:rsidR="00277F10" w:rsidRDefault="00FB59C2">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000328</w:t>
            </w:r>
          </w:p>
        </w:tc>
      </w:tr>
      <w:tr w:rsidR="00277F10">
        <w:tc>
          <w:tcPr>
            <w:tcW w:w="2835" w:type="dxa"/>
            <w:tcBorders>
              <w:top w:val="single" w:sz="4" w:space="0" w:color="auto"/>
              <w:left w:val="single" w:sz="4" w:space="0" w:color="auto"/>
              <w:bottom w:val="single" w:sz="4" w:space="0" w:color="auto"/>
              <w:right w:val="single" w:sz="4" w:space="0" w:color="auto"/>
            </w:tcBorders>
            <w:vAlign w:val="center"/>
          </w:tcPr>
          <w:p w:rsidR="00277F10" w:rsidRDefault="00FB59C2">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000328</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2013年11月25日</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277F10" w:rsidRDefault="00D04629">
            <w:pPr>
              <w:adjustRightInd w:val="0"/>
              <w:spacing w:before="29" w:line="360" w:lineRule="auto"/>
              <w:ind w:left="17"/>
              <w:rPr>
                <w:rFonts w:asciiTheme="minorEastAsia" w:eastAsiaTheme="minorEastAsia" w:hAnsiTheme="minorEastAsia"/>
                <w:color w:val="000000" w:themeColor="text1"/>
              </w:rPr>
            </w:pPr>
            <w:r w:rsidRPr="00D04629">
              <w:rPr>
                <w:rFonts w:asciiTheme="minorEastAsia" w:eastAsiaTheme="minorEastAsia" w:hAnsiTheme="minorEastAsia"/>
                <w:color w:val="000000" w:themeColor="text1"/>
                <w:kern w:val="0"/>
              </w:rPr>
              <w:t>338</w:t>
            </w:r>
            <w:r>
              <w:rPr>
                <w:rFonts w:asciiTheme="minorEastAsia" w:eastAsiaTheme="minorEastAsia" w:hAnsiTheme="minorEastAsia"/>
                <w:color w:val="000000" w:themeColor="text1"/>
                <w:kern w:val="0"/>
              </w:rPr>
              <w:t>,</w:t>
            </w:r>
            <w:r w:rsidRPr="00D04629">
              <w:rPr>
                <w:rFonts w:asciiTheme="minorEastAsia" w:eastAsiaTheme="minorEastAsia" w:hAnsiTheme="minorEastAsia"/>
                <w:color w:val="000000" w:themeColor="text1"/>
                <w:kern w:val="0"/>
              </w:rPr>
              <w:t>019</w:t>
            </w:r>
            <w:r>
              <w:rPr>
                <w:rFonts w:asciiTheme="minorEastAsia" w:eastAsiaTheme="minorEastAsia" w:hAnsiTheme="minorEastAsia"/>
                <w:color w:val="000000" w:themeColor="text1"/>
                <w:kern w:val="0"/>
              </w:rPr>
              <w:t>,</w:t>
            </w:r>
            <w:r w:rsidRPr="00D04629">
              <w:rPr>
                <w:rFonts w:asciiTheme="minorEastAsia" w:eastAsiaTheme="minorEastAsia" w:hAnsiTheme="minorEastAsia"/>
                <w:color w:val="000000" w:themeColor="text1"/>
                <w:kern w:val="0"/>
              </w:rPr>
              <w:t>232.22</w:t>
            </w:r>
            <w:r w:rsidR="00FB59C2">
              <w:rPr>
                <w:rFonts w:asciiTheme="minorEastAsia" w:eastAsiaTheme="minorEastAsia" w:hAnsiTheme="minorEastAsia" w:hint="eastAsia"/>
                <w:color w:val="000000" w:themeColor="text1"/>
                <w:kern w:val="0"/>
              </w:rPr>
              <w:t>份</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通过投资于符合政策扶植和经济发展方向，具有长期发展潜力的上市公司，充分把握中国未来经济转型带来的投资机会，力争实现基金资产的长期稳健增值。</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本基金将以经济转型作为行业配置和个股选择的主线，重点投资于受益于经济转型和政策扶持、具有良好基本面和持续成长能力的上市公司，力争实现基金资产的长期稳定增值。</w:t>
            </w:r>
          </w:p>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lastRenderedPageBreak/>
              <w:t>在行业配置层面，本基金将运用“自上而下”的方法，通过对国内外宏观经济、经济结构转型的方向、国家经济政策、产业政策导向的深入研究，挖掘受益于国家经济转型、具有较大成长空间的行业。在个股选择层面，本基金将主要采用“自下而上”的方法，在备选行业内部通过定量与定性相结合的分析方法，综合分析上市公司的业绩质量、成长性和估值水平等，精选具有良好成长性、估值合理的个股。</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沪深300指数收益率×80%+中债总指数收益率×20%</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本基金属于混合型基金产品，预期风险和收益水平低于股票型基金，高于债券型基金和货币市场基金 ，属于较高风险收益水平的基金产品。</w:t>
            </w:r>
          </w:p>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本基金风险收益特征会定期评估并在公司网站发布，请投资者关注。</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277F10">
        <w:tc>
          <w:tcPr>
            <w:tcW w:w="2835"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277F10" w:rsidRDefault="00FB59C2">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B59C2" w:rsidTr="00FB59C2">
        <w:tc>
          <w:tcPr>
            <w:tcW w:w="3402" w:type="dxa"/>
            <w:vAlign w:val="center"/>
          </w:tcPr>
          <w:p w:rsidR="00277F10" w:rsidRDefault="00FB59C2">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277F10" w:rsidRDefault="00FB59C2">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277F10" w:rsidRDefault="00FB59C2">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2019年10月1日-2019年12月31日</w:t>
            </w:r>
            <w:r>
              <w:rPr>
                <w:rFonts w:asciiTheme="minorEastAsia" w:eastAsiaTheme="minorEastAsia" w:hAnsiTheme="minorEastAsia" w:cs="宋体" w:hint="eastAsia"/>
                <w:color w:val="000000" w:themeColor="text1"/>
              </w:rPr>
              <w:t>)</w:t>
            </w:r>
          </w:p>
        </w:tc>
      </w:tr>
      <w:tr w:rsidR="00FB59C2" w:rsidTr="00FB59C2">
        <w:tc>
          <w:tcPr>
            <w:tcW w:w="3402"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277F10" w:rsidRDefault="00FB59C2">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44,864,465.40</w:t>
            </w:r>
          </w:p>
        </w:tc>
      </w:tr>
      <w:tr w:rsidR="00FB59C2" w:rsidTr="00FB59C2">
        <w:tc>
          <w:tcPr>
            <w:tcW w:w="3402"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277F10" w:rsidRDefault="00FB59C2">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73,886,091.16</w:t>
            </w:r>
          </w:p>
        </w:tc>
      </w:tr>
      <w:tr w:rsidR="00FB59C2" w:rsidTr="00FB59C2">
        <w:tc>
          <w:tcPr>
            <w:tcW w:w="3402"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277F10" w:rsidRDefault="00FB59C2">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0.2077</w:t>
            </w:r>
          </w:p>
        </w:tc>
      </w:tr>
      <w:tr w:rsidR="00FB59C2" w:rsidTr="00FB59C2">
        <w:tc>
          <w:tcPr>
            <w:tcW w:w="3402"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277F10" w:rsidRDefault="00FB59C2">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568,526,859.50</w:t>
            </w:r>
          </w:p>
        </w:tc>
      </w:tr>
      <w:tr w:rsidR="00FB59C2" w:rsidTr="00FB59C2">
        <w:trPr>
          <w:trHeight w:val="158"/>
        </w:trPr>
        <w:tc>
          <w:tcPr>
            <w:tcW w:w="3402" w:type="dxa"/>
            <w:vAlign w:val="center"/>
          </w:tcPr>
          <w:p w:rsidR="00277F10" w:rsidRDefault="00FB59C2">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277F10" w:rsidRDefault="00FB59C2">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1.682</w:t>
            </w:r>
          </w:p>
        </w:tc>
      </w:tr>
    </w:tbl>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注：本期已实现收益指基金本期利息收入、投资收益、其他收入（不含公允价值变动收益）扣除相关费用后的余额，本期利润为本期已实现收益加上本期公允价值变动收益。</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277F10" w:rsidRDefault="00FB59C2">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277F10">
        <w:tc>
          <w:tcPr>
            <w:tcW w:w="1395"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277F10">
        <w:tc>
          <w:tcPr>
            <w:tcW w:w="1395" w:type="dxa"/>
            <w:vAlign w:val="center"/>
          </w:tcPr>
          <w:p w:rsidR="00277F10" w:rsidRDefault="00FB59C2">
            <w:pPr>
              <w:jc w:val="left"/>
            </w:pPr>
            <w:r>
              <w:rPr>
                <w:rFonts w:asciiTheme="minorEastAsia" w:eastAsiaTheme="minorEastAsia" w:hAnsiTheme="minorEastAsia"/>
                <w:color w:val="000000" w:themeColor="text1"/>
                <w:kern w:val="0"/>
              </w:rPr>
              <w:t>过去三个月</w:t>
            </w:r>
          </w:p>
        </w:tc>
        <w:tc>
          <w:tcPr>
            <w:tcW w:w="1092" w:type="dxa"/>
            <w:vAlign w:val="center"/>
          </w:tcPr>
          <w:p w:rsidR="00277F10" w:rsidRDefault="00FB59C2">
            <w:pPr>
              <w:jc w:val="center"/>
            </w:pPr>
            <w:r>
              <w:rPr>
                <w:rFonts w:asciiTheme="minorEastAsia" w:eastAsiaTheme="minorEastAsia" w:hAnsiTheme="minorEastAsia"/>
                <w:color w:val="000000" w:themeColor="text1"/>
                <w:kern w:val="0"/>
              </w:rPr>
              <w:t>14.19%</w:t>
            </w:r>
          </w:p>
        </w:tc>
        <w:tc>
          <w:tcPr>
            <w:tcW w:w="1161" w:type="dxa"/>
            <w:vAlign w:val="center"/>
          </w:tcPr>
          <w:p w:rsidR="00277F10" w:rsidRDefault="00FB59C2">
            <w:pPr>
              <w:jc w:val="center"/>
            </w:pPr>
            <w:r>
              <w:rPr>
                <w:rFonts w:asciiTheme="minorEastAsia" w:eastAsiaTheme="minorEastAsia" w:hAnsiTheme="minorEastAsia"/>
                <w:color w:val="000000" w:themeColor="text1"/>
                <w:kern w:val="0"/>
              </w:rPr>
              <w:t>0.99%</w:t>
            </w:r>
          </w:p>
        </w:tc>
        <w:tc>
          <w:tcPr>
            <w:tcW w:w="1181" w:type="dxa"/>
            <w:vAlign w:val="center"/>
          </w:tcPr>
          <w:p w:rsidR="00277F10" w:rsidRDefault="00FB59C2">
            <w:pPr>
              <w:jc w:val="center"/>
            </w:pPr>
            <w:r>
              <w:rPr>
                <w:rFonts w:asciiTheme="minorEastAsia" w:eastAsiaTheme="minorEastAsia" w:hAnsiTheme="minorEastAsia"/>
                <w:color w:val="000000" w:themeColor="text1"/>
                <w:kern w:val="0"/>
              </w:rPr>
              <w:t>6.09%</w:t>
            </w:r>
          </w:p>
        </w:tc>
        <w:tc>
          <w:tcPr>
            <w:tcW w:w="1188" w:type="dxa"/>
            <w:vAlign w:val="center"/>
          </w:tcPr>
          <w:p w:rsidR="00277F10" w:rsidRDefault="00FB59C2">
            <w:pPr>
              <w:jc w:val="center"/>
            </w:pPr>
            <w:r>
              <w:rPr>
                <w:rFonts w:asciiTheme="minorEastAsia" w:eastAsiaTheme="minorEastAsia" w:hAnsiTheme="minorEastAsia"/>
                <w:color w:val="000000" w:themeColor="text1"/>
                <w:kern w:val="0"/>
              </w:rPr>
              <w:t>0.59%</w:t>
            </w:r>
          </w:p>
        </w:tc>
        <w:tc>
          <w:tcPr>
            <w:tcW w:w="1199" w:type="dxa"/>
            <w:vAlign w:val="center"/>
          </w:tcPr>
          <w:p w:rsidR="00277F10" w:rsidRDefault="00FB59C2">
            <w:pPr>
              <w:jc w:val="center"/>
            </w:pPr>
            <w:r>
              <w:rPr>
                <w:rFonts w:asciiTheme="minorEastAsia" w:eastAsiaTheme="minorEastAsia" w:hAnsiTheme="minorEastAsia"/>
                <w:color w:val="000000" w:themeColor="text1"/>
                <w:kern w:val="0"/>
              </w:rPr>
              <w:t>8.10%</w:t>
            </w:r>
          </w:p>
        </w:tc>
        <w:tc>
          <w:tcPr>
            <w:tcW w:w="1204" w:type="dxa"/>
            <w:vAlign w:val="center"/>
          </w:tcPr>
          <w:p w:rsidR="00277F10" w:rsidRDefault="00FB59C2">
            <w:pPr>
              <w:jc w:val="center"/>
            </w:pPr>
            <w:r>
              <w:rPr>
                <w:rFonts w:asciiTheme="minorEastAsia" w:eastAsiaTheme="minorEastAsia" w:hAnsiTheme="minorEastAsia"/>
                <w:color w:val="000000" w:themeColor="text1"/>
                <w:kern w:val="0"/>
              </w:rPr>
              <w:t>0.40%</w:t>
            </w:r>
          </w:p>
        </w:tc>
      </w:tr>
    </w:tbl>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277F10" w:rsidRDefault="00FB59C2">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上投摩根转型动力灵活配置混合型证券投资基金</w:t>
      </w:r>
    </w:p>
    <w:p w:rsidR="00277F10" w:rsidRDefault="00FB59C2">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277F10" w:rsidRDefault="00FB59C2">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2013年11月25日</w:t>
      </w:r>
      <w:r>
        <w:rPr>
          <w:rFonts w:asciiTheme="minorEastAsia" w:eastAsiaTheme="minorEastAsia" w:hAnsiTheme="minorEastAsia" w:hint="eastAsia"/>
          <w:color w:val="000000" w:themeColor="text1"/>
        </w:rPr>
        <w:t>至2019年12月31日)</w:t>
      </w:r>
    </w:p>
    <w:p w:rsidR="00277F10" w:rsidRDefault="00FB59C2">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注：本基金建仓期自2013年11月25日至2014年5月24日，建仓期结束时资产配置比例符合本基金基金合同规定。本基金合同生效日为2013年11月25日， 图示时间段为2013年11月25日至2019年12月31日。</w:t>
      </w:r>
    </w:p>
    <w:p w:rsidR="00277F10" w:rsidRDefault="00277F10">
      <w:pPr>
        <w:tabs>
          <w:tab w:val="left" w:pos="1800"/>
        </w:tabs>
        <w:spacing w:line="360" w:lineRule="auto"/>
        <w:rPr>
          <w:rFonts w:asciiTheme="minorEastAsia" w:eastAsiaTheme="minorEastAsia" w:hAnsiTheme="minorEastAsia"/>
          <w:color w:val="000000" w:themeColor="text1"/>
          <w:sz w:val="24"/>
          <w:szCs w:val="24"/>
        </w:rPr>
      </w:pPr>
    </w:p>
    <w:p w:rsidR="00277F10" w:rsidRDefault="00FB59C2">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277F10">
        <w:trPr>
          <w:cantSplit/>
          <w:trHeight w:val="292"/>
        </w:trPr>
        <w:tc>
          <w:tcPr>
            <w:tcW w:w="851" w:type="dxa"/>
            <w:vMerge w:val="restart"/>
            <w:vAlign w:val="center"/>
          </w:tcPr>
          <w:p w:rsidR="00277F10" w:rsidRDefault="00FB59C2">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277F10" w:rsidRDefault="00FB59C2">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277F10" w:rsidRDefault="00FB59C2">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277F10">
        <w:trPr>
          <w:cantSplit/>
        </w:trPr>
        <w:tc>
          <w:tcPr>
            <w:tcW w:w="851" w:type="dxa"/>
            <w:vMerge/>
            <w:vAlign w:val="center"/>
          </w:tcPr>
          <w:p w:rsidR="00277F10" w:rsidRDefault="00277F10">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277F10" w:rsidRDefault="00277F10">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277F10" w:rsidRDefault="00277F10">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277F10" w:rsidRDefault="00277F10">
            <w:pPr>
              <w:widowControl/>
              <w:spacing w:line="360" w:lineRule="auto"/>
              <w:jc w:val="left"/>
              <w:rPr>
                <w:rFonts w:asciiTheme="minorEastAsia" w:eastAsiaTheme="minorEastAsia" w:hAnsiTheme="minorEastAsia"/>
                <w:color w:val="000000" w:themeColor="text1"/>
                <w:kern w:val="0"/>
              </w:rPr>
            </w:pPr>
          </w:p>
        </w:tc>
      </w:tr>
      <w:tr w:rsidR="00277F10">
        <w:tc>
          <w:tcPr>
            <w:tcW w:w="851" w:type="dxa"/>
            <w:vAlign w:val="center"/>
          </w:tcPr>
          <w:p w:rsidR="00277F10" w:rsidRDefault="00FB59C2">
            <w:pPr>
              <w:jc w:val="center"/>
            </w:pPr>
            <w:r>
              <w:rPr>
                <w:rFonts w:asciiTheme="minorEastAsia" w:eastAsiaTheme="minorEastAsia" w:hAnsiTheme="minorEastAsia"/>
                <w:color w:val="000000" w:themeColor="text1"/>
              </w:rPr>
              <w:t>张富盛</w:t>
            </w:r>
          </w:p>
        </w:tc>
        <w:tc>
          <w:tcPr>
            <w:tcW w:w="850" w:type="dxa"/>
            <w:vAlign w:val="center"/>
          </w:tcPr>
          <w:p w:rsidR="00277F10" w:rsidRDefault="00FB59C2">
            <w:pPr>
              <w:jc w:val="center"/>
            </w:pPr>
            <w:r>
              <w:rPr>
                <w:rFonts w:asciiTheme="minorEastAsia" w:eastAsiaTheme="minorEastAsia" w:hAnsiTheme="minorEastAsia"/>
                <w:color w:val="000000" w:themeColor="text1"/>
              </w:rPr>
              <w:t>本基金基金经理</w:t>
            </w:r>
          </w:p>
        </w:tc>
        <w:tc>
          <w:tcPr>
            <w:tcW w:w="1560" w:type="dxa"/>
            <w:vAlign w:val="center"/>
          </w:tcPr>
          <w:p w:rsidR="00277F10" w:rsidRDefault="00FB59C2">
            <w:pPr>
              <w:jc w:val="center"/>
            </w:pPr>
            <w:r>
              <w:rPr>
                <w:rFonts w:asciiTheme="minorEastAsia" w:eastAsiaTheme="minorEastAsia" w:hAnsiTheme="minorEastAsia"/>
                <w:color w:val="000000" w:themeColor="text1"/>
              </w:rPr>
              <w:t>2018-03-02</w:t>
            </w:r>
          </w:p>
        </w:tc>
        <w:tc>
          <w:tcPr>
            <w:tcW w:w="1559" w:type="dxa"/>
            <w:vAlign w:val="center"/>
          </w:tcPr>
          <w:p w:rsidR="00277F10" w:rsidRDefault="00FB59C2">
            <w:pPr>
              <w:jc w:val="center"/>
            </w:pPr>
            <w:r>
              <w:rPr>
                <w:rFonts w:asciiTheme="minorEastAsia" w:eastAsiaTheme="minorEastAsia" w:hAnsiTheme="minorEastAsia"/>
                <w:color w:val="000000" w:themeColor="text1"/>
              </w:rPr>
              <w:t>-</w:t>
            </w:r>
          </w:p>
        </w:tc>
        <w:tc>
          <w:tcPr>
            <w:tcW w:w="1417" w:type="dxa"/>
            <w:vAlign w:val="center"/>
          </w:tcPr>
          <w:p w:rsidR="00277F10" w:rsidRDefault="00FB59C2">
            <w:pPr>
              <w:jc w:val="center"/>
            </w:pPr>
            <w:r>
              <w:rPr>
                <w:rFonts w:asciiTheme="minorEastAsia" w:eastAsiaTheme="minorEastAsia" w:hAnsiTheme="minorEastAsia"/>
                <w:color w:val="000000" w:themeColor="text1"/>
              </w:rPr>
              <w:t>9年</w:t>
            </w:r>
          </w:p>
        </w:tc>
        <w:tc>
          <w:tcPr>
            <w:tcW w:w="2694" w:type="dxa"/>
            <w:vAlign w:val="center"/>
          </w:tcPr>
          <w:p w:rsidR="00277F10" w:rsidRDefault="00FB59C2">
            <w:r>
              <w:rPr>
                <w:rFonts w:asciiTheme="minorEastAsia" w:eastAsiaTheme="minorEastAsia" w:hAnsiTheme="minorEastAsia"/>
                <w:color w:val="000000" w:themeColor="text1"/>
              </w:rPr>
              <w:t>张富盛先生，上海交通大学金融学学士，自2007年8月至2010年3月，在德勤华永会计师事务所担任高级税务咨询；自2010年3月至2011年2月，在中国国际金融有限公司担任分析师；自2011年2月至2015年8月在北京高华证券有限责任公司担任投资研究部经理；自2015年8月起加入上投摩根基金管理有限公司，历任行业专家、基金经理助理、基金经理。自2018年3月起担任上投摩根转型动力灵活配置混合型证券投资基金基金经理，自2019年1月起同时担任上投摩根动力精选混合型证券投资基金基金经理。</w:t>
            </w:r>
          </w:p>
        </w:tc>
      </w:tr>
    </w:tbl>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转型动力灵活配置混合型证券投资基金基金合同》的规定。基金经理对个股和投资组合的比例遵循了投资决策委员会的授权限制，基金投资比例符合基金合同和法律法规的要求。</w:t>
      </w: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277F10" w:rsidRDefault="00FB59C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277F10" w:rsidRDefault="00FB59C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277F10" w:rsidRDefault="00277F10">
      <w:pPr>
        <w:spacing w:line="360" w:lineRule="auto"/>
        <w:ind w:firstLineChars="200" w:firstLine="480"/>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277F10" w:rsidRDefault="00FB59C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四季度市场整体震荡上行，结构性特点仍明显，上证指数上涨5%，创业板指数上涨10%，科技股和新能源车标的表现相对较好，医药和消费表现平稳。本基金继续保持从长期角度挖掘优质龙头公司的投资理念，根据产业发展趋势挖掘科技等高景气度行业的优质个股。</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后市，我们将继续投资业绩持续高增长和产业发展趋势中较为受益的个股。具体看，医药在医保控费下细分行业分化较大，但仍可以找到创新药，医药服务外包等保持业绩高速增长的细分赛道；产业发展趋势上，我们认为科技制造将是推动中国经济继续增长的核心动力，5G、消费电子等板块中的龙头公司2020年业绩有望提速；另外新能源汽车在2020年将重新迎来快速增长，特别是下半年海外车型开始放量，行业成长性将更确定。总体来说，我们更注重公司的长期成长性，继续挖掘优质个股，力争为基金持有人创造持续稳定收益。</w:t>
      </w:r>
    </w:p>
    <w:p w:rsidR="00277F10" w:rsidRDefault="00FB59C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本报告期上投摩根转型动力混合份额净值增长率为:14.19%，同期业绩比较基准收益率为:6.09%。</w:t>
      </w:r>
    </w:p>
    <w:p w:rsidR="00277F10" w:rsidRDefault="00277F10">
      <w:pPr>
        <w:spacing w:line="360" w:lineRule="auto"/>
        <w:ind w:firstLineChars="200" w:firstLine="480"/>
        <w:rPr>
          <w:rFonts w:asciiTheme="minorEastAsia" w:eastAsiaTheme="minorEastAsia" w:hAnsiTheme="minorEastAsia"/>
          <w:color w:val="000000" w:themeColor="text1"/>
          <w:sz w:val="24"/>
          <w:szCs w:val="24"/>
        </w:rPr>
      </w:pPr>
    </w:p>
    <w:p w:rsidR="00277F10" w:rsidRDefault="00FB59C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277F10" w:rsidRDefault="00FB59C2">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277F10" w:rsidRDefault="00FB59C2">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518,925,281.39</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90.67</w:t>
            </w:r>
          </w:p>
        </w:tc>
      </w:tr>
      <w:tr w:rsidR="00277F10">
        <w:trPr>
          <w:jc w:val="center"/>
        </w:trPr>
        <w:tc>
          <w:tcPr>
            <w:tcW w:w="720" w:type="dxa"/>
            <w:vAlign w:val="center"/>
          </w:tcPr>
          <w:p w:rsidR="00277F10" w:rsidRDefault="00277F1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77F10" w:rsidRDefault="00FB59C2">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518,925,281.39</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90.67</w:t>
            </w:r>
          </w:p>
        </w:tc>
      </w:tr>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277F10" w:rsidRDefault="00FB59C2">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77F10">
        <w:trPr>
          <w:jc w:val="center"/>
        </w:trPr>
        <w:tc>
          <w:tcPr>
            <w:tcW w:w="720" w:type="dxa"/>
            <w:vAlign w:val="center"/>
          </w:tcPr>
          <w:p w:rsidR="00277F10" w:rsidRDefault="00277F1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77F10" w:rsidRDefault="00FB59C2">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77F10">
        <w:trPr>
          <w:jc w:val="center"/>
        </w:trPr>
        <w:tc>
          <w:tcPr>
            <w:tcW w:w="720" w:type="dxa"/>
            <w:vAlign w:val="center"/>
          </w:tcPr>
          <w:p w:rsidR="00277F10" w:rsidRDefault="00277F1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77F10" w:rsidRDefault="00FB59C2">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77F10">
        <w:trPr>
          <w:jc w:val="center"/>
        </w:trPr>
        <w:tc>
          <w:tcPr>
            <w:tcW w:w="720" w:type="dxa"/>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277F10" w:rsidRDefault="00FB59C2">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277F10" w:rsidRDefault="00FB59C2">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277F10" w:rsidRDefault="00FB59C2">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77F10">
        <w:trPr>
          <w:jc w:val="center"/>
        </w:trPr>
        <w:tc>
          <w:tcPr>
            <w:tcW w:w="720" w:type="dxa"/>
            <w:vAlign w:val="center"/>
          </w:tcPr>
          <w:p w:rsidR="00277F10" w:rsidRDefault="00277F1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77F10" w:rsidRDefault="00FB59C2">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277F10" w:rsidRDefault="00FB59C2">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45,195,611.37</w:t>
            </w:r>
          </w:p>
        </w:tc>
        <w:tc>
          <w:tcPr>
            <w:tcW w:w="1843" w:type="dxa"/>
            <w:vAlign w:val="center"/>
          </w:tcPr>
          <w:p w:rsidR="00277F10" w:rsidRDefault="00FB59C2">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7.90</w:t>
            </w:r>
          </w:p>
        </w:tc>
      </w:tr>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277F10" w:rsidRDefault="00FB59C2">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8,186,530.75</w:t>
            </w:r>
          </w:p>
        </w:tc>
        <w:tc>
          <w:tcPr>
            <w:tcW w:w="1843" w:type="dxa"/>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1.43</w:t>
            </w:r>
          </w:p>
        </w:tc>
      </w:tr>
      <w:tr w:rsidR="00277F10">
        <w:trPr>
          <w:jc w:val="center"/>
        </w:trPr>
        <w:tc>
          <w:tcPr>
            <w:tcW w:w="720" w:type="dxa"/>
            <w:vAlign w:val="center"/>
          </w:tcPr>
          <w:p w:rsidR="00277F10" w:rsidRDefault="00FB59C2">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277F10" w:rsidRDefault="00FB59C2">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572,307,423.51</w:t>
            </w:r>
          </w:p>
        </w:tc>
        <w:tc>
          <w:tcPr>
            <w:tcW w:w="1843" w:type="dxa"/>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277F10" w:rsidRDefault="00277F10">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277F10" w:rsidRDefault="00FB59C2">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277F10">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6,415,031.00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1.13</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13,641,568.00</w:t>
            </w:r>
          </w:p>
          <w:p w:rsidR="00277F10" w:rsidRDefault="00277F10">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2.40</w:t>
            </w:r>
          </w:p>
          <w:p w:rsidR="00277F10" w:rsidRDefault="00277F10">
            <w:pPr>
              <w:jc w:val="right"/>
              <w:rPr>
                <w:rFonts w:asciiTheme="minorEastAsia" w:eastAsiaTheme="minorEastAsia" w:hAnsiTheme="minorEastAsia" w:cs="宋体"/>
                <w:color w:val="000000" w:themeColor="text1"/>
                <w:kern w:val="0"/>
              </w:rPr>
            </w:pP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381,117,818.72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67.04</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1,987,403.74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0.35</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6,584,905.17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1.16</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19,425,690.50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3.42</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43,652,363.42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7.68</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12,449,404.00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2.19</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11,528,631.60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2.03</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16,768,519.20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2.95</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5,347,368.00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0.94</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77F1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277F10">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77F10" w:rsidRDefault="00FB59C2">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518,925,281.39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7F10" w:rsidRDefault="00FB59C2">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91.28</w:t>
            </w:r>
          </w:p>
        </w:tc>
      </w:tr>
    </w:tbl>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277F10">
        <w:tc>
          <w:tcPr>
            <w:tcW w:w="817"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1</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002475</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立讯精密</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719,382</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26,257,443.00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4.62</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2</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603501</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韦尔股份</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161,807</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23,203,123.80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4.08</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3</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300750</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宁德时代</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203,995</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21,705,068.00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3.82</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4</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603799</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华友钴业</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464,695</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18,304,336.05</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3.22</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5</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600519</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贵州茅台</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15,013</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17,760,379.00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3.12</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6</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300136</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信维通信</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380,748</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17,278,344.24</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3.04</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7</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300014</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亿纬锂能</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339,355</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17,022,046.80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2.99</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8</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600276</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恒瑞医药</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191,500</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16,760,080.00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2.95</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9</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002812</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恩捷股份</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330,996</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16,715,298.00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2.94</w:t>
            </w:r>
          </w:p>
        </w:tc>
      </w:tr>
      <w:tr w:rsidR="00277F10">
        <w:tc>
          <w:tcPr>
            <w:tcW w:w="817" w:type="dxa"/>
            <w:vAlign w:val="center"/>
          </w:tcPr>
          <w:p w:rsidR="00277F10" w:rsidRDefault="00FB59C2">
            <w:pPr>
              <w:jc w:val="center"/>
            </w:pPr>
            <w:r>
              <w:rPr>
                <w:rFonts w:asciiTheme="minorEastAsia" w:eastAsiaTheme="minorEastAsia" w:hAnsiTheme="minorEastAsia" w:cs="宋体"/>
                <w:color w:val="000000" w:themeColor="text1"/>
                <w:kern w:val="0"/>
              </w:rPr>
              <w:t>10</w:t>
            </w:r>
          </w:p>
        </w:tc>
        <w:tc>
          <w:tcPr>
            <w:tcW w:w="1276" w:type="dxa"/>
            <w:vAlign w:val="center"/>
          </w:tcPr>
          <w:p w:rsidR="00277F10" w:rsidRDefault="00FB59C2">
            <w:pPr>
              <w:jc w:val="center"/>
            </w:pPr>
            <w:r>
              <w:rPr>
                <w:rFonts w:asciiTheme="minorEastAsia" w:eastAsiaTheme="minorEastAsia" w:hAnsiTheme="minorEastAsia" w:cs="宋体"/>
                <w:color w:val="000000" w:themeColor="text1"/>
                <w:kern w:val="0"/>
              </w:rPr>
              <w:t>601688</w:t>
            </w:r>
          </w:p>
        </w:tc>
        <w:tc>
          <w:tcPr>
            <w:tcW w:w="1701" w:type="dxa"/>
            <w:vAlign w:val="center"/>
          </w:tcPr>
          <w:p w:rsidR="00277F10" w:rsidRDefault="00FB59C2">
            <w:pPr>
              <w:jc w:val="center"/>
            </w:pPr>
            <w:r>
              <w:rPr>
                <w:rFonts w:asciiTheme="minorEastAsia" w:eastAsiaTheme="minorEastAsia" w:hAnsiTheme="minorEastAsia" w:cs="宋体"/>
                <w:color w:val="000000" w:themeColor="text1"/>
                <w:kern w:val="0"/>
              </w:rPr>
              <w:t>华泰证券</w:t>
            </w:r>
          </w:p>
        </w:tc>
        <w:tc>
          <w:tcPr>
            <w:tcW w:w="1276" w:type="dxa"/>
            <w:vAlign w:val="center"/>
          </w:tcPr>
          <w:p w:rsidR="00277F10" w:rsidRDefault="00FB59C2">
            <w:pPr>
              <w:jc w:val="right"/>
            </w:pPr>
            <w:r>
              <w:rPr>
                <w:rFonts w:asciiTheme="minorEastAsia" w:eastAsiaTheme="minorEastAsia" w:hAnsiTheme="minorEastAsia" w:cs="宋体"/>
                <w:color w:val="000000" w:themeColor="text1"/>
                <w:kern w:val="0"/>
              </w:rPr>
              <w:t>820,700</w:t>
            </w:r>
          </w:p>
        </w:tc>
        <w:tc>
          <w:tcPr>
            <w:tcW w:w="1842" w:type="dxa"/>
            <w:vAlign w:val="center"/>
          </w:tcPr>
          <w:p w:rsidR="00277F10" w:rsidRDefault="00FB59C2">
            <w:pPr>
              <w:jc w:val="right"/>
            </w:pPr>
            <w:r>
              <w:rPr>
                <w:rFonts w:asciiTheme="minorEastAsia" w:eastAsiaTheme="minorEastAsia" w:hAnsiTheme="minorEastAsia" w:cs="宋体"/>
                <w:color w:val="000000" w:themeColor="text1"/>
                <w:kern w:val="0"/>
              </w:rPr>
              <w:t>16,668,417.00</w:t>
            </w:r>
          </w:p>
        </w:tc>
        <w:tc>
          <w:tcPr>
            <w:tcW w:w="1616" w:type="dxa"/>
            <w:vAlign w:val="center"/>
          </w:tcPr>
          <w:p w:rsidR="00277F10" w:rsidRDefault="00FB59C2">
            <w:pPr>
              <w:jc w:val="right"/>
            </w:pPr>
            <w:r>
              <w:rPr>
                <w:rFonts w:asciiTheme="minorEastAsia" w:eastAsiaTheme="minorEastAsia" w:hAnsiTheme="minorEastAsia" w:cs="宋体"/>
                <w:color w:val="000000" w:themeColor="text1"/>
                <w:kern w:val="0"/>
              </w:rPr>
              <w:t>2.93</w:t>
            </w:r>
          </w:p>
        </w:tc>
      </w:tr>
    </w:tbl>
    <w:p w:rsidR="00277F10" w:rsidRDefault="00277F1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277F10" w:rsidRDefault="00277F1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277F10" w:rsidRDefault="00FB59C2">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277F10" w:rsidRDefault="00277F1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277F10" w:rsidRDefault="00277F10">
      <w:pPr>
        <w:adjustRightInd w:val="0"/>
        <w:snapToGrid w:val="0"/>
        <w:spacing w:line="360" w:lineRule="exact"/>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277F10" w:rsidRDefault="00FB59C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277F10" w:rsidRDefault="00FB59C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277F10">
        <w:tc>
          <w:tcPr>
            <w:tcW w:w="1235"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277F10" w:rsidRDefault="00FB59C2">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298,363.59</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7,780,765.29</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14,247.45</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93,154.42</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277F10">
        <w:tc>
          <w:tcPr>
            <w:tcW w:w="1235" w:type="dxa"/>
            <w:vAlign w:val="center"/>
          </w:tcPr>
          <w:p w:rsidR="00277F10" w:rsidRDefault="00FB59C2">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277F10" w:rsidRDefault="00FB59C2">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8,186,530.75</w:t>
            </w:r>
          </w:p>
        </w:tc>
      </w:tr>
    </w:tbl>
    <w:p w:rsidR="00277F10" w:rsidRDefault="00277F10">
      <w:pPr>
        <w:autoSpaceDE w:val="0"/>
        <w:autoSpaceDN w:val="0"/>
        <w:adjustRightInd w:val="0"/>
        <w:spacing w:line="360" w:lineRule="auto"/>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277F10" w:rsidRDefault="00277F10">
      <w:pPr>
        <w:autoSpaceDE w:val="0"/>
        <w:autoSpaceDN w:val="0"/>
        <w:adjustRightInd w:val="0"/>
        <w:spacing w:line="360" w:lineRule="auto"/>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tbl>
      <w:tblPr>
        <w:tblStyle w:val="af8"/>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277F10">
        <w:tc>
          <w:tcPr>
            <w:tcW w:w="1083"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02"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301"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805"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流通受限部分的公允价值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55"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c>
          <w:tcPr>
            <w:tcW w:w="1367" w:type="dxa"/>
            <w:vAlign w:val="center"/>
          </w:tcPr>
          <w:p w:rsidR="00277F10" w:rsidRDefault="00FB59C2">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流通受限情况说明</w:t>
            </w:r>
          </w:p>
        </w:tc>
      </w:tr>
      <w:tr w:rsidR="00277F10">
        <w:tc>
          <w:tcPr>
            <w:tcW w:w="1083" w:type="dxa"/>
            <w:vAlign w:val="center"/>
          </w:tcPr>
          <w:p w:rsidR="00277F10" w:rsidRDefault="00FB59C2">
            <w:pPr>
              <w:jc w:val="center"/>
            </w:pPr>
            <w:r>
              <w:rPr>
                <w:rFonts w:asciiTheme="minorEastAsia" w:eastAsiaTheme="minorEastAsia" w:hAnsiTheme="minorEastAsia" w:cs="宋体"/>
                <w:color w:val="000000" w:themeColor="text1"/>
                <w:kern w:val="0"/>
              </w:rPr>
              <w:t>1</w:t>
            </w:r>
          </w:p>
        </w:tc>
        <w:tc>
          <w:tcPr>
            <w:tcW w:w="1302" w:type="dxa"/>
            <w:vAlign w:val="center"/>
          </w:tcPr>
          <w:p w:rsidR="00277F10" w:rsidRDefault="00FB59C2">
            <w:pPr>
              <w:jc w:val="center"/>
            </w:pPr>
            <w:r>
              <w:rPr>
                <w:rFonts w:asciiTheme="minorEastAsia" w:eastAsiaTheme="minorEastAsia" w:hAnsiTheme="minorEastAsia" w:cs="宋体"/>
                <w:color w:val="000000" w:themeColor="text1"/>
                <w:kern w:val="0"/>
              </w:rPr>
              <w:t>603799</w:t>
            </w:r>
          </w:p>
        </w:tc>
        <w:tc>
          <w:tcPr>
            <w:tcW w:w="1301" w:type="dxa"/>
            <w:vAlign w:val="center"/>
          </w:tcPr>
          <w:p w:rsidR="00277F10" w:rsidRDefault="00FB59C2">
            <w:pPr>
              <w:jc w:val="center"/>
            </w:pPr>
            <w:r>
              <w:rPr>
                <w:rFonts w:asciiTheme="minorEastAsia" w:eastAsiaTheme="minorEastAsia" w:hAnsiTheme="minorEastAsia" w:cs="宋体"/>
                <w:color w:val="000000" w:themeColor="text1"/>
                <w:kern w:val="0"/>
              </w:rPr>
              <w:t>华友钴业</w:t>
            </w:r>
          </w:p>
        </w:tc>
        <w:tc>
          <w:tcPr>
            <w:tcW w:w="1805" w:type="dxa"/>
            <w:vAlign w:val="center"/>
          </w:tcPr>
          <w:p w:rsidR="00277F10" w:rsidRDefault="00FB59C2">
            <w:pPr>
              <w:jc w:val="right"/>
            </w:pPr>
            <w:r>
              <w:rPr>
                <w:rFonts w:asciiTheme="minorEastAsia" w:eastAsiaTheme="minorEastAsia" w:hAnsiTheme="minorEastAsia" w:cs="宋体"/>
                <w:color w:val="000000" w:themeColor="text1"/>
                <w:kern w:val="0"/>
              </w:rPr>
              <w:t>18,304,336.05</w:t>
            </w:r>
          </w:p>
        </w:tc>
        <w:tc>
          <w:tcPr>
            <w:tcW w:w="1655" w:type="dxa"/>
            <w:vAlign w:val="center"/>
          </w:tcPr>
          <w:p w:rsidR="00277F10" w:rsidRDefault="00FB59C2">
            <w:pPr>
              <w:jc w:val="right"/>
            </w:pPr>
            <w:r>
              <w:rPr>
                <w:rFonts w:asciiTheme="minorEastAsia" w:eastAsiaTheme="minorEastAsia" w:hAnsiTheme="minorEastAsia" w:cs="宋体"/>
                <w:color w:val="000000" w:themeColor="text1"/>
                <w:kern w:val="0"/>
              </w:rPr>
              <w:t>3.22</w:t>
            </w:r>
          </w:p>
        </w:tc>
        <w:tc>
          <w:tcPr>
            <w:tcW w:w="1367" w:type="dxa"/>
            <w:vAlign w:val="center"/>
          </w:tcPr>
          <w:p w:rsidR="00277F10" w:rsidRDefault="00FB59C2">
            <w:pPr>
              <w:jc w:val="right"/>
            </w:pPr>
            <w:r>
              <w:rPr>
                <w:rFonts w:asciiTheme="minorEastAsia" w:eastAsiaTheme="minorEastAsia" w:hAnsiTheme="minorEastAsia" w:cs="宋体"/>
                <w:color w:val="000000" w:themeColor="text1"/>
                <w:kern w:val="0"/>
              </w:rPr>
              <w:t>筹划重大事项</w:t>
            </w:r>
          </w:p>
        </w:tc>
      </w:tr>
    </w:tbl>
    <w:p w:rsidR="00277F10" w:rsidRDefault="00277F10">
      <w:pPr>
        <w:autoSpaceDE w:val="0"/>
        <w:autoSpaceDN w:val="0"/>
        <w:adjustRightInd w:val="0"/>
        <w:spacing w:line="360" w:lineRule="auto"/>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277F10" w:rsidRDefault="00FB59C2">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277F10" w:rsidRDefault="00FB59C2">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277F10">
        <w:tc>
          <w:tcPr>
            <w:tcW w:w="4609"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365,476,184.51</w:t>
            </w:r>
          </w:p>
        </w:tc>
      </w:tr>
      <w:tr w:rsidR="00277F10">
        <w:tc>
          <w:tcPr>
            <w:tcW w:w="4609"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5,118,646.93</w:t>
            </w:r>
          </w:p>
        </w:tc>
      </w:tr>
      <w:tr w:rsidR="00277F10">
        <w:tc>
          <w:tcPr>
            <w:tcW w:w="4609"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32,575,599.22</w:t>
            </w:r>
          </w:p>
        </w:tc>
      </w:tr>
      <w:tr w:rsidR="00277F10">
        <w:tc>
          <w:tcPr>
            <w:tcW w:w="4609"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277F10">
        <w:tc>
          <w:tcPr>
            <w:tcW w:w="4609"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77F10" w:rsidRDefault="00FB59C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338,019,232.22</w:t>
            </w:r>
          </w:p>
        </w:tc>
      </w:tr>
    </w:tbl>
    <w:p w:rsidR="00277F10" w:rsidRDefault="00FB59C2">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277F10" w:rsidRDefault="00FB59C2">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277F10" w:rsidRDefault="00FB59C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277F10" w:rsidRDefault="00277F10">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277F10" w:rsidRDefault="00FB59C2">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中国证监会批准上投摩根转型动力灵活配置混合型证券投资基金设立的文件；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《上投摩根转型动力灵活配置混合型证券投资基金基金合同》；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《上投摩根转型动力灵活配置混合型证券投资基金基金托管协议》；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《上投摩根基金管理有限公司开放式基金业务规则》；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基金管理人业务资格批件、营业执照； </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基金托管人业务资格批件和营业执照。</w:t>
      </w:r>
    </w:p>
    <w:p w:rsidR="00277F10" w:rsidRDefault="00277F10">
      <w:pPr>
        <w:spacing w:line="360" w:lineRule="auto"/>
        <w:ind w:firstLineChars="200" w:firstLine="480"/>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277F10" w:rsidRDefault="00277F10">
      <w:pPr>
        <w:spacing w:line="360" w:lineRule="auto"/>
        <w:ind w:firstLineChars="200" w:firstLine="480"/>
        <w:rPr>
          <w:rFonts w:asciiTheme="minorEastAsia" w:eastAsiaTheme="minorEastAsia" w:hAnsiTheme="minorEastAsia"/>
          <w:color w:val="000000" w:themeColor="text1"/>
          <w:sz w:val="24"/>
          <w:szCs w:val="24"/>
        </w:rPr>
      </w:pPr>
    </w:p>
    <w:p w:rsidR="00277F10" w:rsidRDefault="00FB59C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277F10" w:rsidRDefault="00FB59C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277F10">
      <w:pPr>
        <w:spacing w:line="360" w:lineRule="auto"/>
        <w:ind w:left="840"/>
        <w:jc w:val="right"/>
        <w:rPr>
          <w:rFonts w:asciiTheme="minorEastAsia" w:eastAsiaTheme="minorEastAsia" w:hAnsiTheme="minorEastAsia"/>
          <w:color w:val="000000" w:themeColor="text1"/>
          <w:sz w:val="24"/>
          <w:szCs w:val="24"/>
        </w:rPr>
      </w:pPr>
    </w:p>
    <w:p w:rsidR="00277F10" w:rsidRDefault="00FB59C2">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277F10" w:rsidRDefault="00FB59C2">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277F10" w:rsidRDefault="00277F10">
      <w:pPr>
        <w:spacing w:line="360" w:lineRule="auto"/>
        <w:ind w:left="840"/>
        <w:jc w:val="right"/>
        <w:rPr>
          <w:rFonts w:asciiTheme="minorEastAsia" w:eastAsiaTheme="minorEastAsia" w:hAnsiTheme="minorEastAsia"/>
          <w:b/>
          <w:bCs/>
          <w:color w:val="000000" w:themeColor="text1"/>
          <w:sz w:val="24"/>
          <w:szCs w:val="24"/>
        </w:rPr>
      </w:pPr>
    </w:p>
    <w:p w:rsidR="00277F10" w:rsidRDefault="00277F10">
      <w:pPr>
        <w:rPr>
          <w:rFonts w:asciiTheme="minorEastAsia" w:eastAsiaTheme="minorEastAsia" w:hAnsiTheme="minorEastAsia"/>
          <w:color w:val="000000" w:themeColor="text1"/>
          <w:sz w:val="24"/>
          <w:szCs w:val="24"/>
        </w:rPr>
      </w:pPr>
    </w:p>
    <w:sectPr w:rsidR="00277F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4B" w:rsidRDefault="00FB59C2">
      <w:r>
        <w:separator/>
      </w:r>
    </w:p>
  </w:endnote>
  <w:endnote w:type="continuationSeparator" w:id="0">
    <w:p w:rsidR="005A2E4B" w:rsidRDefault="00FB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10" w:rsidRDefault="00FB59C2">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42C49" w:rsidRPr="00A42C49">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10" w:rsidRDefault="00FB59C2">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42C49">
      <w:rPr>
        <w:rStyle w:val="af3"/>
        <w:noProof/>
      </w:rPr>
      <w:t>2</w:t>
    </w:r>
    <w:r>
      <w:rPr>
        <w:rStyle w:val="af3"/>
      </w:rPr>
      <w:fldChar w:fldCharType="end"/>
    </w:r>
  </w:p>
  <w:p w:rsidR="00277F10" w:rsidRDefault="00277F1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4B" w:rsidRDefault="00FB59C2">
      <w:r>
        <w:separator/>
      </w:r>
    </w:p>
  </w:footnote>
  <w:footnote w:type="continuationSeparator" w:id="0">
    <w:p w:rsidR="005A2E4B" w:rsidRDefault="00FB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10" w:rsidRDefault="00FB59C2">
    <w:pPr>
      <w:pStyle w:val="ad"/>
      <w:pBdr>
        <w:bottom w:val="single" w:sz="6" w:space="0" w:color="auto"/>
      </w:pBdr>
      <w:jc w:val="right"/>
    </w:pPr>
    <w:r>
      <w:rPr>
        <w:rFonts w:hint="eastAsia"/>
      </w:rPr>
      <w:t>上投摩根转型动力灵活配置混合型证券投资基金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77F10"/>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2E4B"/>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2C49"/>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629"/>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9C2"/>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E283B-2C3C-44A5-907C-5854A6E3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93F0B-E106-4743-950A-753D9C4D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925</Words>
  <Characters>5277</Characters>
  <Application>Microsoft Office Word</Application>
  <DocSecurity>0</DocSecurity>
  <Lines>43</Lines>
  <Paragraphs>12</Paragraphs>
  <ScaleCrop>false</ScaleCrop>
  <Company>Microsoft</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Ersong Zhu</cp:lastModifiedBy>
  <cp:revision>267</cp:revision>
  <dcterms:created xsi:type="dcterms:W3CDTF">2012-10-16T06:07:00Z</dcterms:created>
  <dcterms:modified xsi:type="dcterms:W3CDTF">2020-01-16T11:28:00Z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