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4C15BA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E65E7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C3405E"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05892C05"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7A6A756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1281750"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上投摩根转型动力灵活配置混合型证券投资基金</w:t>
      </w:r>
    </w:p>
    <w:p w14:paraId="5A1338CB"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2021年第2季度报告</w:t>
      </w:r>
    </w:p>
    <w:p w14:paraId="2E76B0B1"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2021年6月30日</w:t>
      </w:r>
    </w:p>
    <w:p w14:paraId="1A655430" w14:textId="77777777" w:rsidR="00D06738" w:rsidRDefault="00D06738" w:rsidRPr="00FF6B9A">
      <w:pPr>
        <w:spacing w:line="360" w:lineRule="auto"/>
        <w:jc w:val="center"/>
        <w:rPr>
          <w:rFonts w:eastAsiaTheme="minorEastAsia"/>
          <w:b/>
          <w:bCs/>
          <w:color w:themeColor="text1" w:val="000000"/>
          <w:sz w:val="24"/>
          <w:szCs w:val="24"/>
        </w:rPr>
      </w:pPr>
    </w:p>
    <w:p w14:paraId="3C5B7FC4" w14:textId="77777777" w:rsidR="00D06738" w:rsidRDefault="00D06738" w:rsidRPr="00FF6B9A">
      <w:pPr>
        <w:spacing w:line="360" w:lineRule="auto"/>
        <w:jc w:val="center"/>
        <w:rPr>
          <w:rFonts w:eastAsiaTheme="minorEastAsia"/>
          <w:b/>
          <w:bCs/>
          <w:color w:themeColor="text1" w:val="000000"/>
          <w:sz w:val="24"/>
          <w:szCs w:val="24"/>
        </w:rPr>
      </w:pPr>
    </w:p>
    <w:p w14:paraId="1D41633D" w14:textId="77777777" w:rsidR="00D06738" w:rsidRDefault="00D06738" w:rsidRPr="00FF6B9A">
      <w:pPr>
        <w:spacing w:line="360" w:lineRule="auto"/>
        <w:jc w:val="center"/>
        <w:rPr>
          <w:rFonts w:eastAsiaTheme="minorEastAsia"/>
          <w:b/>
          <w:bCs/>
          <w:color w:themeColor="text1" w:val="000000"/>
          <w:sz w:val="24"/>
          <w:szCs w:val="24"/>
        </w:rPr>
      </w:pPr>
    </w:p>
    <w:p w14:paraId="7088D740" w14:textId="77777777" w:rsidR="00D06738" w:rsidRDefault="00D06738" w:rsidRPr="00FF6B9A">
      <w:pPr>
        <w:spacing w:line="360" w:lineRule="auto"/>
        <w:jc w:val="center"/>
        <w:rPr>
          <w:rFonts w:eastAsiaTheme="minorEastAsia"/>
          <w:b/>
          <w:bCs/>
          <w:color w:themeColor="text1" w:val="000000"/>
          <w:sz w:val="24"/>
          <w:szCs w:val="24"/>
        </w:rPr>
      </w:pPr>
    </w:p>
    <w:p w14:paraId="4CB6A604" w14:textId="77777777" w:rsidR="00D06738" w:rsidRDefault="00D06738" w:rsidRPr="00FF6B9A">
      <w:pPr>
        <w:spacing w:line="360" w:lineRule="auto"/>
        <w:jc w:val="center"/>
        <w:rPr>
          <w:rFonts w:eastAsiaTheme="minorEastAsia"/>
          <w:b/>
          <w:bCs/>
          <w:color w:themeColor="text1" w:val="000000"/>
          <w:sz w:val="24"/>
          <w:szCs w:val="24"/>
        </w:rPr>
      </w:pPr>
    </w:p>
    <w:p w14:paraId="160BB35C" w14:textId="77777777" w:rsidR="00D06738" w:rsidRDefault="00D06738" w:rsidRPr="00FF6B9A">
      <w:pPr>
        <w:spacing w:line="360" w:lineRule="auto"/>
        <w:jc w:val="center"/>
        <w:rPr>
          <w:rFonts w:eastAsiaTheme="minorEastAsia"/>
          <w:b/>
          <w:bCs/>
          <w:color w:themeColor="text1" w:val="000000"/>
          <w:sz w:val="24"/>
          <w:szCs w:val="24"/>
        </w:rPr>
      </w:pPr>
    </w:p>
    <w:p w14:paraId="59EC83F9" w14:textId="77777777" w:rsidR="00D06738" w:rsidRDefault="00D06738" w:rsidRPr="00FF6B9A">
      <w:pPr>
        <w:spacing w:line="360" w:lineRule="auto"/>
        <w:jc w:val="center"/>
        <w:rPr>
          <w:rFonts w:eastAsiaTheme="minorEastAsia"/>
          <w:b/>
          <w:bCs/>
          <w:color w:themeColor="text1" w:val="000000"/>
          <w:sz w:val="24"/>
          <w:szCs w:val="24"/>
        </w:rPr>
      </w:pPr>
    </w:p>
    <w:p w14:paraId="618FC018" w14:textId="77777777" w:rsidR="00D06738" w:rsidRDefault="00D06738" w:rsidRPr="00FF6B9A">
      <w:pPr>
        <w:spacing w:line="360" w:lineRule="auto"/>
        <w:jc w:val="center"/>
        <w:rPr>
          <w:rFonts w:eastAsiaTheme="minorEastAsia"/>
          <w:b/>
          <w:bCs/>
          <w:color w:themeColor="text1" w:val="000000"/>
          <w:sz w:val="24"/>
          <w:szCs w:val="24"/>
        </w:rPr>
      </w:pPr>
    </w:p>
    <w:p w14:paraId="62C95459" w14:textId="77777777" w:rsidR="00D06738" w:rsidRDefault="00D06738" w:rsidRPr="00FF6B9A">
      <w:pPr>
        <w:spacing w:line="360" w:lineRule="auto"/>
        <w:jc w:val="center"/>
        <w:rPr>
          <w:rFonts w:eastAsiaTheme="minorEastAsia"/>
          <w:b/>
          <w:bCs/>
          <w:color w:themeColor="text1" w:val="000000"/>
          <w:sz w:val="24"/>
          <w:szCs w:val="24"/>
        </w:rPr>
      </w:pPr>
    </w:p>
    <w:p w14:paraId="60B5CF4B" w14:textId="77777777" w:rsidR="00D06738" w:rsidRDefault="00D06738" w:rsidRPr="00FF6B9A">
      <w:pPr>
        <w:spacing w:line="360" w:lineRule="auto"/>
        <w:jc w:val="center"/>
        <w:rPr>
          <w:rFonts w:eastAsiaTheme="minorEastAsia"/>
          <w:b/>
          <w:bCs/>
          <w:color w:themeColor="text1" w:val="000000"/>
          <w:sz w:val="24"/>
          <w:szCs w:val="24"/>
        </w:rPr>
      </w:pPr>
    </w:p>
    <w:p w14:paraId="39DE5ED7" w14:textId="77777777" w:rsidR="00D06738" w:rsidRDefault="00D06738" w:rsidRPr="00FF6B9A">
      <w:pPr>
        <w:spacing w:line="360" w:lineRule="auto"/>
        <w:jc w:val="center"/>
        <w:rPr>
          <w:rFonts w:eastAsiaTheme="minorEastAsia"/>
          <w:b/>
          <w:bCs/>
          <w:color w:themeColor="text1" w:val="000000"/>
          <w:sz w:val="24"/>
          <w:szCs w:val="24"/>
        </w:rPr>
      </w:pPr>
    </w:p>
    <w:p w14:paraId="22E93BD8" w14:textId="77777777" w:rsidR="00D06738" w:rsidRDefault="00D06738" w:rsidRPr="00FF6B9A">
      <w:pPr>
        <w:spacing w:line="360" w:lineRule="auto"/>
        <w:jc w:val="center"/>
        <w:rPr>
          <w:rFonts w:eastAsiaTheme="minorEastAsia"/>
          <w:b/>
          <w:bCs/>
          <w:color w:themeColor="text1" w:val="000000"/>
          <w:sz w:val="24"/>
          <w:szCs w:val="24"/>
        </w:rPr>
      </w:pPr>
    </w:p>
    <w:p w14:paraId="68A989DC" w14:textId="77777777" w:rsidR="00D06738" w:rsidRDefault="00D06738" w:rsidRPr="00FF6B9A">
      <w:pPr>
        <w:spacing w:line="360" w:lineRule="auto"/>
        <w:jc w:val="center"/>
        <w:rPr>
          <w:rFonts w:eastAsiaTheme="minorEastAsia"/>
          <w:b/>
          <w:bCs/>
          <w:color w:themeColor="text1" w:val="000000"/>
          <w:sz w:val="24"/>
          <w:szCs w:val="24"/>
        </w:rPr>
      </w:pPr>
    </w:p>
    <w:p w14:paraId="4B1AA632" w14:textId="77777777" w:rsidR="00D06738" w:rsidRDefault="00D06738" w:rsidRPr="00FF6B9A">
      <w:pPr>
        <w:spacing w:line="360" w:lineRule="auto"/>
        <w:rPr>
          <w:rFonts w:eastAsiaTheme="minorEastAsia"/>
          <w:b/>
          <w:bCs/>
          <w:color w:themeColor="text1" w:val="000000"/>
          <w:sz w:val="24"/>
          <w:szCs w:val="24"/>
        </w:rPr>
      </w:pPr>
    </w:p>
    <w:p w14:paraId="5866ADDF"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基金管理人：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上投摩根基金管理有限公司</w:t>
      </w:r>
    </w:p>
    <w:p w14:paraId="76291874"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基金托管人：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中国建设银行股份有限公司</w:t>
      </w:r>
    </w:p>
    <w:p w14:paraId="219C0F2E" w14:textId="77777777" w:rsidR="00D06738" w:rsidRDefault="00454D20" w:rsidRPr="00FF6B9A">
      <w:pPr>
        <w:spacing w:line="360" w:lineRule="auto"/>
        <w:ind w:firstLine="2168" w:firstLineChars="900"/>
        <w:rPr>
          <w:rFonts w:eastAsiaTheme="minorEastAsia"/>
          <w:b/>
          <w:color w:themeColor="text1" w:val="000000"/>
          <w:sz w:val="24"/>
          <w:szCs w:val="24"/>
        </w:rPr>
        <w:sectPr w:rsidR="00D06738" w:rsidRPr="00FF6B9A">
          <w:headerReference r:id="rId8" w:type="default"/>
          <w:footerReference r:id="rId9" w:type="default"/>
          <w:pgSz w:h="15840" w:w="11926"/>
          <w:pgMar w:bottom="851" w:footer="992" w:gutter="0" w:header="851" w:left="1418" w:right="1418" w:top="1418"/>
          <w:cols w:space="720"/>
        </w:sectPr>
      </w:pPr>
      <w:r w:rsidRPr="00FF6B9A">
        <w:rPr>
          <w:rFonts w:eastAsiaTheme="minorEastAsia"/>
          <w:b/>
          <w:color w:themeColor="text1" w:val="000000"/>
          <w:sz w:val="24"/>
          <w:szCs w:val="24"/>
        </w:rPr>
        <w:t>报告送出日期：</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二〇二一年七月二十一日</w:t>
      </w:r>
    </w:p>
    <w:p w14:paraId="7AFF270F" w14:textId="77777777" w:rsidR="00D06738" w:rsidRDefault="00454D20" w:rsidRPr="00FF6B9A">
      <w:pPr>
        <w:pStyle w:val="1"/>
        <w:spacing w:after="312" w:afterLines="100" w:before="312" w:beforeLines="100" w:line="360" w:lineRule="auto"/>
        <w:jc w:val="center"/>
        <w:rPr>
          <w:rFonts w:eastAsiaTheme="minorEastAsia"/>
          <w:b w:val="0"/>
          <w:bCs w:val="0"/>
          <w:color w:themeColor="text1" w:val="000000"/>
          <w:kern w:val="0"/>
          <w:sz w:val="24"/>
          <w:szCs w:val="24"/>
        </w:rPr>
      </w:pPr>
      <w:r w:rsidRPr="00FF6B9A">
        <w:rPr>
          <w:rFonts w:eastAsiaTheme="minorEastAsia"/>
          <w:color w:themeColor="text1" w:val="000000"/>
          <w:kern w:val="0"/>
          <w:sz w:val="24"/>
          <w:szCs w:val="24"/>
        </w:rPr>
        <w:lastRenderedPageBreak/>
        <w:t xml:space="preserve">§1  </w:t>
      </w:r>
      <w:r w:rsidRPr="00FF6B9A">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基金托管人中国建设银行股份有限公司根据本基金合同规定，于2021年7月20日复核了本报告中的财务指标、净值表现和投资组合报告等内容，保证复核内容不存在虚假记载、误导性陈述或者重大遗漏。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rPr>
      </w:pPr>
      <w:r>
        <w:rPr>
          <w:rFonts w:eastAsiaTheme="minorEastAsia"/>
          <w:color w:themeColor="text1" w:val="000000"/>
        </w:rPr>
        <w:t>本报告中财务资料未经审计。</w:t>
      </w:r>
    </w:p>
    <w:p w14:paraId="298A5200"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本报告期自2021年4月1日起至6月30日止。</w:t>
      </w:r>
    </w:p>
    <w:p w14:paraId="3A78A50A"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§2  </w:t>
      </w:r>
      <w:r w:rsidRPr="00FF6B9A">
        <w:rPr>
          <w:rFonts w:eastAsiaTheme="minor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rsidRPr="00FF6B9A">
        <w:tc>
          <w:tcPr>
            <w:tcW w:type="dxa" w:w="2835"/>
            <w:vAlign w:val="center"/>
          </w:tcPr>
          <w:p w14:paraId="41603EB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基金简称</w:t>
            </w:r>
          </w:p>
        </w:tc>
        <w:tc>
          <w:tcPr>
            <w:tcW w:type="dxa" w:w="5479"/>
            <w:gridSpan w:val="2"/>
            <w:vAlign w:val="center"/>
          </w:tcPr>
          <w:p w14:paraId="245289E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上投摩根转型动力混合</w:t>
            </w:r>
          </w:p>
        </w:tc>
      </w:tr>
      <w:tr w14:paraId="6487C456"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000328</w:t>
            </w:r>
          </w:p>
        </w:tc>
      </w:tr>
      <w:tr w14:paraId="2443AB88"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000328</w:t>
            </w:r>
          </w:p>
        </w:tc>
      </w:tr>
      <w:tr w14:paraId="7AF1FD7C" w14:textId="77777777" w:rsidR="00D06738" w:rsidRPr="00FF6B9A">
        <w:tc>
          <w:tcPr>
            <w:tcW w:type="dxa" w:w="2835"/>
            <w:vAlign w:val="center"/>
          </w:tcPr>
          <w:p w14:paraId="042D4F2C"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基金运作方式</w:t>
            </w:r>
          </w:p>
        </w:tc>
        <w:tc>
          <w:tcPr>
            <w:tcW w:type="dxa" w:w="5479"/>
            <w:gridSpan w:val="2"/>
            <w:vAlign w:val="center"/>
          </w:tcPr>
          <w:p w14:paraId="594303B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契约型开放式</w:t>
            </w:r>
          </w:p>
        </w:tc>
      </w:tr>
      <w:tr w14:paraId="5E254ABC" w14:textId="77777777" w:rsidR="00D06738" w:rsidRPr="00FF6B9A">
        <w:tc>
          <w:tcPr>
            <w:tcW w:type="dxa" w:w="2835"/>
            <w:vAlign w:val="center"/>
          </w:tcPr>
          <w:p w14:paraId="309669DF"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基金合同生效日</w:t>
            </w:r>
          </w:p>
        </w:tc>
        <w:tc>
          <w:tcPr>
            <w:tcW w:type="dxa" w:w="5479"/>
            <w:gridSpan w:val="2"/>
            <w:vAlign w:val="center"/>
          </w:tcPr>
          <w:p w14:paraId="1568522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2013年11月25日</w:t>
            </w:r>
          </w:p>
        </w:tc>
      </w:tr>
      <w:tr w14:paraId="06DF9713" w14:textId="77777777" w:rsidR="00D06738" w:rsidRPr="00FF6B9A">
        <w:tc>
          <w:tcPr>
            <w:tcW w:type="dxa" w:w="2835"/>
            <w:vAlign w:val="center"/>
          </w:tcPr>
          <w:p w14:paraId="57B0E59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报告期末基金份额总额</w:t>
            </w:r>
          </w:p>
        </w:tc>
        <w:tc>
          <w:tcPr>
            <w:tcW w:type="dxa" w:w="5479"/>
            <w:gridSpan w:val="2"/>
            <w:vAlign w:val="center"/>
          </w:tcPr>
          <w:p w14:paraId="38649CC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171,174,183.85</w:t>
            </w:r>
            <w:r w:rsidRPr="00FF6B9A">
              <w:rPr>
                <w:rFonts w:eastAsiaTheme="minorEastAsia"/>
                <w:color w:themeColor="text1" w:val="000000"/>
                <w:kern w:val="0"/>
              </w:rPr>
              <w:t>份</w:t>
            </w:r>
          </w:p>
        </w:tc>
      </w:tr>
      <w:tr w14:paraId="03D1AE98" w14:textId="77777777" w:rsidR="00D06738" w:rsidRPr="00FF6B9A">
        <w:tc>
          <w:tcPr>
            <w:tcW w:type="dxa" w:w="2835"/>
            <w:vAlign w:val="center"/>
          </w:tcPr>
          <w:p w14:paraId="4AB3756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投资目标</w:t>
            </w:r>
          </w:p>
        </w:tc>
        <w:tc>
          <w:tcPr>
            <w:tcW w:type="dxa" w:w="5479"/>
            <w:gridSpan w:val="2"/>
            <w:vAlign w:val="center"/>
          </w:tcPr>
          <w:p w14:paraId="61AB4DB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通过投资于符合政策扶植和经济发展方向，具有长期发展潜力的上市公司，充分把握中国未来经济转型带来的投资机会，力争实现基金资产的长期稳健增值。</w:t>
            </w:r>
          </w:p>
        </w:tc>
      </w:tr>
      <w:tr w14:paraId="0CFEC550" w14:textId="77777777" w:rsidR="00D06738" w:rsidRPr="00FF6B9A">
        <w:tc>
          <w:tcPr>
            <w:tcW w:type="dxa" w:w="2835"/>
            <w:vAlign w:val="center"/>
          </w:tcPr>
          <w:p w14:paraId="1E239E6A"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投资策略</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本基金将以经济转型作为行业配置和个股选择的主线，重点投资于受益于经济转型和政策扶持、具有良好基本面和持续成长能力的上市公司，力争实现基金资产的长期稳定增值。</w:t>
            </w:r>
          </w:p>
          <w:p>
            <w:pPr>
              <w:adjustRightInd w:val="0"/>
              <w:spacing w:before="29" w:line="360" w:lineRule="auto"/>
              <w:ind w:left="17"/>
              <w:rPr>
                <w:rFonts w:eastAsiaTheme="minorEastAsia"/>
                <w:color w:themeColor="text1" w:val="000000"/>
              </w:rPr>
            </w:pPr>
            <w:r>
              <w:rPr>
                <w:rFonts w:eastAsiaTheme="minorEastAsia"/>
                <w:color w:themeColor="text1" w:val="000000"/>
                <w:kern w:val="0"/>
              </w:rPr>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p w14:paraId="57810DE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具体投资策略包括：资产配置策略、行业配置策略、股票投资策略、固定收益类投资策略、可转换债券投资策略、中小企业私募债投资策略、权证投资策略、股指期货投资策略、存托凭证投资策略。</w:t>
            </w:r>
          </w:p>
        </w:tc>
      </w:tr>
      <w:tr w14:paraId="43AD7C9F" w14:textId="77777777" w:rsidR="00D06738" w:rsidRPr="00FF6B9A">
        <w:tc>
          <w:tcPr>
            <w:tcW w:type="dxa" w:w="2835"/>
            <w:vAlign w:val="center"/>
          </w:tcPr>
          <w:p w14:paraId="24E44D9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业绩比较基准</w:t>
            </w:r>
          </w:p>
        </w:tc>
        <w:tc>
          <w:tcPr>
            <w:tcW w:type="dxa" w:w="5479"/>
            <w:gridSpan w:val="2"/>
            <w:vAlign w:val="center"/>
          </w:tcPr>
          <w:p w14:paraId="6581E7F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沪深300指数收益率×80%+中债总指数收益率×20%</w:t>
            </w:r>
          </w:p>
        </w:tc>
      </w:tr>
      <w:tr w14:paraId="42EA0DB3" w14:textId="77777777" w:rsidR="00D06738" w:rsidRPr="00FF6B9A">
        <w:tc>
          <w:tcPr>
            <w:tcW w:type="dxa" w:w="2835"/>
            <w:vAlign w:val="center"/>
          </w:tcPr>
          <w:p w14:paraId="7192C3F0"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风险收益特征</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本基金属于混合型基金产品，预期风险和收益水平低于股票型基金，高于债券型基金和货币市场基金 ，属于较高风险收益水平的基金产品。</w:t>
            </w:r>
          </w:p>
          <w:p w14:paraId="2673C8C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rsidRPr="00FF6B9A">
        <w:tc>
          <w:tcPr>
            <w:tcW w:type="dxa" w:w="2835"/>
            <w:vAlign w:val="center"/>
          </w:tcPr>
          <w:p w14:paraId="281C6797"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基金管理人</w:t>
            </w:r>
          </w:p>
        </w:tc>
        <w:tc>
          <w:tcPr>
            <w:tcW w:type="dxa" w:w="5479"/>
            <w:gridSpan w:val="2"/>
            <w:vAlign w:val="center"/>
          </w:tcPr>
          <w:p w14:paraId="64BEE458"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上投摩根基金管理有限公司</w:t>
            </w:r>
          </w:p>
        </w:tc>
      </w:tr>
      <w:tr w14:paraId="76894E86" w14:textId="77777777" w:rsidR="00D06738" w:rsidRPr="00FF6B9A">
        <w:tc>
          <w:tcPr>
            <w:tcW w:type="dxa" w:w="2835"/>
            <w:vAlign w:val="center"/>
          </w:tcPr>
          <w:p w14:paraId="7825DD9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基金托管人</w:t>
            </w:r>
          </w:p>
        </w:tc>
        <w:tc>
          <w:tcPr>
            <w:tcW w:type="dxa" w:w="5479"/>
            <w:gridSpan w:val="2"/>
            <w:vAlign w:val="center"/>
          </w:tcPr>
          <w:p w14:paraId="5FB3246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中国建设银行股份有限公司</w:t>
            </w:r>
          </w:p>
        </w:tc>
      </w:tr>
    </w:tbl>
    <w:p w14:paraId="0FD2B1FF"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§3  </w:t>
      </w:r>
      <w:r w:rsidRPr="00FF6B9A">
        <w:rPr>
          <w:rFonts w:eastAsiaTheme="minorEastAsia"/>
          <w:color w:themeColor="text1" w:val="000000"/>
          <w:kern w:val="0"/>
          <w:sz w:val="24"/>
          <w:szCs w:val="24"/>
        </w:rPr>
        <w:t>主要财务指标和基金净值表现</w:t>
      </w:r>
    </w:p>
    <w:p w14:paraId="210337B7"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3.1 </w:t>
      </w:r>
      <w:r w:rsidRPr="00FF6B9A">
        <w:rPr>
          <w:rFonts w:eastAsiaTheme="minorEastAsia"/>
          <w:b/>
          <w:bCs/>
          <w:color w:themeColor="text1" w:val="000000"/>
          <w:kern w:val="0"/>
          <w:sz w:val="24"/>
          <w:szCs w:val="24"/>
        </w:rPr>
        <w:t>主要财务指标</w:t>
      </w:r>
    </w:p>
    <w:p w14:paraId="137D242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rsidRPr="00FF6B9A">
        <w:tc>
          <w:tcPr>
            <w:tcW w:type="dxa" w:w="3402"/>
            <w:vAlign w:val="center"/>
          </w:tcPr>
          <w:p w14:paraId="42E18AC5" w14:textId="77777777" w:rsidR="00D06738" w:rsidRDefault="00454D20" w:rsidRPr="00FF6B9A">
            <w:pPr>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主要财务指标</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4962"/>
            <w:hMerge w:val="restart"/>
            <w:vAlign w:val="center"/>
          </w:tcPr>
          <w:p w14:paraId="619578C9"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报告期</w:t>
            </w:r>
          </w:p>
          <w:p w14:paraId="3E47B353"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w:t>
            </w:r>
            <w:proofErr w:type="spellStart"/>
            <w:r w:rsidRPr="00FF6B9A">
              <w:rPr>
                <w:rFonts w:eastAsiaTheme="minorEastAsia"/>
                <w:color w:themeColor="text1" w:val="000000"/>
              </w:rPr>
              <w:t/>
            </w:r>
            <w:proofErr w:type="spellEnd"/>
            <w:r w:rsidRPr="00FF6B9A">
              <w:rPr>
                <w:rFonts w:eastAsiaTheme="minorEastAsia"/>
                <w:color w:themeColor="text1" w:val="000000"/>
              </w:rPr>
              <w:t>2021年4月1日-</w:t>
            </w:r>
            <w:proofErr w:type="spellStart"/>
            <w:r w:rsidRPr="00FF6B9A">
              <w:rPr>
                <w:rFonts w:eastAsiaTheme="minorEastAsia"/>
                <w:color w:themeColor="text1" w:val="000000"/>
              </w:rPr>
              <w:t/>
            </w:r>
            <w:proofErr w:type="spellEnd"/>
            <w:r w:rsidRPr="00FF6B9A">
              <w:rPr>
                <w:rFonts w:eastAsiaTheme="minorEastAsia"/>
                <w:color w:themeColor="text1" w:val="000000"/>
              </w:rPr>
              <w:t>2021年6月30日)</w:t>
            </w:r>
          </w:p>
        </w:tc>
        <w:tc>
          <w:tcPr>
            <w:tcW w:type="dxa" w:w="2410"/>
            <w:hMerge/>
            <w:vAlign w:val="center"/>
          </w:tcPr>
          <w:p w14:paraId="5FB75E1A"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上期金额</w:t>
            </w: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
            </w:r>
          </w:p>
        </w:tc>
      </w:tr>
      <w:tr w14:paraId="221834C8" w14:textId="77777777" w:rsidR="00D06738" w:rsidRPr="00FF6B9A">
        <w:tc>
          <w:tcPr>
            <w:tcW w:type="dxa" w:w="3402"/>
            <w:vAlign w:val="center"/>
          </w:tcPr>
          <w:p w14:paraId="19330D2C"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1.</w:t>
            </w:r>
            <w:r w:rsidRPr="00FF6B9A">
              <w:rPr>
                <w:rFonts w:eastAsiaTheme="minorEastAsia"/>
                <w:color w:themeColor="text1" w:val="000000"/>
                <w:kern w:val="0"/>
              </w:rPr>
              <w:t>本期已实现收益</w:t>
            </w:r>
          </w:p>
        </w:tc>
        <w:tc>
          <w:tcPr>
            <w:tcW w:type="dxa" w:w="4962"/>
            <w:hMerge w:val="restart"/>
            <w:vAlign w:val="center"/>
          </w:tcPr>
          <w:p w14:paraId="568D140B"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11,547,954.35</w:t>
            </w:r>
          </w:p>
        </w:tc>
        <w:tc>
          <w:tcPr>
            <w:tcW w:type="dxa" w:w="2410"/>
            <w:hMerge/>
            <w:vAlign w:val="center"/>
          </w:tcPr>
          <w:p w14:paraId="7D46D9A3"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0AEC81A" w14:textId="77777777" w:rsidR="00D06738" w:rsidRPr="00FF6B9A">
        <w:tc>
          <w:tcPr>
            <w:tcW w:type="dxa" w:w="3402"/>
            <w:vAlign w:val="center"/>
          </w:tcPr>
          <w:p w14:paraId="15ADAC28"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2.</w:t>
            </w:r>
            <w:r w:rsidRPr="00FF6B9A">
              <w:rPr>
                <w:rFonts w:eastAsiaTheme="minorEastAsia"/>
                <w:color w:themeColor="text1" w:val="000000"/>
                <w:kern w:val="0"/>
              </w:rPr>
              <w:t>本期利润</w:t>
            </w:r>
          </w:p>
        </w:tc>
        <w:tc>
          <w:tcPr>
            <w:tcW w:type="dxa" w:w="4962"/>
            <w:hMerge w:val="restart"/>
            <w:vAlign w:val="center"/>
          </w:tcPr>
          <w:p w14:paraId="42B249A8"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93,855,559.90</w:t>
            </w:r>
          </w:p>
        </w:tc>
        <w:tc>
          <w:tcPr>
            <w:tcW w:type="dxa" w:w="2410"/>
            <w:hMerge/>
            <w:vAlign w:val="center"/>
          </w:tcPr>
          <w:p w14:paraId="4CC084A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C8E1F6F" w14:textId="77777777" w:rsidR="00D06738" w:rsidRPr="00FF6B9A">
        <w:tc>
          <w:tcPr>
            <w:tcW w:type="dxa" w:w="3402"/>
            <w:vAlign w:val="center"/>
          </w:tcPr>
          <w:p w14:paraId="1C3F4C7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3.</w:t>
            </w:r>
            <w:r w:rsidRPr="00FF6B9A">
              <w:rPr>
                <w:rFonts w:eastAsiaTheme="minorEastAsia"/>
                <w:color w:themeColor="text1" w:val="000000"/>
                <w:kern w:val="0"/>
              </w:rPr>
              <w:t>加权平均基金份额本期利润</w:t>
            </w:r>
          </w:p>
        </w:tc>
        <w:tc>
          <w:tcPr>
            <w:tcW w:type="dxa" w:w="4962"/>
            <w:hMerge w:val="restart"/>
            <w:vAlign w:val="center"/>
          </w:tcPr>
          <w:p w14:paraId="43651B7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0.5162</w:t>
            </w:r>
          </w:p>
        </w:tc>
        <w:tc>
          <w:tcPr>
            <w:tcW w:type="dxa" w:w="2410"/>
            <w:hMerge/>
            <w:vAlign w:val="center"/>
          </w:tcPr>
          <w:p w14:paraId="18DC755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9975AED" w14:textId="77777777" w:rsidR="00D06738" w:rsidRPr="00FF6B9A">
        <w:tc>
          <w:tcPr>
            <w:tcW w:type="dxa" w:w="3402"/>
            <w:vAlign w:val="center"/>
          </w:tcPr>
          <w:p w14:paraId="5358D232"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4.</w:t>
            </w:r>
            <w:r w:rsidRPr="00FF6B9A">
              <w:rPr>
                <w:rFonts w:eastAsiaTheme="minorEastAsia"/>
                <w:color w:themeColor="text1" w:val="000000"/>
                <w:kern w:val="0"/>
              </w:rPr>
              <w:t>期末基金资产净值</w:t>
            </w:r>
          </w:p>
        </w:tc>
        <w:tc>
          <w:tcPr>
            <w:tcW w:type="dxa" w:w="4962"/>
            <w:hMerge w:val="restart"/>
            <w:vAlign w:val="center"/>
          </w:tcPr>
          <w:p w14:paraId="11849F1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600,663,715.50</w:t>
            </w:r>
          </w:p>
        </w:tc>
        <w:tc>
          <w:tcPr>
            <w:tcW w:type="dxa" w:w="2410"/>
            <w:hMerge/>
            <w:vAlign w:val="center"/>
          </w:tcPr>
          <w:p w14:paraId="27D7B715"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BC36451" w14:textId="77777777" w:rsidR="00D06738" w:rsidRPr="00FF6B9A">
        <w:trPr>
          <w:trHeight w:val="158"/>
        </w:trPr>
        <w:tc>
          <w:tcPr>
            <w:tcW w:type="dxa" w:w="3402"/>
            <w:vAlign w:val="center"/>
          </w:tcPr>
          <w:p w14:paraId="5E87F5B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5.</w:t>
            </w:r>
            <w:r w:rsidRPr="00FF6B9A">
              <w:rPr>
                <w:rFonts w:eastAsiaTheme="minorEastAsia"/>
                <w:color w:themeColor="text1" w:val="000000"/>
                <w:kern w:val="0"/>
              </w:rPr>
              <w:t>期末基金份额净值</w:t>
            </w:r>
          </w:p>
        </w:tc>
        <w:tc>
          <w:tcPr>
            <w:tcW w:type="dxa" w:w="4962"/>
            <w:hMerge w:val="restart"/>
            <w:vAlign w:val="center"/>
          </w:tcPr>
          <w:p w14:paraId="20EA2920"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3.5091</w:t>
            </w:r>
          </w:p>
        </w:tc>
        <w:tc>
          <w:tcPr>
            <w:tcW w:type="dxa" w:w="2410"/>
            <w:hMerge/>
            <w:vAlign w:val="center"/>
          </w:tcPr>
          <w:p w14:paraId="52387A94"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560E0A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 </w:t>
      </w:r>
      <w:r w:rsidRPr="00FF6B9A">
        <w:rPr>
          <w:rFonts w:eastAsiaTheme="minorEastAsia"/>
          <w:b/>
          <w:bCs/>
          <w:color w:themeColor="text1" w:val="000000"/>
          <w:kern w:val="0"/>
          <w:sz w:val="24"/>
          <w:szCs w:val="24"/>
        </w:rPr>
        <w:t>基金净值表现</w:t>
      </w:r>
    </w:p>
    <w:p w14:paraId="6096210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3.2.1 </w:t>
      </w:r>
      <w:r w:rsidRPr="00FF6B9A">
        <w:rPr>
          <w:rFonts w:eastAsiaTheme="minorEastAsia"/>
          <w:b/>
          <w:bCs/>
          <w:color w:themeColor="text1" w:val="000000"/>
          <w:kern w:val="0"/>
          <w:sz w:val="24"/>
          <w:szCs w:val="24"/>
        </w:rPr>
        <w:t>本报告</w:t>
      </w:r>
      <w:proofErr w:type="gramStart"/>
      <w:r w:rsidRPr="00FF6B9A">
        <w:rPr>
          <w:rFonts w:eastAsiaTheme="minorEastAsia"/>
          <w:b/>
          <w:bCs/>
          <w:color w:themeColor="text1" w:val="000000"/>
          <w:kern w:val="0"/>
          <w:sz w:val="24"/>
          <w:szCs w:val="24"/>
        </w:rPr>
        <w:t>期基金</w:t>
      </w:r>
      <w:proofErr w:type="gramEnd"/>
      <w:r w:rsidRPr="00FF6B9A">
        <w:rPr>
          <w:rFonts w:eastAsiaTheme="minor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rsidRPr="00FF6B9A">
        <w:tc>
          <w:tcPr>
            <w:tcW w:type="dxa" w:w="1395"/>
            <w:vAlign w:val="center"/>
          </w:tcPr>
          <w:p w14:paraId="7A7D1D1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阶段</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1092"/>
            <w:vAlign w:val="center"/>
          </w:tcPr>
          <w:p w14:paraId="2CD30E7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w:t>
            </w:r>
            <w:r w:rsidRPr="00FF6B9A">
              <w:rPr>
                <w:rFonts w:ascii="宋体" w:cs="宋体" w:hAnsi="宋体" w:hint="eastAsia"/>
                <w:color w:themeColor="text1" w:val="000000"/>
                <w:kern w:val="0"/>
              </w:rPr>
              <w:t>①</w:t>
            </w:r>
          </w:p>
        </w:tc>
        <w:tc>
          <w:tcPr>
            <w:tcW w:type="dxa" w:w="1161"/>
            <w:vAlign w:val="center"/>
          </w:tcPr>
          <w:p w14:paraId="37DEF420"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净值增长率标准差</w:t>
            </w:r>
            <w:r w:rsidRPr="00FF6B9A">
              <w:rPr>
                <w:rFonts w:ascii="宋体" w:cs="宋体" w:hAnsi="宋体" w:hint="eastAsia"/>
                <w:color w:themeColor="text1" w:val="000000"/>
                <w:kern w:val="0"/>
              </w:rPr>
              <w:t>②</w:t>
            </w:r>
          </w:p>
        </w:tc>
        <w:tc>
          <w:tcPr>
            <w:tcW w:type="dxa" w:w="1181"/>
            <w:vAlign w:val="center"/>
          </w:tcPr>
          <w:p w14:paraId="7F4843F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w:t>
            </w:r>
            <w:r w:rsidRPr="00FF6B9A">
              <w:rPr>
                <w:rFonts w:ascii="宋体" w:cs="宋体" w:hAnsi="宋体" w:hint="eastAsia"/>
                <w:color w:themeColor="text1" w:val="000000"/>
                <w:kern w:val="0"/>
              </w:rPr>
              <w:t>③</w:t>
            </w:r>
          </w:p>
        </w:tc>
        <w:tc>
          <w:tcPr>
            <w:tcW w:type="dxa" w:w="1188"/>
            <w:vAlign w:val="center"/>
          </w:tcPr>
          <w:p w14:paraId="1265555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业绩比较基准收益率标准差</w:t>
            </w:r>
            <w:r w:rsidRPr="00FF6B9A">
              <w:rPr>
                <w:rFonts w:ascii="宋体" w:cs="宋体" w:hAnsi="宋体" w:hint="eastAsia"/>
                <w:color w:themeColor="text1" w:val="000000"/>
                <w:kern w:val="0"/>
              </w:rPr>
              <w:t>④</w:t>
            </w:r>
          </w:p>
        </w:tc>
        <w:tc>
          <w:tcPr>
            <w:tcW w:type="dxa" w:w="1199"/>
            <w:vAlign w:val="center"/>
          </w:tcPr>
          <w:p w14:paraId="5487E45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①</w:t>
            </w:r>
            <w:r w:rsidRPr="00FF6B9A">
              <w:rPr>
                <w:rFonts w:eastAsiaTheme="minorEastAsia"/>
                <w:color w:themeColor="text1" w:val="000000"/>
                <w:kern w:val="0"/>
              </w:rPr>
              <w:t>-</w:t>
            </w:r>
            <w:r w:rsidRPr="00FF6B9A">
              <w:rPr>
                <w:rFonts w:ascii="宋体" w:cs="宋体" w:hAnsi="宋体" w:hint="eastAsia"/>
                <w:color w:themeColor="text1" w:val="000000"/>
                <w:kern w:val="0"/>
              </w:rPr>
              <w:t>③</w:t>
            </w:r>
          </w:p>
        </w:tc>
        <w:tc>
          <w:tcPr>
            <w:tcW w:type="dxa" w:w="1204"/>
            <w:vAlign w:val="center"/>
          </w:tcPr>
          <w:p w14:paraId="7C50A3F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②</w:t>
            </w:r>
            <w:r w:rsidRPr="00FF6B9A">
              <w:rPr>
                <w:rFonts w:eastAsiaTheme="minorEastAsia"/>
                <w:color w:themeColor="text1" w:val="000000"/>
                <w:kern w:val="0"/>
              </w:rPr>
              <w:t>-</w:t>
            </w:r>
            <w:r w:rsidRPr="00FF6B9A">
              <w:rPr>
                <w:rFonts w:ascii="宋体" w:cs="宋体" w:hAnsi="宋体" w:hint="eastAsia"/>
                <w:color w:themeColor="text1" w:val="000000"/>
                <w:kern w:val="0"/>
              </w:rPr>
              <w:t>④</w:t>
            </w:r>
          </w:p>
        </w:tc>
      </w:tr>
      <w:tr>
        <w:tc>
          <w:tcPr>
            <w:vAlign w:val="center"/>
          </w:tcPr>
          <w:p>
            <w:pPr>
              <w:jc w:val="left"/>
            </w:pPr>
            <w:r>
              <w:rPr>
                <w:rFonts w:eastAsiaTheme="minorEastAsia"/>
                <w:color w:themeColor="text1" w:val="000000"/>
                <w:kern w:val="0"/>
              </w:rPr>
              <w:t>过去三个月</w:t>
            </w:r>
          </w:p>
        </w:tc>
        <w:tc>
          <w:tcPr>
            <w:vAlign w:val="center"/>
          </w:tcPr>
          <w:p>
            <w:pPr>
              <w:jc w:val="center"/>
            </w:pPr>
            <w:r>
              <w:rPr>
                <w:rFonts w:eastAsiaTheme="minorEastAsia"/>
                <w:color w:themeColor="text1" w:val="000000"/>
                <w:kern w:val="0"/>
              </w:rPr>
              <w:t>17.58%</w:t>
            </w:r>
          </w:p>
        </w:tc>
        <w:tc>
          <w:tcPr>
            <w:vAlign w:val="center"/>
          </w:tcPr>
          <w:p>
            <w:pPr>
              <w:jc w:val="center"/>
            </w:pPr>
            <w:r>
              <w:rPr>
                <w:rFonts w:eastAsiaTheme="minorEastAsia"/>
                <w:color w:themeColor="text1" w:val="000000"/>
                <w:kern w:val="0"/>
              </w:rPr>
              <w:t>1.31%</w:t>
            </w:r>
          </w:p>
        </w:tc>
        <w:tc>
          <w:tcPr>
            <w:vAlign w:val="center"/>
          </w:tcPr>
          <w:p>
            <w:pPr>
              <w:jc w:val="center"/>
            </w:pPr>
            <w:r>
              <w:rPr>
                <w:rFonts w:eastAsiaTheme="minorEastAsia"/>
                <w:color w:themeColor="text1" w:val="000000"/>
                <w:kern w:val="0"/>
              </w:rPr>
              <w:t>2.88%</w:t>
            </w:r>
          </w:p>
        </w:tc>
        <w:tc>
          <w:tcPr>
            <w:vAlign w:val="center"/>
          </w:tcPr>
          <w:p>
            <w:pPr>
              <w:jc w:val="center"/>
            </w:pPr>
            <w:r>
              <w:rPr>
                <w:rFonts w:eastAsiaTheme="minorEastAsia"/>
                <w:color w:themeColor="text1" w:val="000000"/>
                <w:kern w:val="0"/>
              </w:rPr>
              <w:t>0.78%</w:t>
            </w:r>
          </w:p>
        </w:tc>
        <w:tc>
          <w:tcPr>
            <w:vAlign w:val="center"/>
          </w:tcPr>
          <w:p>
            <w:pPr>
              <w:jc w:val="center"/>
            </w:pPr>
            <w:r>
              <w:rPr>
                <w:rFonts w:eastAsiaTheme="minorEastAsia"/>
                <w:color w:themeColor="text1" w:val="000000"/>
                <w:kern w:val="0"/>
              </w:rPr>
              <w:t>14.70%</w:t>
            </w:r>
          </w:p>
        </w:tc>
        <w:tc>
          <w:tcPr>
            <w:vAlign w:val="center"/>
          </w:tcPr>
          <w:p>
            <w:pPr>
              <w:jc w:val="center"/>
            </w:pPr>
            <w:r>
              <w:rPr>
                <w:rFonts w:eastAsiaTheme="minorEastAsia"/>
                <w:color w:themeColor="text1" w:val="000000"/>
                <w:kern w:val="0"/>
              </w:rPr>
              <w:t>0.53%</w:t>
            </w:r>
          </w:p>
        </w:tc>
      </w:tr>
      <w:tr>
        <w:tc>
          <w:tcPr>
            <w:vAlign w:val="center"/>
          </w:tcPr>
          <w:p>
            <w:pPr>
              <w:jc w:val="left"/>
            </w:pPr>
            <w:r>
              <w:rPr>
                <w:rFonts w:eastAsiaTheme="minorEastAsia"/>
                <w:color w:themeColor="text1" w:val="000000"/>
                <w:kern w:val="0"/>
              </w:rPr>
              <w:t>过去六个月</w:t>
            </w:r>
          </w:p>
        </w:tc>
        <w:tc>
          <w:tcPr>
            <w:vAlign w:val="center"/>
          </w:tcPr>
          <w:p>
            <w:pPr>
              <w:jc w:val="center"/>
            </w:pPr>
            <w:r>
              <w:rPr>
                <w:rFonts w:eastAsiaTheme="minorEastAsia"/>
                <w:color w:themeColor="text1" w:val="000000"/>
                <w:kern w:val="0"/>
              </w:rPr>
              <w:t>10.35%</w:t>
            </w:r>
          </w:p>
        </w:tc>
        <w:tc>
          <w:tcPr>
            <w:vAlign w:val="center"/>
          </w:tcPr>
          <w:p>
            <w:pPr>
              <w:jc w:val="center"/>
            </w:pPr>
            <w:r>
              <w:rPr>
                <w:rFonts w:eastAsiaTheme="minorEastAsia"/>
                <w:color w:themeColor="text1" w:val="000000"/>
                <w:kern w:val="0"/>
              </w:rPr>
              <w:t>1.85%</w:t>
            </w:r>
          </w:p>
        </w:tc>
        <w:tc>
          <w:tcPr>
            <w:vAlign w:val="center"/>
          </w:tcPr>
          <w:p>
            <w:pPr>
              <w:jc w:val="center"/>
            </w:pPr>
            <w:r>
              <w:rPr>
                <w:rFonts w:eastAsiaTheme="minorEastAsia"/>
                <w:color w:themeColor="text1" w:val="000000"/>
                <w:kern w:val="0"/>
              </w:rPr>
              <w:t>0.24%</w:t>
            </w:r>
          </w:p>
        </w:tc>
        <w:tc>
          <w:tcPr>
            <w:vAlign w:val="center"/>
          </w:tcPr>
          <w:p>
            <w:pPr>
              <w:jc w:val="center"/>
            </w:pPr>
            <w:r>
              <w:rPr>
                <w:rFonts w:eastAsiaTheme="minorEastAsia"/>
                <w:color w:themeColor="text1" w:val="000000"/>
                <w:kern w:val="0"/>
              </w:rPr>
              <w:t>1.05%</w:t>
            </w:r>
          </w:p>
        </w:tc>
        <w:tc>
          <w:tcPr>
            <w:vAlign w:val="center"/>
          </w:tcPr>
          <w:p>
            <w:pPr>
              <w:jc w:val="center"/>
            </w:pPr>
            <w:r>
              <w:rPr>
                <w:rFonts w:eastAsiaTheme="minorEastAsia"/>
                <w:color w:themeColor="text1" w:val="000000"/>
                <w:kern w:val="0"/>
              </w:rPr>
              <w:t>10.11%</w:t>
            </w:r>
          </w:p>
        </w:tc>
        <w:tc>
          <w:tcPr>
            <w:vAlign w:val="center"/>
          </w:tcPr>
          <w:p>
            <w:pPr>
              <w:jc w:val="center"/>
            </w:pPr>
            <w:r>
              <w:rPr>
                <w:rFonts w:eastAsiaTheme="minorEastAsia"/>
                <w:color w:themeColor="text1" w:val="000000"/>
                <w:kern w:val="0"/>
              </w:rPr>
              <w:t>0.80%</w:t>
            </w:r>
          </w:p>
        </w:tc>
      </w:tr>
      <w:tr>
        <w:tc>
          <w:tcPr>
            <w:vAlign w:val="center"/>
          </w:tcPr>
          <w:p>
            <w:pPr>
              <w:jc w:val="left"/>
            </w:pPr>
            <w:r>
              <w:rPr>
                <w:rFonts w:eastAsiaTheme="minorEastAsia"/>
                <w:color w:themeColor="text1" w:val="000000"/>
                <w:kern w:val="0"/>
              </w:rPr>
              <w:t>过去一年</w:t>
            </w:r>
          </w:p>
        </w:tc>
        <w:tc>
          <w:tcPr>
            <w:vAlign w:val="center"/>
          </w:tcPr>
          <w:p>
            <w:pPr>
              <w:jc w:val="center"/>
            </w:pPr>
            <w:r>
              <w:rPr>
                <w:rFonts w:eastAsiaTheme="minorEastAsia"/>
                <w:color w:themeColor="text1" w:val="000000"/>
                <w:kern w:val="0"/>
              </w:rPr>
              <w:t>51.52%</w:t>
            </w:r>
          </w:p>
        </w:tc>
        <w:tc>
          <w:tcPr>
            <w:vAlign w:val="center"/>
          </w:tcPr>
          <w:p>
            <w:pPr>
              <w:jc w:val="center"/>
            </w:pPr>
            <w:r>
              <w:rPr>
                <w:rFonts w:eastAsiaTheme="minorEastAsia"/>
                <w:color w:themeColor="text1" w:val="000000"/>
                <w:kern w:val="0"/>
              </w:rPr>
              <w:t>1.79%</w:t>
            </w:r>
          </w:p>
        </w:tc>
        <w:tc>
          <w:tcPr>
            <w:vAlign w:val="center"/>
          </w:tcPr>
          <w:p>
            <w:pPr>
              <w:jc w:val="center"/>
            </w:pPr>
            <w:r>
              <w:rPr>
                <w:rFonts w:eastAsiaTheme="minorEastAsia"/>
                <w:color w:themeColor="text1" w:val="000000"/>
                <w:kern w:val="0"/>
              </w:rPr>
              <w:t>20.22%</w:t>
            </w:r>
          </w:p>
        </w:tc>
        <w:tc>
          <w:tcPr>
            <w:vAlign w:val="center"/>
          </w:tcPr>
          <w:p>
            <w:pPr>
              <w:jc w:val="center"/>
            </w:pPr>
            <w:r>
              <w:rPr>
                <w:rFonts w:eastAsiaTheme="minorEastAsia"/>
                <w:color w:themeColor="text1" w:val="000000"/>
                <w:kern w:val="0"/>
              </w:rPr>
              <w:t>1.06%</w:t>
            </w:r>
          </w:p>
        </w:tc>
        <w:tc>
          <w:tcPr>
            <w:vAlign w:val="center"/>
          </w:tcPr>
          <w:p>
            <w:pPr>
              <w:jc w:val="center"/>
            </w:pPr>
            <w:r>
              <w:rPr>
                <w:rFonts w:eastAsiaTheme="minorEastAsia"/>
                <w:color w:themeColor="text1" w:val="000000"/>
                <w:kern w:val="0"/>
              </w:rPr>
              <w:t>31.30%</w:t>
            </w:r>
          </w:p>
        </w:tc>
        <w:tc>
          <w:tcPr>
            <w:vAlign w:val="center"/>
          </w:tcPr>
          <w:p>
            <w:pPr>
              <w:jc w:val="center"/>
            </w:pPr>
            <w:r>
              <w:rPr>
                <w:rFonts w:eastAsiaTheme="minorEastAsia"/>
                <w:color w:themeColor="text1" w:val="000000"/>
                <w:kern w:val="0"/>
              </w:rPr>
              <w:t>0.73%</w:t>
            </w:r>
          </w:p>
        </w:tc>
      </w:tr>
      <w:tr>
        <w:tc>
          <w:tcPr>
            <w:vAlign w:val="center"/>
          </w:tcPr>
          <w:p>
            <w:pPr>
              <w:jc w:val="left"/>
            </w:pPr>
            <w:r>
              <w:rPr>
                <w:rFonts w:eastAsiaTheme="minorEastAsia"/>
                <w:color w:themeColor="text1" w:val="000000"/>
                <w:kern w:val="0"/>
              </w:rPr>
              <w:t>过去三年</w:t>
            </w:r>
          </w:p>
        </w:tc>
        <w:tc>
          <w:tcPr>
            <w:vAlign w:val="center"/>
          </w:tcPr>
          <w:p>
            <w:pPr>
              <w:jc w:val="center"/>
            </w:pPr>
            <w:r>
              <w:rPr>
                <w:rFonts w:eastAsiaTheme="minorEastAsia"/>
                <w:color w:themeColor="text1" w:val="000000"/>
                <w:kern w:val="0"/>
              </w:rPr>
              <w:t>143.69%</w:t>
            </w:r>
          </w:p>
        </w:tc>
        <w:tc>
          <w:tcPr>
            <w:vAlign w:val="center"/>
          </w:tcPr>
          <w:p>
            <w:pPr>
              <w:jc w:val="center"/>
            </w:pPr>
            <w:r>
              <w:rPr>
                <w:rFonts w:eastAsiaTheme="minorEastAsia"/>
                <w:color w:themeColor="text1" w:val="000000"/>
                <w:kern w:val="0"/>
              </w:rPr>
              <w:t>1.62%</w:t>
            </w:r>
          </w:p>
        </w:tc>
        <w:tc>
          <w:tcPr>
            <w:vAlign w:val="center"/>
          </w:tcPr>
          <w:p>
            <w:pPr>
              <w:jc w:val="center"/>
            </w:pPr>
            <w:r>
              <w:rPr>
                <w:rFonts w:eastAsiaTheme="minorEastAsia"/>
                <w:color w:themeColor="text1" w:val="000000"/>
                <w:kern w:val="0"/>
              </w:rPr>
              <w:t>39.89%</w:t>
            </w:r>
          </w:p>
        </w:tc>
        <w:tc>
          <w:tcPr>
            <w:vAlign w:val="center"/>
          </w:tcPr>
          <w:p>
            <w:pPr>
              <w:jc w:val="center"/>
            </w:pPr>
            <w:r>
              <w:rPr>
                <w:rFonts w:eastAsiaTheme="minorEastAsia"/>
                <w:color w:themeColor="text1" w:val="000000"/>
                <w:kern w:val="0"/>
              </w:rPr>
              <w:t>1.09%</w:t>
            </w:r>
          </w:p>
        </w:tc>
        <w:tc>
          <w:tcPr>
            <w:vAlign w:val="center"/>
          </w:tcPr>
          <w:p>
            <w:pPr>
              <w:jc w:val="center"/>
            </w:pPr>
            <w:r>
              <w:rPr>
                <w:rFonts w:eastAsiaTheme="minorEastAsia"/>
                <w:color w:themeColor="text1" w:val="000000"/>
                <w:kern w:val="0"/>
              </w:rPr>
              <w:t>103.80%</w:t>
            </w:r>
          </w:p>
        </w:tc>
        <w:tc>
          <w:tcPr>
            <w:vAlign w:val="center"/>
          </w:tcPr>
          <w:p>
            <w:pPr>
              <w:jc w:val="center"/>
            </w:pPr>
            <w:r>
              <w:rPr>
                <w:rFonts w:eastAsiaTheme="minorEastAsia"/>
                <w:color w:themeColor="text1" w:val="000000"/>
                <w:kern w:val="0"/>
              </w:rPr>
              <w:t>0.53%</w:t>
            </w:r>
          </w:p>
        </w:tc>
      </w:tr>
      <w:tr>
        <w:tc>
          <w:tcPr>
            <w:vAlign w:val="center"/>
          </w:tcPr>
          <w:p>
            <w:pPr>
              <w:jc w:val="left"/>
            </w:pPr>
            <w:r>
              <w:rPr>
                <w:rFonts w:eastAsiaTheme="minorEastAsia"/>
                <w:color w:themeColor="text1" w:val="000000"/>
                <w:kern w:val="0"/>
              </w:rPr>
              <w:t>过去五年</w:t>
            </w:r>
          </w:p>
        </w:tc>
        <w:tc>
          <w:tcPr>
            <w:vAlign w:val="center"/>
          </w:tcPr>
          <w:p>
            <w:pPr>
              <w:jc w:val="center"/>
            </w:pPr>
            <w:r>
              <w:rPr>
                <w:rFonts w:eastAsiaTheme="minorEastAsia"/>
                <w:color w:themeColor="text1" w:val="000000"/>
                <w:kern w:val="0"/>
              </w:rPr>
              <w:t>137.74%</w:t>
            </w:r>
          </w:p>
        </w:tc>
        <w:tc>
          <w:tcPr>
            <w:vAlign w:val="center"/>
          </w:tcPr>
          <w:p>
            <w:pPr>
              <w:jc w:val="center"/>
            </w:pPr>
            <w:r>
              <w:rPr>
                <w:rFonts w:eastAsiaTheme="minorEastAsia"/>
                <w:color w:themeColor="text1" w:val="000000"/>
                <w:kern w:val="0"/>
              </w:rPr>
              <w:t>1.53%</w:t>
            </w:r>
          </w:p>
        </w:tc>
        <w:tc>
          <w:tcPr>
            <w:vAlign w:val="center"/>
          </w:tcPr>
          <w:p>
            <w:pPr>
              <w:jc w:val="center"/>
            </w:pPr>
            <w:r>
              <w:rPr>
                <w:rFonts w:eastAsiaTheme="minorEastAsia"/>
                <w:color w:themeColor="text1" w:val="000000"/>
                <w:kern w:val="0"/>
              </w:rPr>
              <w:t>52.80%</w:t>
            </w:r>
          </w:p>
        </w:tc>
        <w:tc>
          <w:tcPr>
            <w:vAlign w:val="center"/>
          </w:tcPr>
          <w:p>
            <w:pPr>
              <w:jc w:val="center"/>
            </w:pPr>
            <w:r>
              <w:rPr>
                <w:rFonts w:eastAsiaTheme="minorEastAsia"/>
                <w:color w:themeColor="text1" w:val="000000"/>
                <w:kern w:val="0"/>
              </w:rPr>
              <w:t>0.94%</w:t>
            </w:r>
          </w:p>
        </w:tc>
        <w:tc>
          <w:tcPr>
            <w:vAlign w:val="center"/>
          </w:tcPr>
          <w:p>
            <w:pPr>
              <w:jc w:val="center"/>
            </w:pPr>
            <w:r>
              <w:rPr>
                <w:rFonts w:eastAsiaTheme="minorEastAsia"/>
                <w:color w:themeColor="text1" w:val="000000"/>
                <w:kern w:val="0"/>
              </w:rPr>
              <w:t>84.94%</w:t>
            </w:r>
          </w:p>
        </w:tc>
        <w:tc>
          <w:tcPr>
            <w:vAlign w:val="center"/>
          </w:tcPr>
          <w:p>
            <w:pPr>
              <w:jc w:val="center"/>
            </w:pPr>
            <w:r>
              <w:rPr>
                <w:rFonts w:eastAsiaTheme="minorEastAsia"/>
                <w:color w:themeColor="text1" w:val="000000"/>
                <w:kern w:val="0"/>
              </w:rPr>
              <w:t>0.59%</w:t>
            </w:r>
          </w:p>
        </w:tc>
      </w:tr>
      <w:tr>
        <w:tc>
          <w:tcPr>
            <w:vAlign w:val="center"/>
          </w:tcPr>
          <w:p>
            <w:pPr>
              <w:jc w:val="left"/>
            </w:pPr>
            <w:r>
              <w:rPr>
                <w:rFonts w:eastAsiaTheme="minorEastAsia"/>
                <w:color w:themeColor="text1" w:val="000000"/>
                <w:kern w:val="0"/>
              </w:rPr>
              <w:t>自基金合同生效起至今</w:t>
            </w:r>
          </w:p>
        </w:tc>
        <w:tc>
          <w:tcPr>
            <w:vAlign w:val="center"/>
          </w:tcPr>
          <w:p>
            <w:pPr>
              <w:jc w:val="center"/>
            </w:pPr>
            <w:r>
              <w:rPr>
                <w:rFonts w:eastAsiaTheme="minorEastAsia"/>
                <w:color w:themeColor="text1" w:val="000000"/>
                <w:kern w:val="0"/>
              </w:rPr>
              <w:t>250.91%</w:t>
            </w:r>
          </w:p>
        </w:tc>
        <w:tc>
          <w:tcPr>
            <w:vAlign w:val="center"/>
          </w:tcPr>
          <w:p>
            <w:pPr>
              <w:jc w:val="center"/>
            </w:pPr>
            <w:r>
              <w:rPr>
                <w:rFonts w:eastAsiaTheme="minorEastAsia"/>
                <w:color w:themeColor="text1" w:val="000000"/>
                <w:kern w:val="0"/>
              </w:rPr>
              <w:t>1.77%</w:t>
            </w:r>
          </w:p>
        </w:tc>
        <w:tc>
          <w:tcPr>
            <w:vAlign w:val="center"/>
          </w:tcPr>
          <w:p>
            <w:pPr>
              <w:jc w:val="center"/>
            </w:pPr>
            <w:r>
              <w:rPr>
                <w:rFonts w:eastAsiaTheme="minorEastAsia"/>
                <w:color w:themeColor="text1" w:val="000000"/>
                <w:kern w:val="0"/>
              </w:rPr>
              <w:t>96.93%</w:t>
            </w:r>
          </w:p>
        </w:tc>
        <w:tc>
          <w:tcPr>
            <w:vAlign w:val="center"/>
          </w:tcPr>
          <w:p>
            <w:pPr>
              <w:jc w:val="center"/>
            </w:pPr>
            <w:r>
              <w:rPr>
                <w:rFonts w:eastAsiaTheme="minorEastAsia"/>
                <w:color w:themeColor="text1" w:val="000000"/>
                <w:kern w:val="0"/>
              </w:rPr>
              <w:t>1.17%</w:t>
            </w:r>
          </w:p>
        </w:tc>
        <w:tc>
          <w:tcPr>
            <w:vAlign w:val="center"/>
          </w:tcPr>
          <w:p>
            <w:pPr>
              <w:jc w:val="center"/>
            </w:pPr>
            <w:r>
              <w:rPr>
                <w:rFonts w:eastAsiaTheme="minorEastAsia"/>
                <w:color w:themeColor="text1" w:val="000000"/>
                <w:kern w:val="0"/>
              </w:rPr>
              <w:t>153.98%</w:t>
            </w:r>
          </w:p>
        </w:tc>
        <w:tc>
          <w:tcPr>
            <w:vAlign w:val="center"/>
          </w:tcPr>
          <w:p>
            <w:pPr>
              <w:jc w:val="center"/>
            </w:pPr>
            <w:r>
              <w:rPr>
                <w:rFonts w:eastAsiaTheme="minorEastAsia"/>
                <w:color w:themeColor="text1" w:val="000000"/>
                <w:kern w:val="0"/>
              </w:rPr>
              <w:t>0.60%</w:t>
            </w:r>
          </w:p>
        </w:tc>
      </w:tr>
    </w:tbl>
    <w:p w14:paraId="11CC28FB"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04CD2E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3.2.2</w:t>
      </w:r>
      <w:r w:rsidRPr="00FF6B9A">
        <w:rPr>
          <w:rStyle w:val="afe"/>
          <w:color w:themeColor="text1" w:val="000000"/>
          <w:sz w:val="24"/>
          <w:szCs w:val="24"/>
          <w:shd w:color="auto" w:fill="FFFFFF" w:val="clear"/>
        </w:rPr>
        <w:t/>
      </w:r>
      <w:proofErr w:type="spellStart"/>
      <w:r w:rsidRPr="00FF6B9A">
        <w:rPr>
          <w:rStyle w:val="afe"/>
          <w:color w:themeColor="text1" w:val="000000"/>
          <w:sz w:val="24"/>
          <w:szCs w:val="24"/>
          <w:shd w:color="auto" w:fill="FFFFFF" w:val="clear"/>
        </w:rPr>
        <w:t/>
      </w:r>
      <w:proofErr w:type="spellEnd"/>
      <w:r w:rsidRPr="00FF6B9A">
        <w:rPr>
          <w:rStyle w:val="afe"/>
          <w:color w:themeColor="text1" w:val="000000"/>
          <w:sz w:val="24"/>
          <w:szCs w:val="24"/>
          <w:shd w:color="auto" w:fill="FFFFFF" w:val="clear"/>
        </w:rPr>
        <w:t>自基金合同生效以来</w:t>
      </w:r>
      <w:r w:rsidRPr="00FF6B9A">
        <w:rPr>
          <w:rFonts w:eastAsiaTheme="minorEastAsia"/>
          <w:b/>
          <w:bCs/>
          <w:color w:themeColor="text1" w:val="000000"/>
          <w:kern w:val="0"/>
          <w:sz w:val="24"/>
          <w:szCs w:val="24"/>
        </w:rPr>
        <w:t>基金累计净值增长率变动及其与同期业绩比较基准收益率变动的比较</w:t>
      </w:r>
    </w:p>
    <w:p w14:paraId="7E434705" w14:textId="77777777" w:rsidR="00D06738" w:rsidRDefault="00454D20" w:rsidRPr="00FF6B9A">
      <w:pPr>
        <w:spacing w:line="360" w:lineRule="auto"/>
        <w:jc w:val="center"/>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上投摩根转型动力灵活配置混合型证券投资基金</w:t>
      </w:r>
    </w:p>
    <w:p w14:paraId="760894FB" w14:textId="77777777" w:rsidR="00D06738" w:rsidRDefault="00454D20" w:rsidRPr="00FF6B9A">
      <w:pPr>
        <w:pStyle w:val="ae"/>
        <w:snapToGrid w:val="0"/>
        <w:spacing w:line="360" w:lineRule="auto"/>
        <w:jc w:val="center"/>
        <w:rPr>
          <w:rFonts w:ascii="Times New Roman" w:cs="Times New Roman" w:eastAsiaTheme="minorEastAsia" w:hAnsi="Times New Roman"/>
          <w:color w:themeColor="text1" w:val="000000"/>
        </w:rPr>
      </w:pPr>
      <w:r w:rsidRPr="00FF6B9A">
        <w:rPr>
          <w:rFonts w:ascii="Times New Roman" w:cs="Times New Roman" w:eastAsiaTheme="minorEastAsia" w:hAnsi="Times New Roman"/>
          <w:color w:themeColor="text1" w:val="000000"/>
        </w:rPr>
        <w:t>累计净值增长率与业绩比较基准收益率历史走势对比图</w:t>
      </w:r>
    </w:p>
    <w:p w14:paraId="42485F4A" w14:textId="77777777" w:rsidR="00D06738" w:rsidRDefault="00454D20" w:rsidRPr="00FF6B9A">
      <w:pPr>
        <w:pStyle w:val="ae"/>
        <w:snapToGrid w:val="0"/>
        <w:spacing w:line="360" w:lineRule="auto"/>
        <w:ind w:firstLine="480"/>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color w:themeColor="text1" w:val="000000"/>
        </w:rPr>
        <w:t>(</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2013年11月25日</w:t>
      </w:r>
      <w:r w:rsidRPr="00FF6B9A">
        <w:rPr>
          <w:rFonts w:ascii="Times New Roman" w:cs="Times New Roman" w:eastAsiaTheme="minorEastAsia" w:hAnsi="Times New Roman"/>
          <w:color w:themeColor="text1" w:val="000000"/>
        </w:rPr>
        <w:t>至</w:t>
      </w:r>
      <w:r w:rsidRPr="00FF6B9A">
        <w:rPr>
          <w:rFonts w:ascii="Times New Roman" w:cs="Times New Roman" w:eastAsiaTheme="minorEastAsia" w:hAnsi="Times New Roman"/>
          <w:color w:themeColor="text1" w:val="000000"/>
        </w:rPr>
        <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2021年6月30日)</w:t>
      </w:r>
    </w:p>
    <w:p w14:paraId="6D7C6855" w14:textId="77777777" w:rsidR="00D06738" w:rsidRDefault="00454D20" w:rsidRPr="00FF6B9A">
      <w:pPr>
        <w:pStyle w:val="ae"/>
        <w:snapToGrid w:val="0"/>
        <w:spacing w:before="120" w:line="360" w:lineRule="auto"/>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注：本基金合同生效日为2013年11月25日， 图示的时间段为合同生效日至本报告期末。</w:t>
      </w:r>
    </w:p>
    <w:p w14:paraId="58BB658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本基金建仓期为本基金合同生效日起6个月，建仓期结束时资产配置比例符合本基金基金合同规定。</w:t>
      </w:r>
    </w:p>
    <w:p w14:paraId="28331EE6" w14:textId="77777777" w:rsidR="00D06738" w:rsidRDefault="00D06738" w:rsidRPr="00FF6B9A">
      <w:pPr>
        <w:tabs>
          <w:tab w:pos="1800" w:val="left"/>
        </w:tabs>
        <w:spacing w:line="360" w:lineRule="auto"/>
        <w:rPr>
          <w:rFonts w:eastAsiaTheme="minorEastAsia"/>
          <w:color w:themeColor="text1" w:val="000000"/>
          <w:sz w:val="24"/>
          <w:szCs w:val="24"/>
        </w:rPr>
      </w:pPr>
    </w:p>
    <w:p w14:paraId="6B938858" w14:textId="77777777" w:rsidR="00D06738" w:rsidRDefault="00D06738" w:rsidRPr="00FF6B9A">
      <w:pPr>
        <w:tabs>
          <w:tab w:pos="1800" w:val="left"/>
        </w:tabs>
        <w:spacing w:line="288" w:lineRule="auto"/>
        <w:rPr>
          <w:rFonts w:eastAsiaTheme="minorEastAsia"/>
          <w:color w:themeColor="text1" w:val="000000"/>
          <w:sz w:val="24"/>
          <w:szCs w:val="24"/>
        </w:rPr>
      </w:pPr>
    </w:p>
    <w:p w14:paraId="0B771B4D"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§4  </w:t>
      </w:r>
      <w:r w:rsidRPr="00FF6B9A">
        <w:rPr>
          <w:rFonts w:eastAsiaTheme="minorEastAsia"/>
          <w:color w:themeColor="text1" w:val="000000"/>
          <w:kern w:val="0"/>
          <w:sz w:val="24"/>
          <w:szCs w:val="24"/>
        </w:rPr>
        <w:t>管理人报告</w:t>
      </w:r>
    </w:p>
    <w:p w14:paraId="735F051A"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4.1 </w:t>
      </w:r>
      <w:r w:rsidRPr="00FF6B9A">
        <w:rPr>
          <w:rFonts w:eastAsiaTheme="minorEastAsia"/>
          <w:b/>
          <w:bCs/>
          <w:color w:themeColor="text1" w:val="000000"/>
          <w:kern w:val="0"/>
          <w:sz w:val="24"/>
          <w:szCs w:val="24"/>
        </w:rPr>
        <w:t>基金经理</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或基金经理小组</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rsidRPr="00FF6B9A">
        <w:trPr>
          <w:cantSplit/>
          <w:trHeight w:val="292"/>
        </w:trPr>
        <w:tc>
          <w:tcPr>
            <w:tcW w:type="dxa" w:w="851"/>
            <w:vMerge w:val="restart"/>
            <w:vAlign w:val="center"/>
          </w:tcPr>
          <w:p w14:paraId="1F53B620"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姓名</w:t>
            </w:r>
          </w:p>
        </w:tc>
        <w:tc>
          <w:tcPr>
            <w:tcW w:type="dxa" w:w="850"/>
            <w:vMerge w:val="restart"/>
            <w:vAlign w:val="center"/>
          </w:tcPr>
          <w:p w14:paraId="697EB0E1"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职务</w:t>
            </w:r>
          </w:p>
        </w:tc>
        <w:tc>
          <w:tcPr>
            <w:tcW w:type="dxa" w:w="3119"/>
            <w:gridSpan w:val="2"/>
            <w:vAlign w:val="center"/>
          </w:tcPr>
          <w:p w14:paraId="3C549DFA"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proofErr w:type="gramStart"/>
            <w:r w:rsidRPr="00FF6B9A">
              <w:rPr>
                <w:rFonts w:eastAsiaTheme="minorEastAsia"/>
                <w:color w:themeColor="text1" w:val="000000"/>
                <w:kern w:val="0"/>
              </w:rPr>
              <w:t>任本基金</w:t>
            </w:r>
            <w:proofErr w:type="gramEnd"/>
            <w:r w:rsidRPr="00FF6B9A">
              <w:rPr>
                <w:rFonts w:eastAsiaTheme="minorEastAsia"/>
                <w:color w:themeColor="text1" w:val="000000"/>
                <w:kern w:val="0"/>
              </w:rPr>
              <w:t>的基金经理期限</w:t>
            </w:r>
          </w:p>
        </w:tc>
        <w:tc>
          <w:tcPr>
            <w:tcW w:type="dxa" w:w="1417"/>
            <w:vMerge w:val="restart"/>
            <w:vAlign w:val="center"/>
          </w:tcPr>
          <w:p w14:paraId="153D4B6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证券从业年限</w:t>
            </w:r>
          </w:p>
        </w:tc>
        <w:tc>
          <w:tcPr>
            <w:tcW w:type="dxa" w:w="2694"/>
            <w:vMerge w:val="restart"/>
            <w:vAlign w:val="center"/>
          </w:tcPr>
          <w:p w14:paraId="6B8352A3"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说明</w:t>
            </w:r>
          </w:p>
        </w:tc>
      </w:tr>
      <w:tr w14:paraId="12458907" w14:textId="77777777" w:rsidR="00D06738" w:rsidRPr="00FF6B9A">
        <w:trPr>
          <w:cantSplit/>
        </w:trPr>
        <w:tc>
          <w:tcPr>
            <w:tcW w:type="dxa" w:w="851"/>
            <w:vMerge/>
            <w:vAlign w:val="center"/>
          </w:tcPr>
          <w:p w14:paraId="0E137D74" w14:textId="77777777" w:rsidR="00D06738" w:rsidRDefault="00D06738" w:rsidRPr="00FF6B9A">
            <w:pPr>
              <w:widowControl/>
              <w:spacing w:line="360" w:lineRule="auto"/>
              <w:jc w:val="left"/>
              <w:rPr>
                <w:rFonts w:eastAsiaTheme="minorEastAsia"/>
                <w:color w:themeColor="text1" w:val="000000"/>
                <w:kern w:val="0"/>
              </w:rPr>
            </w:pPr>
          </w:p>
        </w:tc>
        <w:tc>
          <w:tcPr>
            <w:tcW w:type="dxa" w:w="850"/>
            <w:vMerge/>
            <w:vAlign w:val="center"/>
          </w:tcPr>
          <w:p w14:paraId="1CC0886F" w14:textId="77777777" w:rsidR="00D06738" w:rsidRDefault="00D06738" w:rsidRPr="00FF6B9A">
            <w:pPr>
              <w:widowControl/>
              <w:spacing w:line="360" w:lineRule="auto"/>
              <w:jc w:val="left"/>
              <w:rPr>
                <w:rFonts w:eastAsiaTheme="minorEastAsia"/>
                <w:color w:themeColor="text1" w:val="000000"/>
                <w:kern w:val="0"/>
              </w:rPr>
            </w:pPr>
          </w:p>
        </w:tc>
        <w:tc>
          <w:tcPr>
            <w:tcW w:type="dxa" w:w="1560"/>
            <w:vAlign w:val="center"/>
          </w:tcPr>
          <w:p w14:paraId="213ED421"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任职日期</w:t>
            </w:r>
          </w:p>
        </w:tc>
        <w:tc>
          <w:tcPr>
            <w:tcW w:type="dxa" w:w="1559"/>
            <w:vAlign w:val="center"/>
          </w:tcPr>
          <w:p w14:paraId="025CCC9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离任日期</w:t>
            </w:r>
          </w:p>
        </w:tc>
        <w:tc>
          <w:tcPr>
            <w:tcW w:type="dxa" w:w="1417"/>
            <w:vMerge/>
            <w:vAlign w:val="center"/>
          </w:tcPr>
          <w:p w14:paraId="3D222F40" w14:textId="77777777" w:rsidR="00D06738" w:rsidRDefault="00D06738" w:rsidRPr="00FF6B9A">
            <w:pPr>
              <w:widowControl/>
              <w:spacing w:line="360" w:lineRule="auto"/>
              <w:jc w:val="left"/>
              <w:rPr>
                <w:rFonts w:eastAsiaTheme="minorEastAsia"/>
                <w:color w:themeColor="text1" w:val="000000"/>
                <w:kern w:val="0"/>
              </w:rPr>
            </w:pPr>
          </w:p>
        </w:tc>
        <w:tc>
          <w:tcPr>
            <w:tcW w:type="dxa" w:w="2694"/>
            <w:vMerge/>
            <w:vAlign w:val="center"/>
          </w:tcPr>
          <w:p w14:paraId="637B7507" w14:textId="77777777" w:rsidR="00D06738" w:rsidRDefault="00D06738" w:rsidRPr="00FF6B9A">
            <w:pPr>
              <w:widowControl/>
              <w:spacing w:line="360" w:lineRule="auto"/>
              <w:jc w:val="left"/>
              <w:rPr>
                <w:rFonts w:eastAsiaTheme="minorEastAsia"/>
                <w:color w:themeColor="text1" w:val="000000"/>
                <w:kern w:val="0"/>
              </w:rPr>
            </w:pPr>
          </w:p>
        </w:tc>
      </w:tr>
      <w:tr>
        <w:tc>
          <w:tcPr>
            <w:vAlign w:val="center"/>
          </w:tcPr>
          <w:p>
            <w:pPr>
              <w:jc w:val="center"/>
            </w:pPr>
            <w:r>
              <w:rPr>
                <w:rFonts w:eastAsiaTheme="minorEastAsia"/>
                <w:color w:themeColor="text1" w:val="000000"/>
              </w:rPr>
              <w:t>张富盛</w:t>
            </w:r>
          </w:p>
        </w:tc>
        <w:tc>
          <w:tcPr>
            <w:vAlign w:val="center"/>
          </w:tcPr>
          <w:p>
            <w:pPr>
              <w:jc w:val="center"/>
            </w:pPr>
            <w:r>
              <w:rPr>
                <w:rFonts w:eastAsiaTheme="minorEastAsia"/>
                <w:color w:themeColor="text1" w:val="000000"/>
              </w:rPr>
              <w:t>本基金基金经理</w:t>
            </w:r>
          </w:p>
        </w:tc>
        <w:tc>
          <w:tcPr>
            <w:vAlign w:val="center"/>
          </w:tcPr>
          <w:p>
            <w:pPr>
              <w:jc w:val="center"/>
            </w:pPr>
            <w:r>
              <w:rPr>
                <w:rFonts w:eastAsiaTheme="minorEastAsia"/>
                <w:color w:themeColor="text1" w:val="000000"/>
              </w:rPr>
              <w:t>2018-03-02</w:t>
            </w:r>
          </w:p>
        </w:tc>
        <w:tc>
          <w:tcPr>
            <w:vAlign w:val="center"/>
          </w:tcPr>
          <w:p>
            <w:pPr>
              <w:jc w:val="center"/>
            </w:pPr>
            <w:r>
              <w:rPr>
                <w:rFonts w:eastAsiaTheme="minorEastAsia"/>
                <w:color w:themeColor="text1" w:val="000000"/>
              </w:rPr>
              <w:t>-</w:t>
            </w:r>
          </w:p>
        </w:tc>
        <w:tc>
          <w:tcPr>
            <w:vAlign w:val="center"/>
          </w:tcPr>
          <w:p>
            <w:pPr>
              <w:jc w:val="center"/>
            </w:pPr>
            <w:r>
              <w:rPr>
                <w:rFonts w:eastAsiaTheme="minorEastAsia"/>
                <w:color w:themeColor="text1" w:val="000000"/>
              </w:rPr>
              <w:t>11年</w:t>
            </w:r>
          </w:p>
        </w:tc>
        <w:tc>
          <w:tcPr>
            <w:vAlign w:val="center"/>
          </w:tcPr>
          <w:p>
            <w:pPr>
              <w:jc w:val="both"/>
            </w:pPr>
            <w:r>
              <w:rPr>
                <w:rFonts w:eastAsiaTheme="minorEastAsia"/>
                <w:color w:themeColor="text1" w:val="000000"/>
              </w:rPr>
              <w:t>张富盛先生，上海交通大学金融学学士，2007年8月至2010年3月，在德勤华永会计师事务所担任高级税务咨询；2010年3月至2011年2月，在中国国际金融有限公司担任分析师；2011年2月至2015年8月，在北京高华证券有限责任公司担任投资研究部经理。自2015年8月起加入上投摩根基金管理有限公司，历任行业专家、基金经理助理、基金经理。自2018年3月起担任上投摩根转型动力灵活配置混合型证券投资基金基金经理，自2019年1月起同时担任上投摩根动力精选混合型证券投资基金基金经理。</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注：1、任职日期和离任日期均指根据公司决定确定的聘任日期和解聘日期。</w:t>
      </w:r>
    </w:p>
    <w:p w14:paraId="617FFBB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2、证券从业的含义遵从行业协会《证券业从业人员资格管理办法》的相关规定。</w:t>
      </w:r>
    </w:p>
    <w:p w14:paraId="4FBEFD2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4.2 </w:t>
      </w:r>
      <w:r w:rsidRPr="00FF6B9A">
        <w:rPr>
          <w:rFonts w:eastAsiaTheme="minorEastAsia"/>
          <w:b/>
          <w:bCs/>
          <w:color w:themeColor="text1" w:val="000000"/>
          <w:kern w:val="0"/>
          <w:sz w:val="24"/>
          <w:szCs w:val="24"/>
        </w:rPr>
        <w:t>管理人对报告期内本基金运作遵规守信情况的说明</w:t>
      </w:r>
    </w:p>
    <w:p w14:paraId="6D01CD8D"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39C8B3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4.3 </w:t>
      </w:r>
      <w:r w:rsidRPr="00FF6B9A">
        <w:rPr>
          <w:rFonts w:eastAsiaTheme="minorEastAsia"/>
          <w:b/>
          <w:bCs/>
          <w:color w:themeColor="text1" w:val="000000"/>
          <w:kern w:val="0"/>
          <w:sz w:val="24"/>
          <w:szCs w:val="24"/>
        </w:rPr>
        <w:t>公平交易专项说明</w:t>
      </w:r>
    </w:p>
    <w:p w14:paraId="0796C6B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4.3.1 </w:t>
      </w:r>
      <w:r w:rsidRPr="00FF6B9A">
        <w:rPr>
          <w:rFonts w:eastAsiaTheme="minorEastAsia"/>
          <w:color w:themeColor="text1" w:val="000000"/>
          <w:sz w:val="24"/>
          <w:szCs w:val="24"/>
        </w:rPr>
        <w:t>公平交易制度的执行情况</w:t>
      </w:r>
    </w:p>
    <w:p>
      <w:pPr>
        <w:spacing w:line="360" w:lineRule="auto"/>
        <w:ind w:firstLine="420" w:firstLineChars="200"/>
        <w:rPr>
          <w:rFonts w:eastAsiaTheme="minorEastAsia"/>
          <w:color w:themeColor="text1" w:val="000000"/>
        </w:rPr>
      </w:pPr>
      <w:r>
        <w:rPr>
          <w:rFonts w:eastAsia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rPr>
      </w:pPr>
      <w:r>
        <w:rPr>
          <w:rFonts w:eastAsia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4.3.2 </w:t>
      </w:r>
      <w:r w:rsidRPr="00FF6B9A">
        <w:rPr>
          <w:rFonts w:eastAsiaTheme="minorEastAsia"/>
          <w:color w:themeColor="text1" w:val="000000"/>
          <w:sz w:val="24"/>
          <w:szCs w:val="24"/>
        </w:rPr>
        <w:t>异常交易行为的专项说明</w:t>
      </w:r>
    </w:p>
    <w:p>
      <w:pPr>
        <w:spacing w:line="360" w:lineRule="auto"/>
        <w:ind w:firstLine="420" w:firstLineChars="200"/>
        <w:rPr>
          <w:rFonts w:eastAsiaTheme="minorEastAsia"/>
          <w:color w:themeColor="text1" w:val="000000"/>
        </w:rPr>
      </w:pPr>
      <w:r>
        <w:rPr>
          <w:rFonts w:eastAsiaTheme="minor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所有投资组合参与的交易所公开竞价同日反向交易成交较少的单边交易量超过该证券当日成交量的5%的情形：无。</w:t>
      </w:r>
    </w:p>
    <w:p w14:paraId="78B72EC9" w14:textId="77777777" w:rsidR="00D06738" w:rsidRDefault="00D06738" w:rsidRPr="00FF6B9A">
      <w:pPr>
        <w:spacing w:line="360" w:lineRule="auto"/>
        <w:ind w:firstLine="480" w:firstLineChars="200"/>
        <w:rPr>
          <w:rFonts w:eastAsiaTheme="minorEastAsia"/>
          <w:color w:themeColor="text1" w:val="000000"/>
          <w:sz w:val="24"/>
          <w:szCs w:val="24"/>
        </w:rPr>
      </w:pPr>
    </w:p>
    <w:p w14:paraId="268AD9F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4.4 </w:t>
      </w:r>
      <w:r w:rsidRPr="00FF6B9A">
        <w:rPr>
          <w:rFonts w:eastAsiaTheme="minorEastAsia"/>
          <w:b/>
          <w:bCs/>
          <w:color w:themeColor="text1" w:val="000000"/>
          <w:kern w:val="0"/>
          <w:sz w:val="24"/>
          <w:szCs w:val="24"/>
        </w:rPr>
        <w:t>报告期内基金的投资策略和业绩表现说明</w:t>
      </w:r>
    </w:p>
    <w:p w14:paraId="37D7D562"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4.4.1</w:t>
      </w:r>
      <w:r w:rsidRPr="00FF6B9A">
        <w:rPr>
          <w:rFonts w:eastAsiaTheme="minorEastAsia"/>
          <w:color w:themeColor="text1" w:val="000000"/>
          <w:sz w:val="24"/>
          <w:szCs w:val="24"/>
        </w:rPr>
        <w:t>报告期内基金投资策略和运作分析</w:t>
      </w:r>
    </w:p>
    <w:p>
      <w:pPr>
        <w:spacing w:line="360" w:lineRule="auto"/>
        <w:ind w:firstLine="420" w:firstLineChars="200"/>
        <w:rPr>
          <w:rFonts w:eastAsiaTheme="minorEastAsia"/>
          <w:color w:themeColor="text1" w:val="000000"/>
        </w:rPr>
      </w:pPr>
      <w:r>
        <w:rPr>
          <w:rFonts w:eastAsiaTheme="minorEastAsia"/>
          <w:color w:themeColor="text1" w:val="000000"/>
        </w:rPr>
        <w:t>2021年二季度国内经济在预期内持续复苏，规模以上工业企业利润保持两位数增长；但中下游企业成本上升受到的挤出效应开始显现，新出口订单环比开始下滑。A股市场在稳定的流动性环境下出现结构性反弹，4-5月医药和消费板块表现较为突出，5-6月份新能源在美国政策刺激以及下游需求强劲拉动下反弹明显。本基金保持了自下而上的选股思维，主要配置长期景气度较高，竞争格局清晰行业的优质公司。</w:t>
      </w:r>
    </w:p>
    <w:p w14:paraId="6E21DA7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展望三季度，我们认为结构性机会仍好于市场整体机会，从宏观经济角度，二季度很有可能是年内高点，随着出口订单回落和国内基建下行，下半年经济大概率下行；另外从流动性层面，因为经济复苏的不稳固，流动性边际收紧的预期得以缓解。因此，我们认为下半年高景气度成长性行业的优质公司表现将更为突出。经过行业比较，我们相对更看好新能源、医药和科技制造行业。1）新能源：碳中和有望给行业中长期发展带来巨大空间，光伏和新能源车在2021年下半年仍有望保持高景气度。2）医药：在医保控费下细分行业分化较大，创新药、医药服务等有望保持业绩快速增长。3）科技制造：我们认为科技和高端制造是推动中国高质量发展的核心动力，半导体国产化艰难但趋势较为确定。总体来说我们精选的行业业绩成长确定性较高，但同时估值在横向比较下也较高，我们将平衡估值和成长性，继续挖掘竞争格局清晰行业中的优质个股，力争为基金持有人创造持续稳定收益。</w:t>
      </w:r>
    </w:p>
    <w:p w14:paraId="23C77E4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4.4.2</w:t>
      </w:r>
      <w:r w:rsidRPr="00FF6B9A">
        <w:rPr>
          <w:rFonts w:eastAsiaTheme="minorEastAsia"/>
          <w:color w:themeColor="text1" w:val="000000"/>
          <w:sz w:val="24"/>
          <w:szCs w:val="24"/>
        </w:rPr>
        <w:t>报告期内基金的业绩表现</w:t>
      </w:r>
    </w:p>
    <w:p w14:paraId="3743F1F6"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本报告期上投摩根转型动力混合份额净值上涨17.58%，同期业绩比较基准收益率为2.88%。</w:t>
      </w:r>
    </w:p>
    <w:p w14:paraId="44A63C7D" w14:textId="77777777" w:rsidR="00D06738" w:rsidRDefault="00D06738" w:rsidRPr="00FF6B9A">
      <w:pPr>
        <w:spacing w:line="360" w:lineRule="auto"/>
        <w:ind w:firstLine="480" w:firstLineChars="200"/>
        <w:rPr>
          <w:rFonts w:eastAsiaTheme="minorEastAsia"/>
          <w:color w:themeColor="text1" w:val="000000"/>
          <w:sz w:val="24"/>
          <w:szCs w:val="24"/>
        </w:rPr>
      </w:pPr>
    </w:p>
    <w:p w14:paraId="7FECA9F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b/>
          <w:color w:themeColor="text1" w:val="000000"/>
          <w:kern w:val="0"/>
          <w:sz w:val="24"/>
          <w:szCs w:val="24"/>
        </w:rPr>
        <w:t/>
      </w:r>
      <w:proofErr w:type="spellStart"/>
      <w:r w:rsidRPr="00FF6B9A">
        <w:rPr>
          <w:rFonts w:eastAsiaTheme="minorEastAsia"/>
          <w:b/>
          <w:color w:themeColor="text1" w:val="000000"/>
          <w:kern w:val="0"/>
          <w:sz w:val="24"/>
          <w:szCs w:val="24"/>
        </w:rPr>
        <w:t/>
      </w:r>
      <w:proofErr w:type="spellEnd"/>
      <w:r w:rsidRPr="00FF6B9A">
        <w:rPr>
          <w:rFonts w:eastAsiaTheme="minorEastAsia"/>
          <w:b/>
          <w:color w:themeColor="text1" w:val="000000"/>
          <w:kern w:val="0"/>
          <w:sz w:val="24"/>
          <w:szCs w:val="24"/>
        </w:rPr>
        <w:t>4.5</w:t>
      </w:r>
      <w:r w:rsidRPr="00FF6B9A">
        <w:rPr>
          <w:rFonts w:eastAsiaTheme="minorEastAsia"/>
          <w:b/>
          <w:color w:themeColor="text1" w:val="000000"/>
          <w:kern w:val="0"/>
          <w:sz w:val="24"/>
          <w:szCs w:val="24"/>
        </w:rPr>
        <w:t>报告期内基金持有人数或基金资产净值预警说明</w:t>
      </w:r>
    </w:p>
    <w:p w14:paraId="35411AB5"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kern w:val="0"/>
        </w:rPr>
        <w:t/>
      </w:r>
      <w:r w:rsidRPr="00FF6B9A">
        <w:rPr>
          <w:rFonts w:eastAsiaTheme="minorEastAsia"/>
          <w:color w:themeColor="text1" w:val="000000"/>
        </w:rPr>
        <w:t/>
      </w:r>
      <w:r w:rsidRPr="00FF6B9A">
        <w:rPr>
          <w:rFonts w:eastAsiaTheme="minorEastAsia"/>
          <w:color w:themeColor="text1" w:val="000000"/>
          <w:kern w:val="0"/>
        </w:rPr>
        <w:t>无。</w:t>
      </w:r>
    </w:p>
    <w:p w14:paraId="1DAA7197"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§5  </w:t>
      </w:r>
      <w:r w:rsidRPr="00FF6B9A">
        <w:rPr>
          <w:rFonts w:eastAsiaTheme="minorEastAsia"/>
          <w:color w:themeColor="text1" w:val="000000"/>
          <w:kern w:val="0"/>
          <w:sz w:val="24"/>
          <w:szCs w:val="24"/>
        </w:rPr>
        <w:t>投资组合报告</w:t>
      </w:r>
    </w:p>
    <w:p w14:paraId="2ED46D8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5.1 </w:t>
      </w:r>
      <w:r w:rsidRPr="00FF6B9A">
        <w:rPr>
          <w:rFonts w:eastAsiaTheme="minor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rsidRPr="00FF6B9A">
        <w:trPr>
          <w:jc w:val="center"/>
        </w:trPr>
        <w:tc>
          <w:tcPr>
            <w:tcW w:type="dxa" w:w="720"/>
            <w:vAlign w:val="center"/>
          </w:tcPr>
          <w:p w14:paraId="267B567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3357"/>
            <w:vAlign w:val="center"/>
          </w:tcPr>
          <w:p w14:paraId="64B125C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项目</w:t>
            </w:r>
          </w:p>
        </w:tc>
        <w:tc>
          <w:tcPr>
            <w:tcW w:type="dxa" w:w="2977"/>
            <w:vAlign w:val="center"/>
          </w:tcPr>
          <w:p w14:paraId="7B039B4F"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843"/>
            <w:vAlign w:val="center"/>
          </w:tcPr>
          <w:p w14:paraId="546A193D"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占基金总资产的比例</w:t>
            </w:r>
            <w:r w:rsidRPr="00FF6B9A">
              <w:rPr>
                <w:rFonts w:eastAsiaTheme="minorEastAsia"/>
                <w:color w:themeColor="text1" w:val="000000"/>
                <w:kern w:val="0"/>
              </w:rPr>
              <w:t>(%)</w:t>
            </w:r>
          </w:p>
        </w:tc>
      </w:tr>
      <w:tr w14:paraId="2C5F8168" w14:textId="77777777" w:rsidR="00D06738" w:rsidRPr="00FF6B9A">
        <w:trPr>
          <w:jc w:val="center"/>
        </w:trPr>
        <w:tc>
          <w:tcPr>
            <w:tcW w:type="dxa" w:w="720"/>
            <w:vAlign w:val="center"/>
          </w:tcPr>
          <w:p w14:paraId="790AB27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1</w:t>
            </w:r>
          </w:p>
        </w:tc>
        <w:tc>
          <w:tcPr>
            <w:tcW w:type="dxa" w:w="3357"/>
            <w:vAlign w:val="center"/>
          </w:tcPr>
          <w:p w14:paraId="2A6D52A1"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权益投资</w:t>
            </w:r>
          </w:p>
        </w:tc>
        <w:tc>
          <w:tcPr>
            <w:tcW w:type="dxa" w:w="2977"/>
            <w:vAlign w:val="center"/>
          </w:tcPr>
          <w:p w14:paraId="3F07A469"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539,685,943.64</w:t>
            </w:r>
          </w:p>
        </w:tc>
        <w:tc>
          <w:tcPr>
            <w:tcW w:type="dxa" w:w="1843"/>
            <w:vAlign w:val="center"/>
          </w:tcPr>
          <w:p w14:paraId="233B134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88.78</w:t>
            </w:r>
          </w:p>
        </w:tc>
      </w:tr>
      <w:tr w14:paraId="2113730F" w14:textId="77777777" w:rsidR="00D06738" w:rsidRPr="00FF6B9A">
        <w:trPr>
          <w:jc w:val="center"/>
        </w:trPr>
        <w:tc>
          <w:tcPr>
            <w:tcW w:type="dxa" w:w="720"/>
            <w:vAlign w:val="center"/>
          </w:tcPr>
          <w:p w14:paraId="66F43ADC"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283001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其中：股票</w:t>
            </w:r>
          </w:p>
        </w:tc>
        <w:tc>
          <w:tcPr>
            <w:tcW w:type="dxa" w:w="2977"/>
            <w:vAlign w:val="center"/>
          </w:tcPr>
          <w:p w14:paraId="36A710A1"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539,685,943.64</w:t>
            </w:r>
          </w:p>
        </w:tc>
        <w:tc>
          <w:tcPr>
            <w:tcW w:type="dxa" w:w="1843"/>
            <w:vAlign w:val="center"/>
          </w:tcPr>
          <w:p w14:paraId="4235B2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88.78</w:t>
            </w:r>
          </w:p>
        </w:tc>
      </w:tr>
      <w:tr w14:paraId="7AF15202" w14:textId="77777777" w:rsidR="00D06738" w:rsidRPr="00FF6B9A">
        <w:trPr>
          <w:jc w:val="center"/>
        </w:trPr>
        <w:tc>
          <w:tcPr>
            <w:tcW w:type="dxa" w:w="720"/>
            <w:vAlign w:val="center"/>
          </w:tcPr>
          <w:p w14:paraId="0231B762"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2</w:t>
            </w:r>
          </w:p>
        </w:tc>
        <w:tc>
          <w:tcPr>
            <w:tcW w:type="dxa" w:w="3357"/>
            <w:vAlign w:val="center"/>
          </w:tcPr>
          <w:p w14:paraId="4854CF2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固定收益投资</w:t>
            </w:r>
          </w:p>
        </w:tc>
        <w:tc>
          <w:tcPr>
            <w:tcW w:type="dxa" w:w="2977"/>
            <w:vAlign w:val="center"/>
          </w:tcPr>
          <w:p w14:paraId="789C70A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249B755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19D15F90" w14:textId="77777777" w:rsidR="00D06738" w:rsidRPr="00FF6B9A">
        <w:trPr>
          <w:jc w:val="center"/>
        </w:trPr>
        <w:tc>
          <w:tcPr>
            <w:tcW w:type="dxa" w:w="720"/>
            <w:vAlign w:val="center"/>
          </w:tcPr>
          <w:p w14:paraId="16E41AE7"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E8D347"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其中：债券</w:t>
            </w:r>
          </w:p>
        </w:tc>
        <w:tc>
          <w:tcPr>
            <w:tcW w:type="dxa" w:w="2977"/>
            <w:vAlign w:val="center"/>
          </w:tcPr>
          <w:p w14:paraId="49FE2FF2"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78238FF"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2562C15" w14:textId="77777777" w:rsidR="00D06738" w:rsidRPr="00FF6B9A">
        <w:trPr>
          <w:jc w:val="center"/>
        </w:trPr>
        <w:tc>
          <w:tcPr>
            <w:tcW w:type="dxa" w:w="720"/>
            <w:vAlign w:val="center"/>
          </w:tcPr>
          <w:p w14:paraId="104BD163"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AC6DAD" w14:textId="77777777" w:rsidR="00D06738" w:rsidRDefault="00454D20" w:rsidRPr="00FF6B9A">
            <w:pPr>
              <w:autoSpaceDE w:val="0"/>
              <w:autoSpaceDN w:val="0"/>
              <w:adjustRightInd w:val="0"/>
              <w:spacing w:before="29" w:line="360" w:lineRule="auto"/>
              <w:ind w:firstLine="525" w:firstLineChars="250" w:left="17"/>
              <w:jc w:val="left"/>
              <w:rPr>
                <w:rFonts w:eastAsiaTheme="minorEastAsia"/>
                <w:color w:themeColor="text1" w:val="000000"/>
                <w:kern w:val="0"/>
              </w:rPr>
            </w:pPr>
            <w:r w:rsidRPr="00FF6B9A">
              <w:rPr>
                <w:rFonts w:eastAsiaTheme="minorEastAsia"/>
                <w:color w:themeColor="text1" w:val="000000"/>
                <w:kern w:val="0"/>
              </w:rPr>
              <w:t>资产支持证券</w:t>
            </w:r>
          </w:p>
        </w:tc>
        <w:tc>
          <w:tcPr>
            <w:tcW w:type="dxa" w:w="2977"/>
            <w:vAlign w:val="center"/>
          </w:tcPr>
          <w:p w14:paraId="3CF84DD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CCF9364"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w:t>
            </w:r>
          </w:p>
        </w:tc>
      </w:tr>
      <w:tr w14:paraId="3F449325" w14:textId="77777777" w:rsidR="00D06738" w:rsidRPr="00FF6B9A">
        <w:trPr>
          <w:jc w:val="center"/>
        </w:trPr>
        <w:tc>
          <w:tcPr>
            <w:tcW w:type="dxa" w:w="720"/>
          </w:tcPr>
          <w:p w14:paraId="1EE609C8"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3</w:t>
            </w:r>
          </w:p>
        </w:tc>
        <w:tc>
          <w:tcPr>
            <w:tcW w:type="dxa" w:w="3357"/>
          </w:tcPr>
          <w:p w14:paraId="7A120390" w14:textId="77777777" w:rsidR="00D06738" w:rsidRDefault="00454D20" w:rsidRPr="00FF6B9A">
            <w:pPr>
              <w:spacing w:before="29" w:line="360" w:lineRule="auto"/>
              <w:ind w:left="105" w:leftChars="50"/>
              <w:rPr>
                <w:rFonts w:eastAsiaTheme="minorEastAsia"/>
                <w:color w:themeColor="text1" w:val="000000"/>
                <w:kern w:val="0"/>
              </w:rPr>
            </w:pPr>
            <w:r w:rsidRPr="00FF6B9A">
              <w:rPr>
                <w:rFonts w:eastAsiaTheme="minorEastAsia"/>
                <w:color w:themeColor="text1" w:val="000000"/>
                <w:kern w:val="0"/>
              </w:rPr>
              <w:t>贵金属投资</w:t>
            </w:r>
          </w:p>
        </w:tc>
        <w:tc>
          <w:tcPr>
            <w:tcW w:type="dxa" w:w="2977"/>
            <w:vAlign w:val="center"/>
          </w:tcPr>
          <w:p w14:paraId="201F973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76F8BBA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0209BD0" w14:textId="77777777" w:rsidR="00D06738" w:rsidRPr="00FF6B9A">
        <w:trPr>
          <w:jc w:val="center"/>
        </w:trPr>
        <w:tc>
          <w:tcPr>
            <w:tcW w:type="dxa" w:w="720"/>
            <w:vAlign w:val="center"/>
          </w:tcPr>
          <w:p w14:paraId="44CDCE6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4</w:t>
            </w:r>
          </w:p>
        </w:tc>
        <w:tc>
          <w:tcPr>
            <w:tcW w:type="dxa" w:w="3357"/>
            <w:vAlign w:val="center"/>
          </w:tcPr>
          <w:p w14:paraId="2673343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金融衍生</w:t>
            </w:r>
            <w:proofErr w:type="gramStart"/>
            <w:r w:rsidRPr="00FF6B9A">
              <w:rPr>
                <w:rFonts w:eastAsiaTheme="minorEastAsia"/>
                <w:color w:themeColor="text1" w:val="000000"/>
                <w:kern w:val="0"/>
              </w:rPr>
              <w:t>品投资</w:t>
            </w:r>
            <w:proofErr w:type="gramEnd"/>
          </w:p>
        </w:tc>
        <w:tc>
          <w:tcPr>
            <w:tcW w:type="dxa" w:w="2977"/>
            <w:vAlign w:val="center"/>
          </w:tcPr>
          <w:p w14:paraId="2CA6AE5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17B3EB0"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9083124" w14:textId="77777777" w:rsidR="00D06738" w:rsidRPr="00FF6B9A">
        <w:trPr>
          <w:jc w:val="center"/>
        </w:trPr>
        <w:tc>
          <w:tcPr>
            <w:tcW w:type="dxa" w:w="720"/>
            <w:vAlign w:val="center"/>
          </w:tcPr>
          <w:p w14:paraId="3E06450B"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5</w:t>
            </w:r>
          </w:p>
        </w:tc>
        <w:tc>
          <w:tcPr>
            <w:tcW w:type="dxa" w:w="3357"/>
            <w:vAlign w:val="center"/>
          </w:tcPr>
          <w:p w14:paraId="11937F9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买入返售金融资产</w:t>
            </w:r>
          </w:p>
        </w:tc>
        <w:tc>
          <w:tcPr>
            <w:tcW w:type="dxa" w:w="2977"/>
            <w:vAlign w:val="center"/>
          </w:tcPr>
          <w:p w14:paraId="6293112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F06200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5EFCF5A8" w14:textId="77777777" w:rsidR="00D06738" w:rsidRPr="00FF6B9A">
        <w:trPr>
          <w:jc w:val="center"/>
        </w:trPr>
        <w:tc>
          <w:tcPr>
            <w:tcW w:type="dxa" w:w="720"/>
            <w:vAlign w:val="center"/>
          </w:tcPr>
          <w:p w14:paraId="7A522889"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3CEA16A4"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其中：买断式回购的买入返售金融资产</w:t>
            </w:r>
          </w:p>
        </w:tc>
        <w:tc>
          <w:tcPr>
            <w:tcW w:type="dxa" w:w="2977"/>
            <w:vAlign w:val="center"/>
          </w:tcPr>
          <w:p w14:paraId="7B73699E"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c>
          <w:tcPr>
            <w:tcW w:type="dxa" w:w="1843"/>
            <w:vAlign w:val="center"/>
          </w:tcPr>
          <w:p w14:paraId="15A7BC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786251D7" w14:textId="77777777" w:rsidR="00D06738" w:rsidRPr="00FF6B9A">
        <w:trPr>
          <w:jc w:val="center"/>
        </w:trPr>
        <w:tc>
          <w:tcPr>
            <w:tcW w:type="dxa" w:w="720"/>
            <w:vAlign w:val="center"/>
          </w:tcPr>
          <w:p w14:paraId="2969279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6</w:t>
            </w:r>
          </w:p>
        </w:tc>
        <w:tc>
          <w:tcPr>
            <w:tcW w:type="dxa" w:w="3357"/>
            <w:vAlign w:val="center"/>
          </w:tcPr>
          <w:p w14:paraId="421FB0F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银行存款和结算备付金合计</w:t>
            </w:r>
          </w:p>
        </w:tc>
        <w:tc>
          <w:tcPr>
            <w:tcW w:type="dxa" w:w="2977"/>
            <w:vAlign w:val="center"/>
          </w:tcPr>
          <w:p w14:paraId="54D555B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67,603,485.25</w:t>
            </w:r>
          </w:p>
        </w:tc>
        <w:tc>
          <w:tcPr>
            <w:tcW w:type="dxa" w:w="1843"/>
            <w:vAlign w:val="center"/>
          </w:tcPr>
          <w:p w14:paraId="174620B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11.12</w:t>
            </w:r>
          </w:p>
        </w:tc>
      </w:tr>
      <w:tr w14:paraId="42ECF5E1" w14:textId="77777777" w:rsidR="00D06738" w:rsidRPr="00FF6B9A">
        <w:trPr>
          <w:jc w:val="center"/>
        </w:trPr>
        <w:tc>
          <w:tcPr>
            <w:tcW w:type="dxa" w:w="720"/>
            <w:vAlign w:val="center"/>
          </w:tcPr>
          <w:p w14:paraId="59AA2BC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7</w:t>
            </w:r>
          </w:p>
        </w:tc>
        <w:tc>
          <w:tcPr>
            <w:tcW w:type="dxa" w:w="3357"/>
            <w:vAlign w:val="center"/>
          </w:tcPr>
          <w:p w14:paraId="705D6B78"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其他各项资产</w:t>
            </w:r>
          </w:p>
        </w:tc>
        <w:tc>
          <w:tcPr>
            <w:tcW w:type="dxa" w:w="2977"/>
            <w:vAlign w:val="center"/>
          </w:tcPr>
          <w:p w14:paraId="4AF0CB10"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605,443.84</w:t>
            </w:r>
          </w:p>
        </w:tc>
        <w:tc>
          <w:tcPr>
            <w:tcW w:type="dxa" w:w="1843"/>
            <w:vAlign w:val="center"/>
          </w:tcPr>
          <w:p w14:paraId="12AAF10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0.10</w:t>
            </w:r>
          </w:p>
        </w:tc>
      </w:tr>
      <w:tr w14:paraId="4D6FFA71" w14:textId="77777777" w:rsidR="00D06738" w:rsidRPr="00FF6B9A">
        <w:trPr>
          <w:jc w:val="center"/>
        </w:trPr>
        <w:tc>
          <w:tcPr>
            <w:tcW w:type="dxa" w:w="720"/>
            <w:vAlign w:val="center"/>
          </w:tcPr>
          <w:p w14:paraId="17A180E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8</w:t>
            </w:r>
          </w:p>
        </w:tc>
        <w:tc>
          <w:tcPr>
            <w:tcW w:type="dxa" w:w="3357"/>
            <w:vAlign w:val="center"/>
          </w:tcPr>
          <w:p w14:paraId="29DAA7F6"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合计</w:t>
            </w:r>
          </w:p>
        </w:tc>
        <w:tc>
          <w:tcPr>
            <w:tcW w:type="dxa" w:w="2977"/>
            <w:vAlign w:val="center"/>
          </w:tcPr>
          <w:p w14:paraId="446A48E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607,894,872.73</w:t>
            </w:r>
          </w:p>
        </w:tc>
        <w:tc>
          <w:tcPr>
            <w:tcW w:type="dxa" w:w="1843"/>
            <w:vAlign w:val="center"/>
          </w:tcPr>
          <w:p w14:paraId="3C7AC8A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100.00</w:t>
            </w:r>
          </w:p>
        </w:tc>
      </w:tr>
    </w:tbl>
    <w:p w14:paraId="6175743F"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71F975B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5.2 </w:t>
      </w:r>
      <w:r w:rsidRPr="00FF6B9A">
        <w:rPr>
          <w:rFonts w:eastAsiaTheme="minorEastAsia"/>
          <w:b/>
          <w:bCs/>
          <w:color w:themeColor="text1" w:val="000000"/>
          <w:kern w:val="0"/>
          <w:sz w:val="24"/>
          <w:szCs w:val="24"/>
        </w:rPr>
        <w:t>报告期末按行业分类的股票投资组合</w:t>
      </w:r>
    </w:p>
    <w:p w14:paraId="0A24FB38" w14:textId="77777777" w:rsidR="00D06738" w:rsidRDefault="00454D20" w:rsidRPr="00FF6B9A">
      <w:pPr>
        <w:rPr>
          <w:b/>
        </w:rPr>
      </w:pPr>
      <w:r w:rsidRPr="00FF6B9A">
        <w:rPr>
          <w:b/>
          <w:color w:themeColor="text1" w:val="000000"/>
        </w:rPr>
        <w:t/>
      </w:r>
      <w:proofErr w:type="spellStart"/>
      <w:r w:rsidRPr="00FF6B9A">
        <w:rPr>
          <w:b/>
          <w:color w:themeColor="text1" w:val="000000"/>
        </w:rPr>
        <w:t/>
      </w:r>
      <w:proofErr w:type="spellEnd"/>
      <w:r w:rsidRPr="00FF6B9A">
        <w:rPr>
          <w:b/>
          <w:color w:themeColor="text1" w:val="000000"/>
        </w:rPr>
        <w:t/>
      </w:r>
      <w:r w:rsidRPr="00FF6B9A">
        <w:rPr>
          <w:rFonts w:eastAsiaTheme="minorEastAsia"/>
          <w:b/>
          <w:color w:themeColor="text1" w:val="000000"/>
          <w:kern w:val="0"/>
        </w:rPr>
        <w:t>5.2.1</w:t>
      </w:r>
      <w:r w:rsidRPr="00FF6B9A">
        <w:rPr>
          <w:rFonts w:eastAsiaTheme="minor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rsidRPr="00FF6B9A">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代码</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占基金资产净值比例（％）</w:t>
            </w:r>
          </w:p>
        </w:tc>
      </w:tr>
      <w:tr w14:paraId="651FF96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26,856.80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w:t>
            </w:r>
          </w:p>
        </w:tc>
      </w:tr>
      <w:tr w14:paraId="2B8EF369"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p w14:paraId="72CB0322" w14:textId="77777777" w:rsidR="00D06738" w:rsidRDefault="00D06738" w:rsidRPr="00FF6B9A">
            <w:pPr>
              <w:jc w:val="right"/>
              <w:rPr>
                <w:rFonts w:eastAsia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p w14:paraId="5DCD6455" w14:textId="77777777" w:rsidR="00D06738" w:rsidRDefault="00D06738" w:rsidRPr="00FF6B9A">
            <w:pPr>
              <w:jc w:val="right"/>
              <w:rPr>
                <w:rFonts w:eastAsiaTheme="minorEastAsia"/>
                <w:color w:themeColor="text1" w:val="000000"/>
                <w:kern w:val="0"/>
              </w:rPr>
            </w:pPr>
          </w:p>
        </w:tc>
      </w:tr>
      <w:tr w14:paraId="3470B292"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450,173,918.75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74.95</w:t>
            </w:r>
          </w:p>
        </w:tc>
      </w:tr>
      <w:tr w14:paraId="53F8CFE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48,347.29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0.01</w:t>
            </w:r>
          </w:p>
        </w:tc>
      </w:tr>
      <w:tr w14:paraId="1B8429A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25,371.37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w:t>
            </w:r>
          </w:p>
        </w:tc>
      </w:tr>
      <w:tr w14:paraId="25A56BDE"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319,178.90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0.05</w:t>
            </w:r>
          </w:p>
        </w:tc>
      </w:tr>
      <w:tr w14:paraId="68AD7C4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545862F1"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EB68E1B"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6,031,653.67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1.00</w:t>
            </w:r>
          </w:p>
        </w:tc>
      </w:tr>
      <w:tr w14:paraId="379675A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10,617,432.01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1.77</w:t>
            </w:r>
          </w:p>
        </w:tc>
      </w:tr>
      <w:tr w14:paraId="3FE1377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2,648,153.62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0.44</w:t>
            </w:r>
          </w:p>
        </w:tc>
      </w:tr>
      <w:tr w14:paraId="6663031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24,947,613.10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4.15</w:t>
            </w:r>
          </w:p>
        </w:tc>
      </w:tr>
      <w:tr w14:paraId="07EC249A"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37,002,965.93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6.16</w:t>
            </w:r>
          </w:p>
        </w:tc>
      </w:tr>
      <w:tr w14:paraId="69D921F3"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22,735.80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0.00</w:t>
            </w:r>
          </w:p>
        </w:tc>
      </w:tr>
      <w:tr w14:paraId="090E46D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kern w:val="0"/>
              </w:rPr>
              <w:lastRenderedPageBreak/>
              <w:t/>
            </w:r>
            <w:proofErr w:type="spellEnd"/>
            <w:r w:rsidRPr="00FF6B9A">
              <w:rPr>
                <w:rFonts w:eastAsiaTheme="minorEastAsia"/>
                <w:color w:themeColor="text1" w:val="000000"/>
                <w:kern w:val="0"/>
              </w:rPr>
              <w:t>-</w:t>
            </w:r>
          </w:p>
        </w:tc>
      </w:tr>
      <w:tr w14:paraId="684B91C8"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16,262.03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w:t>
            </w:r>
          </w:p>
        </w:tc>
      </w:tr>
      <w:tr w14:paraId="58A809B6"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7,775,207.05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1.29</w:t>
            </w:r>
          </w:p>
        </w:tc>
      </w:tr>
      <w:tr w14:paraId="0C10CFD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30,247.32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78F4620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AD397B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rsidRPr="00FF6B9A">
            <w:pPr>
              <w:adjustRightInd w:val="0"/>
              <w:snapToGrid w:val="0"/>
              <w:spacing w:line="400" w:lineRule="exact"/>
              <w:jc w:val="center"/>
              <w:rPr>
                <w:rFonts w:eastAsia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539,685,943.64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89.85</w:t>
            </w:r>
          </w:p>
        </w:tc>
      </w:tr>
    </w:tbl>
    <w:p w14:paraId="0F45C82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0B00694" w14:textId="77777777" w:rsidP="00FF6B9A" w:rsidR="00FF6B9A" w:rsidRDefault="00FF6B9A" w:rsidRPr="00FF6B9A">
      <w:pPr>
        <w:spacing w:line="360" w:lineRule="auto"/>
        <w:rPr>
          <w:rFonts w:eastAsiaTheme="minorEastAsia"/>
          <w:sz w:val="24"/>
          <w:szCs w:val="24"/>
        </w:rPr>
      </w:pPr>
      <w:bookmarkStart w:id="3"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type="auto" w:w="0"/>
        <w:tblLayout w:type="fixed"/>
        <w:tblLook w:firstColumn="1" w:firstRow="1" w:lastColumn="0" w:lastRow="0" w:noHBand="0" w:noVBand="1" w:val="04A0"/>
      </w:tblPr>
      <w:tblGrid>
        <w:gridCol w:w="817"/>
        <w:gridCol w:w="1276"/>
        <w:gridCol w:w="1701"/>
        <w:gridCol w:w="1276"/>
        <w:gridCol w:w="1842"/>
        <w:gridCol w:w="1616"/>
      </w:tblGrid>
      <w:tr w14:paraId="6EFFF3EB" w14:textId="77777777" w:rsidR="00FF6B9A" w:rsidRPr="00FF6B9A" w:rsidTr="00D913A1">
        <w:tc>
          <w:tcPr>
            <w:tcW w:type="dxa" w:w="817"/>
            <w:vAlign w:val="center"/>
          </w:tcPr>
          <w:p w14:paraId="3BF93561"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type="dxa" w:w="1276"/>
            <w:vAlign w:val="center"/>
          </w:tcPr>
          <w:p w14:paraId="6281AD5E"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type="dxa" w:w="1701"/>
            <w:vAlign w:val="center"/>
          </w:tcPr>
          <w:p w14:paraId="23E4D4E7"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type="dxa" w:w="1276"/>
            <w:vAlign w:val="center"/>
          </w:tcPr>
          <w:p w14:paraId="1CC86F06"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type="dxa" w:w="1842"/>
            <w:vAlign w:val="center"/>
          </w:tcPr>
          <w:p w14:paraId="5057E922" w14:textId="77777777" w:rsidP="00D913A1" w:rsidR="00FF6B9A" w:rsidRDefault="00FF6B9A" w:rsidRPr="00FF6B9A">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type="dxa" w:w="1616"/>
            <w:vAlign w:val="center"/>
          </w:tcPr>
          <w:p w14:paraId="5797A0C8"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tc>
          <w:tcPr>
            <w:vAlign w:val="center"/>
          </w:tcPr>
          <w:p>
            <w:pPr>
              <w:jc w:val="center"/>
            </w:pPr>
            <w:r>
              <w:rPr>
                <w:rFonts w:eastAsiaTheme="minorEastAsia"/>
                <w:kern w:val="0"/>
                <w:sz w:val="24"/>
                <w:szCs w:val="24"/>
              </w:rPr>
              <w:t>1</w:t>
            </w:r>
          </w:p>
        </w:tc>
        <w:tc>
          <w:tcPr>
            <w:vAlign w:val="center"/>
          </w:tcPr>
          <w:p>
            <w:pPr>
              <w:jc w:val="center"/>
            </w:pPr>
            <w:r>
              <w:rPr>
                <w:rFonts w:eastAsiaTheme="minorEastAsia"/>
                <w:kern w:val="0"/>
                <w:sz w:val="24"/>
                <w:szCs w:val="24"/>
              </w:rPr>
              <w:t>300750</w:t>
            </w:r>
          </w:p>
        </w:tc>
        <w:tc>
          <w:tcPr>
            <w:vAlign w:val="center"/>
          </w:tcPr>
          <w:p>
            <w:pPr>
              <w:jc w:val="center"/>
            </w:pPr>
            <w:r>
              <w:rPr>
                <w:rFonts w:eastAsiaTheme="minorEastAsia"/>
                <w:kern w:val="0"/>
                <w:sz w:val="24"/>
                <w:szCs w:val="24"/>
              </w:rPr>
              <w:t>宁德时代</w:t>
            </w:r>
          </w:p>
        </w:tc>
        <w:tc>
          <w:tcPr>
            <w:vAlign w:val="center"/>
          </w:tcPr>
          <w:p>
            <w:pPr>
              <w:jc w:val="right"/>
            </w:pPr>
            <w:r>
              <w:rPr>
                <w:rFonts w:eastAsiaTheme="minorEastAsia"/>
                <w:kern w:val="0"/>
                <w:sz w:val="24"/>
                <w:szCs w:val="24"/>
              </w:rPr>
              <w:t>77,489</w:t>
            </w:r>
          </w:p>
        </w:tc>
        <w:tc>
          <w:tcPr>
            <w:vAlign w:val="center"/>
          </w:tcPr>
          <w:p>
            <w:pPr>
              <w:jc w:val="right"/>
            </w:pPr>
            <w:r>
              <w:rPr>
                <w:rFonts w:eastAsiaTheme="minorEastAsia"/>
                <w:kern w:val="0"/>
                <w:sz w:val="24"/>
                <w:szCs w:val="24"/>
              </w:rPr>
              <w:t>41,441,117.20</w:t>
            </w:r>
          </w:p>
        </w:tc>
        <w:tc>
          <w:tcPr>
            <w:vAlign w:val="center"/>
          </w:tcPr>
          <w:p>
            <w:pPr>
              <w:jc w:val="right"/>
            </w:pPr>
            <w:r>
              <w:rPr>
                <w:rFonts w:eastAsiaTheme="minorEastAsia"/>
                <w:kern w:val="0"/>
                <w:sz w:val="24"/>
                <w:szCs w:val="24"/>
              </w:rPr>
              <w:t>6.90</w:t>
            </w:r>
          </w:p>
        </w:tc>
      </w:tr>
      <w:tr>
        <w:tc>
          <w:tcPr>
            <w:vAlign w:val="center"/>
          </w:tcPr>
          <w:p>
            <w:pPr>
              <w:jc w:val="center"/>
            </w:pPr>
            <w:r>
              <w:rPr>
                <w:rFonts w:eastAsiaTheme="minorEastAsia"/>
                <w:kern w:val="0"/>
                <w:sz w:val="24"/>
                <w:szCs w:val="24"/>
              </w:rPr>
              <w:t>2</w:t>
            </w:r>
          </w:p>
        </w:tc>
        <w:tc>
          <w:tcPr>
            <w:vAlign w:val="center"/>
          </w:tcPr>
          <w:p>
            <w:pPr>
              <w:jc w:val="center"/>
            </w:pPr>
            <w:r>
              <w:rPr>
                <w:rFonts w:eastAsiaTheme="minorEastAsia"/>
                <w:kern w:val="0"/>
                <w:sz w:val="24"/>
                <w:szCs w:val="24"/>
              </w:rPr>
              <w:t>603259</w:t>
            </w:r>
          </w:p>
        </w:tc>
        <w:tc>
          <w:tcPr>
            <w:vAlign w:val="center"/>
          </w:tcPr>
          <w:p>
            <w:pPr>
              <w:jc w:val="center"/>
            </w:pPr>
            <w:r>
              <w:rPr>
                <w:rFonts w:eastAsiaTheme="minorEastAsia"/>
                <w:kern w:val="0"/>
                <w:sz w:val="24"/>
                <w:szCs w:val="24"/>
              </w:rPr>
              <w:t>药明康德</w:t>
            </w:r>
          </w:p>
        </w:tc>
        <w:tc>
          <w:tcPr>
            <w:vAlign w:val="center"/>
          </w:tcPr>
          <w:p>
            <w:pPr>
              <w:jc w:val="right"/>
            </w:pPr>
            <w:r>
              <w:rPr>
                <w:rFonts w:eastAsiaTheme="minorEastAsia"/>
                <w:kern w:val="0"/>
                <w:sz w:val="24"/>
                <w:szCs w:val="24"/>
              </w:rPr>
              <w:t>236,089</w:t>
            </w:r>
          </w:p>
        </w:tc>
        <w:tc>
          <w:tcPr>
            <w:vAlign w:val="center"/>
          </w:tcPr>
          <w:p>
            <w:pPr>
              <w:jc w:val="right"/>
            </w:pPr>
            <w:r>
              <w:rPr>
                <w:rFonts w:eastAsiaTheme="minorEastAsia"/>
                <w:kern w:val="0"/>
                <w:sz w:val="24"/>
                <w:szCs w:val="24"/>
              </w:rPr>
              <w:t>36,969,176.51</w:t>
            </w:r>
          </w:p>
        </w:tc>
        <w:tc>
          <w:tcPr>
            <w:vAlign w:val="center"/>
          </w:tcPr>
          <w:p>
            <w:pPr>
              <w:jc w:val="right"/>
            </w:pPr>
            <w:r>
              <w:rPr>
                <w:rFonts w:eastAsiaTheme="minorEastAsia"/>
                <w:kern w:val="0"/>
                <w:sz w:val="24"/>
                <w:szCs w:val="24"/>
              </w:rPr>
              <w:t>6.15</w:t>
            </w:r>
          </w:p>
        </w:tc>
      </w:tr>
      <w:tr>
        <w:tc>
          <w:tcPr>
            <w:vAlign w:val="center"/>
          </w:tcPr>
          <w:p>
            <w:pPr>
              <w:jc w:val="center"/>
            </w:pPr>
            <w:r>
              <w:rPr>
                <w:rFonts w:eastAsiaTheme="minorEastAsia"/>
                <w:kern w:val="0"/>
                <w:sz w:val="24"/>
                <w:szCs w:val="24"/>
              </w:rPr>
              <w:t>3</w:t>
            </w:r>
          </w:p>
        </w:tc>
        <w:tc>
          <w:tcPr>
            <w:vAlign w:val="center"/>
          </w:tcPr>
          <w:p>
            <w:pPr>
              <w:jc w:val="center"/>
            </w:pPr>
            <w:r>
              <w:rPr>
                <w:rFonts w:eastAsiaTheme="minorEastAsia"/>
                <w:kern w:val="0"/>
                <w:sz w:val="24"/>
                <w:szCs w:val="24"/>
              </w:rPr>
              <w:t>603799</w:t>
            </w:r>
          </w:p>
        </w:tc>
        <w:tc>
          <w:tcPr>
            <w:vAlign w:val="center"/>
          </w:tcPr>
          <w:p>
            <w:pPr>
              <w:jc w:val="center"/>
            </w:pPr>
            <w:r>
              <w:rPr>
                <w:rFonts w:eastAsiaTheme="minorEastAsia"/>
                <w:kern w:val="0"/>
                <w:sz w:val="24"/>
                <w:szCs w:val="24"/>
              </w:rPr>
              <w:t>华友钴业</w:t>
            </w:r>
          </w:p>
        </w:tc>
        <w:tc>
          <w:tcPr>
            <w:vAlign w:val="center"/>
          </w:tcPr>
          <w:p>
            <w:pPr>
              <w:jc w:val="right"/>
            </w:pPr>
            <w:r>
              <w:rPr>
                <w:rFonts w:eastAsiaTheme="minorEastAsia"/>
                <w:kern w:val="0"/>
                <w:sz w:val="24"/>
                <w:szCs w:val="24"/>
              </w:rPr>
              <w:t>309,528</w:t>
            </w:r>
          </w:p>
        </w:tc>
        <w:tc>
          <w:tcPr>
            <w:vAlign w:val="center"/>
          </w:tcPr>
          <w:p>
            <w:pPr>
              <w:jc w:val="right"/>
            </w:pPr>
            <w:r>
              <w:rPr>
                <w:rFonts w:eastAsiaTheme="minorEastAsia"/>
                <w:kern w:val="0"/>
                <w:sz w:val="24"/>
                <w:szCs w:val="24"/>
              </w:rPr>
              <w:t>35,004,229.96</w:t>
            </w:r>
          </w:p>
        </w:tc>
        <w:tc>
          <w:tcPr>
            <w:vAlign w:val="center"/>
          </w:tcPr>
          <w:p>
            <w:pPr>
              <w:jc w:val="right"/>
            </w:pPr>
            <w:r>
              <w:rPr>
                <w:rFonts w:eastAsiaTheme="minorEastAsia"/>
                <w:kern w:val="0"/>
                <w:sz w:val="24"/>
                <w:szCs w:val="24"/>
              </w:rPr>
              <w:t>5.83</w:t>
            </w:r>
          </w:p>
        </w:tc>
      </w:tr>
      <w:tr>
        <w:tc>
          <w:tcPr>
            <w:vAlign w:val="center"/>
          </w:tcPr>
          <w:p>
            <w:pPr>
              <w:jc w:val="center"/>
            </w:pPr>
            <w:r>
              <w:rPr>
                <w:rFonts w:eastAsiaTheme="minorEastAsia"/>
                <w:kern w:val="0"/>
                <w:sz w:val="24"/>
                <w:szCs w:val="24"/>
              </w:rPr>
              <w:t>4</w:t>
            </w:r>
          </w:p>
        </w:tc>
        <w:tc>
          <w:tcPr>
            <w:vAlign w:val="center"/>
          </w:tcPr>
          <w:p>
            <w:pPr>
              <w:jc w:val="center"/>
            </w:pPr>
            <w:r>
              <w:rPr>
                <w:rFonts w:eastAsiaTheme="minorEastAsia"/>
                <w:kern w:val="0"/>
                <w:sz w:val="24"/>
                <w:szCs w:val="24"/>
              </w:rPr>
              <w:t>603486</w:t>
            </w:r>
          </w:p>
        </w:tc>
        <w:tc>
          <w:tcPr>
            <w:vAlign w:val="center"/>
          </w:tcPr>
          <w:p>
            <w:pPr>
              <w:jc w:val="center"/>
            </w:pPr>
            <w:r>
              <w:rPr>
                <w:rFonts w:eastAsiaTheme="minorEastAsia"/>
                <w:kern w:val="0"/>
                <w:sz w:val="24"/>
                <w:szCs w:val="24"/>
              </w:rPr>
              <w:t>科沃斯</w:t>
            </w:r>
          </w:p>
        </w:tc>
        <w:tc>
          <w:tcPr>
            <w:vAlign w:val="center"/>
          </w:tcPr>
          <w:p>
            <w:pPr>
              <w:jc w:val="right"/>
            </w:pPr>
            <w:r>
              <w:rPr>
                <w:rFonts w:eastAsiaTheme="minorEastAsia"/>
                <w:kern w:val="0"/>
                <w:sz w:val="24"/>
                <w:szCs w:val="24"/>
              </w:rPr>
              <w:t>134,393</w:t>
            </w:r>
          </w:p>
        </w:tc>
        <w:tc>
          <w:tcPr>
            <w:vAlign w:val="center"/>
          </w:tcPr>
          <w:p>
            <w:pPr>
              <w:jc w:val="right"/>
            </w:pPr>
            <w:r>
              <w:rPr>
                <w:rFonts w:eastAsiaTheme="minorEastAsia"/>
                <w:kern w:val="0"/>
                <w:sz w:val="24"/>
                <w:szCs w:val="24"/>
              </w:rPr>
              <w:t>30,652,355.44</w:t>
            </w:r>
          </w:p>
        </w:tc>
        <w:tc>
          <w:tcPr>
            <w:vAlign w:val="center"/>
          </w:tcPr>
          <w:p>
            <w:pPr>
              <w:jc w:val="right"/>
            </w:pPr>
            <w:r>
              <w:rPr>
                <w:rFonts w:eastAsiaTheme="minorEastAsia"/>
                <w:kern w:val="0"/>
                <w:sz w:val="24"/>
                <w:szCs w:val="24"/>
              </w:rPr>
              <w:t>5.10</w:t>
            </w:r>
          </w:p>
        </w:tc>
      </w:tr>
      <w:tr>
        <w:tc>
          <w:tcPr>
            <w:vAlign w:val="center"/>
          </w:tcPr>
          <w:p>
            <w:pPr>
              <w:jc w:val="center"/>
            </w:pPr>
            <w:r>
              <w:rPr>
                <w:rFonts w:eastAsiaTheme="minorEastAsia"/>
                <w:kern w:val="0"/>
                <w:sz w:val="24"/>
                <w:szCs w:val="24"/>
              </w:rPr>
              <w:t>5</w:t>
            </w:r>
          </w:p>
        </w:tc>
        <w:tc>
          <w:tcPr>
            <w:vAlign w:val="center"/>
          </w:tcPr>
          <w:p>
            <w:pPr>
              <w:jc w:val="center"/>
            </w:pPr>
            <w:r>
              <w:rPr>
                <w:rFonts w:eastAsiaTheme="minorEastAsia"/>
                <w:kern w:val="0"/>
                <w:sz w:val="24"/>
                <w:szCs w:val="24"/>
              </w:rPr>
              <w:t>600519</w:t>
            </w:r>
          </w:p>
        </w:tc>
        <w:tc>
          <w:tcPr>
            <w:vAlign w:val="center"/>
          </w:tcPr>
          <w:p>
            <w:pPr>
              <w:jc w:val="center"/>
            </w:pPr>
            <w:r>
              <w:rPr>
                <w:rFonts w:eastAsiaTheme="minorEastAsia"/>
                <w:kern w:val="0"/>
                <w:sz w:val="24"/>
                <w:szCs w:val="24"/>
              </w:rPr>
              <w:t>贵州茅台</w:t>
            </w:r>
          </w:p>
        </w:tc>
        <w:tc>
          <w:tcPr>
            <w:vAlign w:val="center"/>
          </w:tcPr>
          <w:p>
            <w:pPr>
              <w:jc w:val="right"/>
            </w:pPr>
            <w:r>
              <w:rPr>
                <w:rFonts w:eastAsiaTheme="minorEastAsia"/>
                <w:kern w:val="0"/>
                <w:sz w:val="24"/>
                <w:szCs w:val="24"/>
              </w:rPr>
              <w:t>14,300</w:t>
            </w:r>
          </w:p>
        </w:tc>
        <w:tc>
          <w:tcPr>
            <w:vAlign w:val="center"/>
          </w:tcPr>
          <w:p>
            <w:pPr>
              <w:jc w:val="right"/>
            </w:pPr>
            <w:r>
              <w:rPr>
                <w:rFonts w:eastAsiaTheme="minorEastAsia"/>
                <w:kern w:val="0"/>
                <w:sz w:val="24"/>
                <w:szCs w:val="24"/>
              </w:rPr>
              <w:t>29,410,810.00</w:t>
            </w:r>
          </w:p>
        </w:tc>
        <w:tc>
          <w:tcPr>
            <w:vAlign w:val="center"/>
          </w:tcPr>
          <w:p>
            <w:pPr>
              <w:jc w:val="right"/>
            </w:pPr>
            <w:r>
              <w:rPr>
                <w:rFonts w:eastAsiaTheme="minorEastAsia"/>
                <w:kern w:val="0"/>
                <w:sz w:val="24"/>
                <w:szCs w:val="24"/>
              </w:rPr>
              <w:t>4.90</w:t>
            </w:r>
          </w:p>
        </w:tc>
      </w:tr>
      <w:tr>
        <w:tc>
          <w:tcPr>
            <w:vAlign w:val="center"/>
          </w:tcPr>
          <w:p>
            <w:pPr>
              <w:jc w:val="center"/>
            </w:pPr>
            <w:r>
              <w:rPr>
                <w:rFonts w:eastAsiaTheme="minorEastAsia"/>
                <w:kern w:val="0"/>
                <w:sz w:val="24"/>
                <w:szCs w:val="24"/>
              </w:rPr>
              <w:t>6</w:t>
            </w:r>
          </w:p>
        </w:tc>
        <w:tc>
          <w:tcPr>
            <w:vAlign w:val="center"/>
          </w:tcPr>
          <w:p>
            <w:pPr>
              <w:jc w:val="center"/>
            </w:pPr>
            <w:r>
              <w:rPr>
                <w:rFonts w:eastAsiaTheme="minorEastAsia"/>
                <w:kern w:val="0"/>
                <w:sz w:val="24"/>
                <w:szCs w:val="24"/>
              </w:rPr>
              <w:t>601689</w:t>
            </w:r>
          </w:p>
        </w:tc>
        <w:tc>
          <w:tcPr>
            <w:vAlign w:val="center"/>
          </w:tcPr>
          <w:p>
            <w:pPr>
              <w:jc w:val="center"/>
            </w:pPr>
            <w:r>
              <w:rPr>
                <w:rFonts w:eastAsiaTheme="minorEastAsia"/>
                <w:kern w:val="0"/>
                <w:sz w:val="24"/>
                <w:szCs w:val="24"/>
              </w:rPr>
              <w:t>拓普集团</w:t>
            </w:r>
          </w:p>
        </w:tc>
        <w:tc>
          <w:tcPr>
            <w:vAlign w:val="center"/>
          </w:tcPr>
          <w:p>
            <w:pPr>
              <w:jc w:val="right"/>
            </w:pPr>
            <w:r>
              <w:rPr>
                <w:rFonts w:eastAsiaTheme="minorEastAsia"/>
                <w:kern w:val="0"/>
                <w:sz w:val="24"/>
                <w:szCs w:val="24"/>
              </w:rPr>
              <w:t>688,520</w:t>
            </w:r>
          </w:p>
        </w:tc>
        <w:tc>
          <w:tcPr>
            <w:vAlign w:val="center"/>
          </w:tcPr>
          <w:p>
            <w:pPr>
              <w:jc w:val="right"/>
            </w:pPr>
            <w:r>
              <w:rPr>
                <w:rFonts w:eastAsiaTheme="minorEastAsia"/>
                <w:kern w:val="0"/>
                <w:sz w:val="24"/>
                <w:szCs w:val="24"/>
              </w:rPr>
              <w:t>25,771,303.60</w:t>
            </w:r>
          </w:p>
        </w:tc>
        <w:tc>
          <w:tcPr>
            <w:vAlign w:val="center"/>
          </w:tcPr>
          <w:p>
            <w:pPr>
              <w:jc w:val="right"/>
            </w:pPr>
            <w:r>
              <w:rPr>
                <w:rFonts w:eastAsiaTheme="minorEastAsia"/>
                <w:kern w:val="0"/>
                <w:sz w:val="24"/>
                <w:szCs w:val="24"/>
              </w:rPr>
              <w:t>4.29</w:t>
            </w:r>
          </w:p>
        </w:tc>
      </w:tr>
      <w:tr>
        <w:tc>
          <w:tcPr>
            <w:vAlign w:val="center"/>
          </w:tcPr>
          <w:p>
            <w:pPr>
              <w:jc w:val="center"/>
            </w:pPr>
            <w:r>
              <w:rPr>
                <w:rFonts w:eastAsiaTheme="minorEastAsia"/>
                <w:kern w:val="0"/>
                <w:sz w:val="24"/>
                <w:szCs w:val="24"/>
              </w:rPr>
              <w:t>7</w:t>
            </w:r>
          </w:p>
        </w:tc>
        <w:tc>
          <w:tcPr>
            <w:vAlign w:val="center"/>
          </w:tcPr>
          <w:p>
            <w:pPr>
              <w:jc w:val="center"/>
            </w:pPr>
            <w:r>
              <w:rPr>
                <w:rFonts w:eastAsiaTheme="minorEastAsia"/>
                <w:kern w:val="0"/>
                <w:sz w:val="24"/>
                <w:szCs w:val="24"/>
              </w:rPr>
              <w:t>601888</w:t>
            </w:r>
          </w:p>
        </w:tc>
        <w:tc>
          <w:tcPr>
            <w:vAlign w:val="center"/>
          </w:tcPr>
          <w:p>
            <w:pPr>
              <w:jc w:val="center"/>
            </w:pPr>
            <w:r>
              <w:rPr>
                <w:rFonts w:eastAsiaTheme="minorEastAsia"/>
                <w:kern w:val="0"/>
                <w:sz w:val="24"/>
                <w:szCs w:val="24"/>
              </w:rPr>
              <w:t>中国中免</w:t>
            </w:r>
          </w:p>
        </w:tc>
        <w:tc>
          <w:tcPr>
            <w:vAlign w:val="center"/>
          </w:tcPr>
          <w:p>
            <w:pPr>
              <w:jc w:val="right"/>
            </w:pPr>
            <w:r>
              <w:rPr>
                <w:rFonts w:eastAsiaTheme="minorEastAsia"/>
                <w:kern w:val="0"/>
                <w:sz w:val="24"/>
                <w:szCs w:val="24"/>
              </w:rPr>
              <w:t>83,131</w:t>
            </w:r>
          </w:p>
        </w:tc>
        <w:tc>
          <w:tcPr>
            <w:vAlign w:val="center"/>
          </w:tcPr>
          <w:p>
            <w:pPr>
              <w:jc w:val="right"/>
            </w:pPr>
            <w:r>
              <w:rPr>
                <w:rFonts w:eastAsiaTheme="minorEastAsia"/>
                <w:kern w:val="0"/>
                <w:sz w:val="24"/>
                <w:szCs w:val="24"/>
              </w:rPr>
              <w:t>24,947,613.10</w:t>
            </w:r>
          </w:p>
        </w:tc>
        <w:tc>
          <w:tcPr>
            <w:vAlign w:val="center"/>
          </w:tcPr>
          <w:p>
            <w:pPr>
              <w:jc w:val="right"/>
            </w:pPr>
            <w:r>
              <w:rPr>
                <w:rFonts w:eastAsiaTheme="minorEastAsia"/>
                <w:kern w:val="0"/>
                <w:sz w:val="24"/>
                <w:szCs w:val="24"/>
              </w:rPr>
              <w:t>4.15</w:t>
            </w:r>
          </w:p>
        </w:tc>
      </w:tr>
      <w:tr>
        <w:tc>
          <w:tcPr>
            <w:vAlign w:val="center"/>
          </w:tcPr>
          <w:p>
            <w:pPr>
              <w:jc w:val="center"/>
            </w:pPr>
            <w:r>
              <w:rPr>
                <w:rFonts w:eastAsiaTheme="minorEastAsia"/>
                <w:kern w:val="0"/>
                <w:sz w:val="24"/>
                <w:szCs w:val="24"/>
              </w:rPr>
              <w:t>8</w:t>
            </w:r>
          </w:p>
        </w:tc>
        <w:tc>
          <w:tcPr>
            <w:vAlign w:val="center"/>
          </w:tcPr>
          <w:p>
            <w:pPr>
              <w:jc w:val="center"/>
            </w:pPr>
            <w:r>
              <w:rPr>
                <w:rFonts w:eastAsiaTheme="minorEastAsia"/>
                <w:kern w:val="0"/>
                <w:sz w:val="24"/>
                <w:szCs w:val="24"/>
              </w:rPr>
              <w:t>300014</w:t>
            </w:r>
          </w:p>
        </w:tc>
        <w:tc>
          <w:tcPr>
            <w:vAlign w:val="center"/>
          </w:tcPr>
          <w:p>
            <w:pPr>
              <w:jc w:val="center"/>
            </w:pPr>
            <w:r>
              <w:rPr>
                <w:rFonts w:eastAsiaTheme="minorEastAsia"/>
                <w:kern w:val="0"/>
                <w:sz w:val="24"/>
                <w:szCs w:val="24"/>
              </w:rPr>
              <w:t>亿纬锂能</w:t>
            </w:r>
          </w:p>
        </w:tc>
        <w:tc>
          <w:tcPr>
            <w:vAlign w:val="center"/>
          </w:tcPr>
          <w:p>
            <w:pPr>
              <w:jc w:val="right"/>
            </w:pPr>
            <w:r>
              <w:rPr>
                <w:rFonts w:eastAsiaTheme="minorEastAsia"/>
                <w:kern w:val="0"/>
                <w:sz w:val="24"/>
                <w:szCs w:val="24"/>
              </w:rPr>
              <w:t>223,079</w:t>
            </w:r>
          </w:p>
        </w:tc>
        <w:tc>
          <w:tcPr>
            <w:vAlign w:val="center"/>
          </w:tcPr>
          <w:p>
            <w:pPr>
              <w:jc w:val="right"/>
            </w:pPr>
            <w:r>
              <w:rPr>
                <w:rFonts w:eastAsiaTheme="minorEastAsia"/>
                <w:kern w:val="0"/>
                <w:sz w:val="24"/>
                <w:szCs w:val="24"/>
              </w:rPr>
              <w:t>23,184,600.47</w:t>
            </w:r>
          </w:p>
        </w:tc>
        <w:tc>
          <w:tcPr>
            <w:vAlign w:val="center"/>
          </w:tcPr>
          <w:p>
            <w:pPr>
              <w:jc w:val="right"/>
            </w:pPr>
            <w:r>
              <w:rPr>
                <w:rFonts w:eastAsiaTheme="minorEastAsia"/>
                <w:kern w:val="0"/>
                <w:sz w:val="24"/>
                <w:szCs w:val="24"/>
              </w:rPr>
              <w:t>3.86</w:t>
            </w:r>
          </w:p>
        </w:tc>
      </w:tr>
      <w:tr>
        <w:tc>
          <w:tcPr>
            <w:vAlign w:val="center"/>
          </w:tcPr>
          <w:p>
            <w:pPr>
              <w:jc w:val="center"/>
            </w:pPr>
            <w:r>
              <w:rPr>
                <w:rFonts w:eastAsiaTheme="minorEastAsia"/>
                <w:kern w:val="0"/>
                <w:sz w:val="24"/>
                <w:szCs w:val="24"/>
              </w:rPr>
              <w:t>9</w:t>
            </w:r>
          </w:p>
        </w:tc>
        <w:tc>
          <w:tcPr>
            <w:vAlign w:val="center"/>
          </w:tcPr>
          <w:p>
            <w:pPr>
              <w:jc w:val="center"/>
            </w:pPr>
            <w:r>
              <w:rPr>
                <w:rFonts w:eastAsiaTheme="minorEastAsia"/>
                <w:kern w:val="0"/>
                <w:sz w:val="24"/>
                <w:szCs w:val="24"/>
              </w:rPr>
              <w:t>300760</w:t>
            </w:r>
          </w:p>
        </w:tc>
        <w:tc>
          <w:tcPr>
            <w:vAlign w:val="center"/>
          </w:tcPr>
          <w:p>
            <w:pPr>
              <w:jc w:val="center"/>
            </w:pPr>
            <w:r>
              <w:rPr>
                <w:rFonts w:eastAsiaTheme="minorEastAsia"/>
                <w:kern w:val="0"/>
                <w:sz w:val="24"/>
                <w:szCs w:val="24"/>
              </w:rPr>
              <w:t>迈瑞医疗</w:t>
            </w:r>
          </w:p>
        </w:tc>
        <w:tc>
          <w:tcPr>
            <w:vAlign w:val="center"/>
          </w:tcPr>
          <w:p>
            <w:pPr>
              <w:jc w:val="right"/>
            </w:pPr>
            <w:r>
              <w:rPr>
                <w:rFonts w:eastAsiaTheme="minorEastAsia"/>
                <w:kern w:val="0"/>
                <w:sz w:val="24"/>
                <w:szCs w:val="24"/>
              </w:rPr>
              <w:t>43,122</w:t>
            </w:r>
          </w:p>
        </w:tc>
        <w:tc>
          <w:tcPr>
            <w:vAlign w:val="center"/>
          </w:tcPr>
          <w:p>
            <w:pPr>
              <w:jc w:val="right"/>
            </w:pPr>
            <w:r>
              <w:rPr>
                <w:rFonts w:eastAsiaTheme="minorEastAsia"/>
                <w:kern w:val="0"/>
                <w:sz w:val="24"/>
                <w:szCs w:val="24"/>
              </w:rPr>
              <w:t>20,700,716.10</w:t>
            </w:r>
          </w:p>
        </w:tc>
        <w:tc>
          <w:tcPr>
            <w:vAlign w:val="center"/>
          </w:tcPr>
          <w:p>
            <w:pPr>
              <w:jc w:val="right"/>
            </w:pPr>
            <w:r>
              <w:rPr>
                <w:rFonts w:eastAsiaTheme="minorEastAsia"/>
                <w:kern w:val="0"/>
                <w:sz w:val="24"/>
                <w:szCs w:val="24"/>
              </w:rPr>
              <w:t>3.45</w:t>
            </w:r>
          </w:p>
        </w:tc>
      </w:tr>
      <w:tr>
        <w:tc>
          <w:tcPr>
            <w:vAlign w:val="center"/>
          </w:tcPr>
          <w:p>
            <w:pPr>
              <w:jc w:val="center"/>
            </w:pPr>
            <w:r>
              <w:rPr>
                <w:rFonts w:eastAsiaTheme="minorEastAsia"/>
                <w:kern w:val="0"/>
                <w:sz w:val="24"/>
                <w:szCs w:val="24"/>
              </w:rPr>
              <w:t>10</w:t>
            </w:r>
          </w:p>
        </w:tc>
        <w:tc>
          <w:tcPr>
            <w:vAlign w:val="center"/>
          </w:tcPr>
          <w:p>
            <w:pPr>
              <w:jc w:val="center"/>
            </w:pPr>
            <w:r>
              <w:rPr>
                <w:rFonts w:eastAsiaTheme="minorEastAsia"/>
                <w:kern w:val="0"/>
                <w:sz w:val="24"/>
                <w:szCs w:val="24"/>
              </w:rPr>
              <w:t>603659</w:t>
            </w:r>
          </w:p>
        </w:tc>
        <w:tc>
          <w:tcPr>
            <w:vAlign w:val="center"/>
          </w:tcPr>
          <w:p>
            <w:pPr>
              <w:jc w:val="center"/>
            </w:pPr>
            <w:r>
              <w:rPr>
                <w:rFonts w:eastAsiaTheme="minorEastAsia"/>
                <w:kern w:val="0"/>
                <w:sz w:val="24"/>
                <w:szCs w:val="24"/>
              </w:rPr>
              <w:t>璞泰来</w:t>
            </w:r>
          </w:p>
        </w:tc>
        <w:tc>
          <w:tcPr>
            <w:vAlign w:val="center"/>
          </w:tcPr>
          <w:p>
            <w:pPr>
              <w:jc w:val="right"/>
            </w:pPr>
            <w:r>
              <w:rPr>
                <w:rFonts w:eastAsiaTheme="minorEastAsia"/>
                <w:kern w:val="0"/>
                <w:sz w:val="24"/>
                <w:szCs w:val="24"/>
              </w:rPr>
              <w:t>149,900</w:t>
            </w:r>
          </w:p>
        </w:tc>
        <w:tc>
          <w:tcPr>
            <w:vAlign w:val="center"/>
          </w:tcPr>
          <w:p>
            <w:pPr>
              <w:jc w:val="right"/>
            </w:pPr>
            <w:r>
              <w:rPr>
                <w:rFonts w:eastAsiaTheme="minorEastAsia"/>
                <w:kern w:val="0"/>
                <w:sz w:val="24"/>
                <w:szCs w:val="24"/>
              </w:rPr>
              <w:t>20,476,340.00</w:t>
            </w:r>
          </w:p>
        </w:tc>
        <w:tc>
          <w:tcPr>
            <w:vAlign w:val="center"/>
          </w:tcPr>
          <w:p>
            <w:pPr>
              <w:jc w:val="right"/>
            </w:pPr>
            <w:r>
              <w:rPr>
                <w:rFonts w:eastAsiaTheme="minorEastAsia"/>
                <w:kern w:val="0"/>
                <w:sz w:val="24"/>
                <w:szCs w:val="24"/>
              </w:rPr>
              <w:t>3.41</w:t>
            </w:r>
          </w:p>
        </w:tc>
      </w:tr>
    </w:tbl>
    <w:bookmarkEnd w:id="3"/>
    <w:p w14:paraId="5DBD10B5"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3936D23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5.4 </w:t>
      </w:r>
      <w:r w:rsidRPr="00FF6B9A">
        <w:rPr>
          <w:rFonts w:eastAsiaTheme="minorEastAsia"/>
          <w:b/>
          <w:bCs/>
          <w:color w:themeColor="text1" w:val="000000"/>
          <w:kern w:val="0"/>
          <w:sz w:val="24"/>
          <w:szCs w:val="24"/>
        </w:rPr>
        <w:t>报告期末按债券品种分类的债券投资组合</w:t>
      </w:r>
    </w:p>
    <w:p w14:paraId="19B239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6542573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D1805F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5.5 </w:t>
      </w:r>
      <w:r w:rsidRPr="00FF6B9A">
        <w:rPr>
          <w:rFonts w:eastAsiaTheme="minorEastAsia"/>
          <w:b/>
          <w:bCs/>
          <w:color w:themeColor="text1" w:val="000000"/>
          <w:kern w:val="0"/>
          <w:sz w:val="24"/>
          <w:szCs w:val="24"/>
        </w:rPr>
        <w:t>报告期末按公允价值占基金资产净值比例大小排序的前五名债券投资明细</w:t>
      </w:r>
    </w:p>
    <w:p w14:paraId="06FBBA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021C2896"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0D4DC30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5.6 </w:t>
      </w:r>
      <w:r w:rsidRPr="00FF6B9A">
        <w:rPr>
          <w:rFonts w:eastAsiaTheme="minor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本基金本报告期末未持有资产支持证券。</w:t>
      </w:r>
    </w:p>
    <w:p w14:paraId="7641962C"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4D2AFCA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7 </w:t>
      </w:r>
      <w:r w:rsidRPr="00FF6B9A">
        <w:rPr>
          <w:rFonts w:eastAsiaTheme="minorEastAsia"/>
          <w:b/>
          <w:bCs/>
          <w:color w:themeColor="text1" w:val="000000"/>
          <w:kern w:val="0"/>
          <w:sz w:val="24"/>
          <w:szCs w:val="24"/>
        </w:rPr>
        <w:t>报告期末按公允价值占基金资产净值比例大小排序的前五名贵金属投资明细</w:t>
      </w:r>
    </w:p>
    <w:p w14:paraId="5072D892" w14:textId="77777777" w:rsidR="00D06738" w:rsidRDefault="00454D20" w:rsidRPr="00FF6B9A">
      <w:pPr>
        <w:widowControl/>
        <w:spacing w:line="360" w:lineRule="auto"/>
        <w:jc w:val="left"/>
        <w:rPr>
          <w:color w:themeColor="text1" w:val="000000"/>
        </w:rPr>
      </w:pPr>
      <w:r w:rsidRPr="00FF6B9A">
        <w:rPr>
          <w:color w:themeColor="text1" w:val="000000"/>
        </w:rPr>
        <w:t/>
      </w:r>
      <w:proofErr w:type="spellStart"/>
      <w:r w:rsidRPr="00FF6B9A">
        <w:rPr>
          <w:color w:themeColor="text1" w:val="000000"/>
        </w:rPr>
        <w:t/>
      </w:r>
      <w:proofErr w:type="gramStart"/>
      <w:r w:rsidRPr="00FF6B9A">
        <w:rPr>
          <w:color w:themeColor="text1" w:val="000000"/>
        </w:rPr>
        <w:t/>
      </w:r>
      <w:proofErr w:type="spellEnd"/>
      <w:r w:rsidRPr="00FF6B9A">
        <w:rPr>
          <w:color w:themeColor="text1" w:val="000000"/>
        </w:rPr>
        <w:t/>
      </w:r>
      <w:proofErr w:type="spellStart"/>
      <w:proofErr w:type="gramEnd"/>
      <w:r w:rsidRPr="00FF6B9A">
        <w:rPr>
          <w:color w:themeColor="text1" w:val="000000"/>
        </w:rPr>
        <w:t/>
      </w:r>
      <w:proofErr w:type="spellEnd"/>
      <w:r w:rsidRPr="00FF6B9A">
        <w:rPr>
          <w:color w:themeColor="text1" w:val="000000"/>
        </w:rPr>
        <w:t>本基金本报告期末未持有贵金属。</w:t>
      </w:r>
    </w:p>
    <w:p w14:paraId="60EB37E6"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ACC4ABF"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8 </w:t>
      </w:r>
      <w:r w:rsidRPr="00FF6B9A">
        <w:rPr>
          <w:rFonts w:eastAsiaTheme="minorEastAsia"/>
          <w:b/>
          <w:bCs/>
          <w:color w:themeColor="text1" w:val="000000"/>
          <w:kern w:val="0"/>
          <w:sz w:val="24"/>
          <w:szCs w:val="24"/>
        </w:rPr>
        <w:t>报告期末按公允价值占基金资产净值比例大小排序的前五名权证投资明细</w:t>
      </w:r>
    </w:p>
    <w:p w14:paraId="5CD73A7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本基金本报告期末未持有权证。</w:t>
      </w:r>
    </w:p>
    <w:p w14:paraId="47EB757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2F0769C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 xml:space="preserve">5.9 </w:t>
      </w:r>
      <w:r w:rsidRPr="00FF6B9A">
        <w:rPr>
          <w:rFonts w:eastAsiaTheme="minorEastAsia"/>
          <w:b/>
          <w:bCs/>
          <w:color w:themeColor="text1" w:val="000000"/>
          <w:kern w:val="0"/>
          <w:sz w:val="24"/>
          <w:szCs w:val="24"/>
        </w:rPr>
        <w:t>报告期末本基金投资的股指期货交易情况说明</w:t>
      </w:r>
    </w:p>
    <w:p w14:paraId="73A71E08"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本基金本报告期末未持有股指期货。</w:t>
      </w:r>
    </w:p>
    <w:p w14:paraId="6D381369" w14:textId="77777777" w:rsidR="00D06738" w:rsidRDefault="00D06738" w:rsidRPr="00FF6B9A">
      <w:pPr>
        <w:adjustRightInd w:val="0"/>
        <w:snapToGrid w:val="0"/>
        <w:spacing w:line="360" w:lineRule="exact"/>
        <w:rPr>
          <w:rFonts w:eastAsiaTheme="minorEastAsia"/>
          <w:color w:themeColor="text1" w:val="000000"/>
          <w:sz w:val="24"/>
          <w:szCs w:val="24"/>
        </w:rPr>
      </w:pPr>
    </w:p>
    <w:p w14:paraId="288DDC9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lastRenderedPageBreak/>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5.10</w:t>
      </w:r>
      <w:r w:rsidRPr="00FF6B9A">
        <w:rPr>
          <w:rFonts w:eastAsiaTheme="minorEastAsia"/>
          <w:b/>
          <w:bCs/>
          <w:color w:themeColor="text1" w:val="000000"/>
          <w:kern w:val="0"/>
          <w:sz w:val="24"/>
          <w:szCs w:val="24"/>
        </w:rPr>
        <w:t>报告期末本基金投资的国债期货交易情况说明</w:t>
      </w:r>
    </w:p>
    <w:p w14:paraId="5490A7F4" w14:textId="77777777" w:rsidR="00D06738" w:rsidRDefault="00454D20" w:rsidRPr="00FF6B9A">
      <w:pPr>
        <w:autoSpaceDE w:val="0"/>
        <w:autoSpaceDN w:val="0"/>
        <w:adjustRightInd w:val="0"/>
        <w:spacing w:line="360" w:lineRule="auto"/>
        <w:jc w:val="left"/>
        <w:rPr>
          <w:rFonts w:eastAsiaTheme="minorEastAsia"/>
          <w:color w:themeColor="text1" w:val="000000"/>
          <w:sz w:val="24"/>
          <w:szCs w:val="24"/>
        </w:rPr>
      </w:pPr>
      <w:r w:rsidRPr="00FF6B9A">
        <w:rPr>
          <w:rFonts w:eastAsiaTheme="minorEastAsia"/>
          <w:color w:themeColor="text1" w:val="000000"/>
          <w:sz w:val="24"/>
          <w:szCs w:val="24"/>
        </w:rPr>
        <w:t/>
      </w:r>
      <w:proofErr w:type="spellStart"/>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
      </w:r>
      <w:proofErr w:type="spellStart"/>
      <w:proofErr w:type="gramEnd"/>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本基金本报告期末未持有国债期货。</w:t>
      </w:r>
    </w:p>
    <w:p w14:paraId="0AD515B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 </w:t>
      </w:r>
      <w:r w:rsidRPr="00FF6B9A">
        <w:rPr>
          <w:rFonts w:eastAsiaTheme="minorEastAsia"/>
          <w:b/>
          <w:bCs/>
          <w:color w:themeColor="text1" w:val="000000"/>
          <w:kern w:val="0"/>
          <w:sz w:val="24"/>
          <w:szCs w:val="24"/>
        </w:rPr>
        <w:t>投资组合报告附注</w:t>
      </w:r>
    </w:p>
    <w:p w14:paraId="2BAE184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11.1报告期内本基金投资的前十名证券的发行主体本期没有出现被监管部门立案调查，或在报告编制日前一年内受到公开谴责、处罚的情形。</w:t>
      </w:r>
    </w:p>
    <w:p w14:paraId="50E6CBC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11.2报告期内本基金投资的前十名股票中没有在基金合同规定备选股票库之外的股票。</w:t>
      </w:r>
    </w:p>
    <w:p w14:paraId="4124D65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11.3 </w:t>
      </w:r>
      <w:r w:rsidRPr="00FF6B9A">
        <w:rPr>
          <w:rFonts w:eastAsiaTheme="minor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rsidRPr="00FF6B9A">
        <w:tc>
          <w:tcPr>
            <w:tcW w:type="dxa" w:w="1235"/>
            <w:vAlign w:val="center"/>
          </w:tcPr>
          <w:p w14:paraId="3D402FF5"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2470"/>
            <w:vAlign w:val="center"/>
          </w:tcPr>
          <w:p w14:paraId="627CAE1B"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名称</w:t>
            </w:r>
          </w:p>
        </w:tc>
        <w:tc>
          <w:tcPr>
            <w:tcW w:type="dxa" w:w="4808"/>
            <w:vAlign w:val="center"/>
          </w:tcPr>
          <w:p w14:paraId="6430356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r>
      <w:tr w14:paraId="2C715D80" w14:textId="77777777" w:rsidR="00D06738" w:rsidRPr="00FF6B9A">
        <w:tc>
          <w:tcPr>
            <w:tcW w:type="dxa" w:w="1235"/>
            <w:vAlign w:val="center"/>
          </w:tcPr>
          <w:p w14:paraId="117C1A9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1</w:t>
            </w:r>
          </w:p>
        </w:tc>
        <w:tc>
          <w:tcPr>
            <w:tcW w:type="dxa" w:w="2470"/>
            <w:vAlign w:val="center"/>
          </w:tcPr>
          <w:p w14:paraId="61153B9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存出保证金</w:t>
            </w:r>
          </w:p>
        </w:tc>
        <w:tc>
          <w:tcPr>
            <w:tcW w:type="dxa" w:w="4808"/>
            <w:vAlign w:val="center"/>
          </w:tcPr>
          <w:p w14:paraId="069C1229"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223,478.10</w:t>
            </w:r>
          </w:p>
        </w:tc>
      </w:tr>
      <w:tr w14:paraId="3C032846" w14:textId="77777777" w:rsidR="00D06738" w:rsidRPr="00FF6B9A">
        <w:tc>
          <w:tcPr>
            <w:tcW w:type="dxa" w:w="1235"/>
            <w:vAlign w:val="center"/>
          </w:tcPr>
          <w:p w14:paraId="141CD09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2</w:t>
            </w:r>
          </w:p>
        </w:tc>
        <w:tc>
          <w:tcPr>
            <w:tcW w:type="dxa" w:w="2470"/>
            <w:vAlign w:val="center"/>
          </w:tcPr>
          <w:p w14:paraId="307B0992"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应收证券清算款</w:t>
            </w:r>
          </w:p>
        </w:tc>
        <w:tc>
          <w:tcPr>
            <w:tcW w:type="dxa" w:w="4808"/>
            <w:vAlign w:val="center"/>
          </w:tcPr>
          <w:p w14:paraId="7B2B0246"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76311B8" w14:textId="77777777" w:rsidR="00D06738" w:rsidRPr="00FF6B9A">
        <w:tc>
          <w:tcPr>
            <w:tcW w:type="dxa" w:w="1235"/>
            <w:vAlign w:val="center"/>
          </w:tcPr>
          <w:p w14:paraId="602CCE2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3</w:t>
            </w:r>
          </w:p>
        </w:tc>
        <w:tc>
          <w:tcPr>
            <w:tcW w:type="dxa" w:w="2470"/>
            <w:vAlign w:val="center"/>
          </w:tcPr>
          <w:p w14:paraId="31EEC93A"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应收股利</w:t>
            </w:r>
          </w:p>
        </w:tc>
        <w:tc>
          <w:tcPr>
            <w:tcW w:type="dxa" w:w="4808"/>
            <w:vAlign w:val="center"/>
          </w:tcPr>
          <w:p w14:paraId="30AA7BF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C0EC699" w14:textId="77777777" w:rsidR="00D06738" w:rsidRPr="00FF6B9A">
        <w:tc>
          <w:tcPr>
            <w:tcW w:type="dxa" w:w="1235"/>
            <w:vAlign w:val="center"/>
          </w:tcPr>
          <w:p w14:paraId="4EAB88E6"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4</w:t>
            </w:r>
          </w:p>
        </w:tc>
        <w:tc>
          <w:tcPr>
            <w:tcW w:type="dxa" w:w="2470"/>
            <w:vAlign w:val="center"/>
          </w:tcPr>
          <w:p w14:paraId="25AFBD3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应收利息</w:t>
            </w:r>
          </w:p>
        </w:tc>
        <w:tc>
          <w:tcPr>
            <w:tcW w:type="dxa" w:w="4808"/>
            <w:vAlign w:val="center"/>
          </w:tcPr>
          <w:p w14:paraId="61FAC2C4"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9,511.11</w:t>
            </w:r>
          </w:p>
        </w:tc>
      </w:tr>
      <w:tr w14:paraId="617FE4E0" w14:textId="77777777" w:rsidR="00D06738" w:rsidRPr="00FF6B9A">
        <w:tc>
          <w:tcPr>
            <w:tcW w:type="dxa" w:w="1235"/>
            <w:vAlign w:val="center"/>
          </w:tcPr>
          <w:p w14:paraId="0DE5BCEB"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5</w:t>
            </w:r>
          </w:p>
        </w:tc>
        <w:tc>
          <w:tcPr>
            <w:tcW w:type="dxa" w:w="2470"/>
            <w:vAlign w:val="center"/>
          </w:tcPr>
          <w:p w14:paraId="418D350C"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应收申购款</w:t>
            </w:r>
          </w:p>
        </w:tc>
        <w:tc>
          <w:tcPr>
            <w:tcW w:type="dxa" w:w="4808"/>
            <w:vAlign w:val="center"/>
          </w:tcPr>
          <w:p w14:paraId="6138F79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372,454.63</w:t>
            </w:r>
          </w:p>
        </w:tc>
      </w:tr>
      <w:tr w14:paraId="2FF8C6CF" w14:textId="77777777" w:rsidR="00D06738" w:rsidRPr="00FF6B9A">
        <w:tc>
          <w:tcPr>
            <w:tcW w:type="dxa" w:w="1235"/>
            <w:vAlign w:val="center"/>
          </w:tcPr>
          <w:p w14:paraId="027C50F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6</w:t>
            </w:r>
          </w:p>
        </w:tc>
        <w:tc>
          <w:tcPr>
            <w:tcW w:type="dxa" w:w="2470"/>
            <w:vAlign w:val="center"/>
          </w:tcPr>
          <w:p w14:paraId="763B340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其他应收款</w:t>
            </w:r>
          </w:p>
        </w:tc>
        <w:tc>
          <w:tcPr>
            <w:tcW w:type="dxa" w:w="4808"/>
            <w:vAlign w:val="center"/>
          </w:tcPr>
          <w:p w14:paraId="5846D225"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72C6A37" w14:textId="77777777" w:rsidR="00D06738" w:rsidRPr="00FF6B9A">
        <w:tc>
          <w:tcPr>
            <w:tcW w:type="dxa" w:w="1235"/>
            <w:vAlign w:val="center"/>
          </w:tcPr>
          <w:p w14:paraId="75EFC63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7</w:t>
            </w:r>
          </w:p>
        </w:tc>
        <w:tc>
          <w:tcPr>
            <w:tcW w:type="dxa" w:w="2470"/>
            <w:vAlign w:val="center"/>
          </w:tcPr>
          <w:p w14:paraId="0A943614"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待摊费用</w:t>
            </w:r>
          </w:p>
        </w:tc>
        <w:tc>
          <w:tcPr>
            <w:tcW w:type="dxa" w:w="4808"/>
            <w:vAlign w:val="center"/>
          </w:tcPr>
          <w:p w14:paraId="72EB47B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EB71240" w14:textId="77777777" w:rsidR="00D06738" w:rsidRPr="00FF6B9A">
        <w:tc>
          <w:tcPr>
            <w:tcW w:type="dxa" w:w="1235"/>
            <w:vAlign w:val="center"/>
          </w:tcPr>
          <w:p w14:paraId="4CA5E701"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lastRenderedPageBreak/>
              <w:t>8</w:t>
            </w:r>
          </w:p>
        </w:tc>
        <w:tc>
          <w:tcPr>
            <w:tcW w:type="dxa" w:w="2470"/>
            <w:vAlign w:val="center"/>
          </w:tcPr>
          <w:p w14:paraId="139BE609"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w:t>
            </w:r>
          </w:p>
        </w:tc>
        <w:tc>
          <w:tcPr>
            <w:tcW w:type="dxa" w:w="4808"/>
            <w:vAlign w:val="center"/>
          </w:tcPr>
          <w:p w14:paraId="5ED4A47C"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A99357C" w14:textId="77777777" w:rsidR="00D06738" w:rsidRPr="00FF6B9A">
        <w:tc>
          <w:tcPr>
            <w:tcW w:type="dxa" w:w="1235"/>
            <w:vAlign w:val="center"/>
          </w:tcPr>
          <w:p w14:paraId="7043D59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9</w:t>
            </w:r>
          </w:p>
        </w:tc>
        <w:tc>
          <w:tcPr>
            <w:tcW w:type="dxa" w:w="2470"/>
            <w:vAlign w:val="center"/>
          </w:tcPr>
          <w:p w14:paraId="756733B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合计</w:t>
            </w:r>
          </w:p>
        </w:tc>
        <w:tc>
          <w:tcPr>
            <w:tcW w:type="dxa" w:w="4808"/>
            <w:vAlign w:val="center"/>
          </w:tcPr>
          <w:p w14:paraId="1336DBC1"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605,443.84</w:t>
            </w:r>
          </w:p>
        </w:tc>
      </w:tr>
    </w:tbl>
    <w:p w14:paraId="4676AA60"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5172EF34"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11.4</w:t>
      </w:r>
      <w:r w:rsidRPr="00FF6B9A">
        <w:rPr>
          <w:rFonts w:eastAsiaTheme="minorEastAsia"/>
          <w:b/>
          <w:bCs/>
          <w:color w:themeColor="text1" w:val="000000"/>
          <w:kern w:val="0"/>
          <w:sz w:val="24"/>
          <w:szCs w:val="24"/>
        </w:rPr>
        <w:t>报告期末持有的处于转股期的可转换债券明细</w:t>
      </w:r>
    </w:p>
    <w:p w14:paraId="0C2B484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本基金本报告期末未持有处于转股期的可转换债券。</w:t>
      </w:r>
    </w:p>
    <w:p w14:paraId="73809093"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26374DD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11.5</w:t>
      </w:r>
      <w:r w:rsidRPr="00FF6B9A">
        <w:rPr>
          <w:rFonts w:eastAsiaTheme="minorEastAsia"/>
          <w:b/>
          <w:bCs/>
          <w:color w:themeColor="text1" w:val="000000"/>
          <w:kern w:val="0"/>
          <w:sz w:val="24"/>
          <w:szCs w:val="24"/>
        </w:rPr>
        <w:t>报告期末前十名股票中存在流通受限情况的说明</w:t>
      </w:r>
    </w:p>
    <w:tbl>
      <w:tblPr>
        <w:tblStyle w:val="aff4"/>
        <w:tblW w:type="dxa" w:w="8513"/>
        <w:tblInd w:type="dxa" w:w="15"/>
        <w:tblLayout w:type="fixed"/>
        <w:tblLook w:firstColumn="1" w:firstRow="1" w:lastColumn="0" w:lastRow="0" w:noHBand="0" w:noVBand="1" w:val="04A0"/>
      </w:tblPr>
      <w:tblGrid>
        <w:gridCol w:w="1083"/>
        <w:gridCol w:w="1302"/>
        <w:gridCol w:w="1301"/>
        <w:gridCol w:w="1805"/>
        <w:gridCol w:w="1655"/>
        <w:gridCol w:w="1367"/>
      </w:tblGrid>
      <w:tr w14:paraId="0E222246" w14:textId="77777777" w:rsidR="00D06738" w:rsidRPr="00FF6B9A">
        <w:tc>
          <w:tcPr>
            <w:tcW w:type="dxa" w:w="1083"/>
            <w:vAlign w:val="center"/>
          </w:tcPr>
          <w:p w14:paraId="32B2F7DE"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1302"/>
            <w:vAlign w:val="center"/>
          </w:tcPr>
          <w:p w14:paraId="16DBDEA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股票代码</w:t>
            </w:r>
          </w:p>
        </w:tc>
        <w:tc>
          <w:tcPr>
            <w:tcW w:type="dxa" w:w="1301"/>
            <w:vAlign w:val="center"/>
          </w:tcPr>
          <w:p w14:paraId="0BF9B92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股票名称</w:t>
            </w:r>
          </w:p>
        </w:tc>
        <w:tc>
          <w:tcPr>
            <w:tcW w:type="dxa" w:w="1805"/>
            <w:vAlign w:val="center"/>
          </w:tcPr>
          <w:p w14:paraId="0641237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流通受限部分的公允价值</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655"/>
            <w:vAlign w:val="center"/>
          </w:tcPr>
          <w:p w14:paraId="0BFAC10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占基金资产净值比例</w:t>
            </w:r>
            <w:r w:rsidRPr="00FF6B9A">
              <w:rPr>
                <w:rFonts w:eastAsiaTheme="minorEastAsia"/>
                <w:color w:themeColor="text1" w:val="000000"/>
                <w:kern w:val="0"/>
              </w:rPr>
              <w:t>(%)</w:t>
            </w:r>
          </w:p>
        </w:tc>
        <w:tc>
          <w:tcPr>
            <w:tcW w:type="dxa" w:w="1367"/>
            <w:vAlign w:val="center"/>
          </w:tcPr>
          <w:p w14:paraId="2DCC353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流通受限情况说明</w:t>
            </w:r>
          </w:p>
        </w:tc>
      </w:tr>
      <w:tr>
        <w:tc>
          <w:tcPr>
            <w:vAlign w:val="center"/>
          </w:tcPr>
          <w:p>
            <w:pPr>
              <w:jc w:val="center"/>
            </w:pPr>
            <w:r>
              <w:rPr>
                <w:rFonts w:eastAsiaTheme="minorEastAsia"/>
                <w:color w:themeColor="text1" w:val="000000"/>
                <w:kern w:val="0"/>
              </w:rPr>
              <w:t>1</w:t>
            </w:r>
          </w:p>
        </w:tc>
        <w:tc>
          <w:tcPr>
            <w:vAlign w:val="center"/>
          </w:tcPr>
          <w:p>
            <w:pPr>
              <w:jc w:val="center"/>
            </w:pPr>
            <w:r>
              <w:rPr>
                <w:rFonts w:eastAsiaTheme="minorEastAsia"/>
                <w:color w:themeColor="text1" w:val="000000"/>
                <w:kern w:val="0"/>
              </w:rPr>
              <w:t>603799</w:t>
            </w:r>
          </w:p>
        </w:tc>
        <w:tc>
          <w:tcPr>
            <w:vAlign w:val="center"/>
          </w:tcPr>
          <w:p>
            <w:pPr>
              <w:jc w:val="center"/>
            </w:pPr>
            <w:r>
              <w:rPr>
                <w:rFonts w:eastAsiaTheme="minorEastAsia"/>
                <w:color w:themeColor="text1" w:val="000000"/>
                <w:kern w:val="0"/>
              </w:rPr>
              <w:t>华友钴业</w:t>
            </w:r>
          </w:p>
        </w:tc>
        <w:tc>
          <w:tcPr>
            <w:vAlign w:val="center"/>
          </w:tcPr>
          <w:p>
            <w:pPr>
              <w:jc w:val="right"/>
            </w:pPr>
            <w:r>
              <w:rPr>
                <w:rFonts w:eastAsiaTheme="minorEastAsia"/>
                <w:color w:themeColor="text1" w:val="000000"/>
                <w:kern w:val="0"/>
              </w:rPr>
              <w:t>6,594,239.16</w:t>
            </w:r>
          </w:p>
        </w:tc>
        <w:tc>
          <w:tcPr>
            <w:vAlign w:val="center"/>
          </w:tcPr>
          <w:p>
            <w:pPr>
              <w:jc w:val="right"/>
            </w:pPr>
            <w:r>
              <w:rPr>
                <w:rFonts w:eastAsiaTheme="minorEastAsia"/>
                <w:color w:themeColor="text1" w:val="000000"/>
                <w:kern w:val="0"/>
              </w:rPr>
              <w:t>1.10</w:t>
            </w:r>
          </w:p>
        </w:tc>
        <w:tc>
          <w:tcPr>
            <w:vAlign w:val="center"/>
          </w:tcPr>
          <w:p>
            <w:pPr>
              <w:jc w:val="right"/>
            </w:pPr>
            <w:r>
              <w:rPr>
                <w:rFonts w:eastAsiaTheme="minorEastAsia"/>
                <w:color w:themeColor="text1" w:val="000000"/>
                <w:kern w:val="0"/>
              </w:rPr>
              <w:t>非公开发行限售</w:t>
            </w:r>
          </w:p>
        </w:tc>
      </w:tr>
    </w:tbl>
    <w:p w14:paraId="6F6FE44E"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329684B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5.11.6</w:t>
      </w:r>
      <w:r w:rsidRPr="00FF6B9A">
        <w:rPr>
          <w:rFonts w:eastAsiaTheme="minorEastAsia"/>
          <w:b/>
          <w:bCs/>
          <w:color w:themeColor="text1" w:val="000000"/>
          <w:kern w:val="0"/>
          <w:sz w:val="24"/>
          <w:szCs w:val="24"/>
        </w:rPr>
        <w:t>投资组合报告附注的其他文字描述部分</w:t>
      </w:r>
    </w:p>
    <w:p w14:paraId="536D339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因四舍五入原因，投资组合报告中分项之和与合计可能存在尾差。</w:t>
      </w:r>
    </w:p>
    <w:p w14:paraId="1F6232E1"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§6  </w:t>
      </w:r>
      <w:r w:rsidRPr="00FF6B9A">
        <w:rPr>
          <w:rFonts w:eastAsiaTheme="minorEastAsia"/>
          <w:color w:themeColor="text1" w:val="000000"/>
          <w:kern w:val="0"/>
          <w:sz w:val="24"/>
          <w:szCs w:val="24"/>
        </w:rPr>
        <w:t>开放式基金份额变动</w:t>
      </w:r>
    </w:p>
    <w:p w14:paraId="1546AC98"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sz w:val="24"/>
          <w:szCs w:val="24"/>
        </w:rPr>
      </w:pPr>
      <w:r w:rsidRPr="00FF6B9A">
        <w:rPr>
          <w:rFonts w:eastAsiaTheme="minor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w:t>
            </w:r>
            <w:proofErr w:type="gramStart"/>
            <w:r w:rsidRPr="00FF6B9A">
              <w:rPr>
                <w:rFonts w:eastAsiaTheme="minorEastAsia"/>
                <w:color w:themeColor="text1" w:val="000000"/>
                <w:kern w:val="0"/>
              </w:rPr>
              <w:t>初基金</w:t>
            </w:r>
            <w:proofErr w:type="gramEnd"/>
            <w:r w:rsidRPr="00FF6B9A">
              <w:rPr>
                <w:rFonts w:eastAsiaTheme="minor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gramEnd"/>
            <w:r w:rsidRPr="00FF6B9A">
              <w:rPr>
                <w:rFonts w:eastAsiaTheme="minorEastAsia"/>
                <w:color w:themeColor="text1" w:val="000000"/>
              </w:rPr>
              <w:t>184,729,623.96</w:t>
            </w:r>
          </w:p>
        </w:tc>
      </w:tr>
      <w:tr w14:paraId="464FC419"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3,739,195.70</w:t>
            </w:r>
          </w:p>
        </w:tc>
      </w:tr>
      <w:tr w14:paraId="17EE7B1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减：</w:t>
            </w: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17,294,635.81</w:t>
            </w:r>
          </w:p>
        </w:tc>
      </w:tr>
      <w:tr w14:paraId="465F9B6E"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w:t>
            </w:r>
          </w:p>
        </w:tc>
      </w:tr>
      <w:tr w14:paraId="05E8419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171,174,183.85</w:t>
            </w:r>
          </w:p>
        </w:tc>
      </w:tr>
    </w:tbl>
    <w:p w14:paraId="3C94584F" w14:textId="77777777" w:rsidR="00D06738" w:rsidRDefault="00454D20" w:rsidRPr="00FF6B9A">
      <w:pPr>
        <w:pStyle w:val="1"/>
        <w:tabs>
          <w:tab w:pos="4156" w:val="center"/>
          <w:tab w:pos="8312" w:val="right"/>
        </w:tabs>
        <w:spacing w:after="312" w:afterLines="100" w:before="312" w:beforeLines="100" w:line="360" w:lineRule="auto"/>
        <w:jc w:val="center"/>
        <w:rPr>
          <w:color w:themeColor="text1" w:val="00000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§7  </w:t>
      </w:r>
      <w:r w:rsidRPr="00FF6B9A">
        <w:rPr>
          <w:color w:themeColor="text1" w:val="000000"/>
          <w:sz w:val="24"/>
          <w:szCs w:val="24"/>
        </w:rPr>
        <w:t>基金管理人运用</w:t>
      </w:r>
      <w:proofErr w:type="gramStart"/>
      <w:r w:rsidRPr="00FF6B9A">
        <w:rPr>
          <w:color w:themeColor="text1" w:val="000000"/>
          <w:sz w:val="24"/>
          <w:szCs w:val="24"/>
        </w:rPr>
        <w:t>固有资金</w:t>
      </w:r>
      <w:proofErr w:type="gramEnd"/>
      <w:r w:rsidRPr="00FF6B9A">
        <w:rPr>
          <w:color w:themeColor="text1" w:val="000000"/>
          <w:sz w:val="24"/>
          <w:szCs w:val="24"/>
        </w:rPr>
        <w:t>投资本基金情况</w:t>
      </w:r>
    </w:p>
    <w:p w14:paraId="220CB641" w14:textId="77777777" w:rsidR="00D06738" w:rsidRDefault="00454D20" w:rsidRPr="00FF6B9A">
      <w:pPr>
        <w:spacing w:line="360" w:lineRule="auto"/>
        <w:jc w:val="left"/>
        <w:rPr>
          <w:color w:themeColor="text1" w:val="000000"/>
          <w:sz w:val="24"/>
          <w:szCs w:val="24"/>
        </w:rPr>
      </w:pPr>
      <w:r w:rsidRPr="00FF6B9A">
        <w:rPr>
          <w:b/>
          <w:color w:themeColor="text1" w:val="000000"/>
          <w:sz w:val="24"/>
        </w:rPr>
        <w:t/>
      </w:r>
      <w:proofErr w:type="spellStart"/>
      <w:r w:rsidRPr="00FF6B9A">
        <w:rPr>
          <w:b/>
          <w:color w:themeColor="text1" w:val="000000"/>
          <w:sz w:val="24"/>
        </w:rPr>
        <w:t/>
      </w:r>
      <w:proofErr w:type="gramStart"/>
      <w:r w:rsidRPr="00FF6B9A">
        <w:rPr>
          <w:b/>
          <w:color w:themeColor="text1" w:val="000000"/>
          <w:sz w:val="24"/>
        </w:rPr>
        <w:t/>
      </w:r>
      <w:proofErr w:type="spellEnd"/>
      <w:r w:rsidRPr="00FF6B9A">
        <w:rPr>
          <w:b/>
          <w:color w:themeColor="text1" w:val="000000"/>
          <w:sz w:val="24"/>
        </w:rPr>
        <w:t/>
      </w:r>
      <w:proofErr w:type="gramEnd"/>
      <w:r w:rsidRPr="00FF6B9A">
        <w:rPr>
          <w:b/>
          <w:color w:themeColor="text1" w:val="000000"/>
          <w:sz w:val="24"/>
        </w:rPr>
        <w:t xml:space="preserve">7.1 </w:t>
      </w:r>
      <w:r w:rsidRPr="00FF6B9A">
        <w:rPr>
          <w:b/>
          <w:color w:themeColor="text1" w:val="000000"/>
          <w:sz w:val="24"/>
        </w:rPr>
        <w:t>基金管理人持有本基金份额变动情况</w:t>
      </w:r>
    </w:p>
    <w:p w14:paraId="3105CFED"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无。</w:t>
      </w:r>
    </w:p>
    <w:p w14:paraId="470676A3"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rPr>
      </w:pPr>
    </w:p>
    <w:p w14:paraId="33A50992"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§8  </w:t>
      </w:r>
      <w:r w:rsidRPr="00FF6B9A">
        <w:rPr>
          <w:rFonts w:eastAsiaTheme="minorEastAsia"/>
          <w:color w:themeColor="text1" w:val="000000"/>
          <w:kern w:val="0"/>
          <w:sz w:val="24"/>
          <w:szCs w:val="24"/>
        </w:rPr>
        <w:t>影响投资者决策的其他重要信息</w:t>
      </w:r>
    </w:p>
    <w:p w14:paraId="5D6D0054" w14:textId="77777777" w:rsidR="00D06738" w:rsidRDefault="00454D20" w:rsidRPr="00FF6B9A">
      <w:pPr>
        <w:autoSpaceDE w:val="0"/>
        <w:autoSpaceDN w:val="0"/>
        <w:adjustRightInd w:val="0"/>
        <w:spacing w:line="360" w:lineRule="auto"/>
        <w:jc w:val="left"/>
        <w:rPr>
          <w:b/>
          <w:bCs/>
          <w:color w:val="000000"/>
          <w:kern w:val="0"/>
          <w:sz w:val="24"/>
          <w:szCs w:val="24"/>
        </w:rPr>
      </w:pPr>
      <w:r w:rsidRPr="00FF6B9A">
        <w:rPr>
          <w:b/>
          <w:color w:val="000000"/>
          <w:kern w:val="0"/>
          <w:sz w:val="24"/>
          <w:szCs w:val="24"/>
        </w:rPr>
        <w:t/>
      </w:r>
      <w:proofErr w:type="spellStart"/>
      <w:r w:rsidRPr="00FF6B9A">
        <w:rPr>
          <w:b/>
          <w:color w:val="000000"/>
          <w:kern w:val="0"/>
          <w:sz w:val="24"/>
          <w:szCs w:val="24"/>
        </w:rPr>
        <w:t/>
      </w:r>
      <w:proofErr w:type="gramStart"/>
      <w:r w:rsidRPr="00FF6B9A">
        <w:rPr>
          <w:b/>
          <w:color w:val="000000"/>
          <w:kern w:val="0"/>
          <w:sz w:val="24"/>
          <w:szCs w:val="24"/>
        </w:rPr>
        <w:t/>
      </w:r>
      <w:proofErr w:type="spellEnd"/>
      <w:r w:rsidRPr="00FF6B9A">
        <w:rPr>
          <w:b/>
          <w:color w:val="000000"/>
          <w:kern w:val="0"/>
          <w:sz w:val="24"/>
          <w:szCs w:val="24"/>
        </w:rPr>
        <w:t/>
      </w:r>
      <w:r w:rsidRPr="00FF6B9A">
        <w:rPr>
          <w:b/>
          <w:bCs/>
          <w:color w:val="000000"/>
          <w:kern w:val="0"/>
          <w:sz w:val="24"/>
          <w:szCs w:val="24"/>
        </w:rPr>
        <w:t/>
      </w:r>
      <w:proofErr w:type="gramEnd"/>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6DA9C89A" w14:textId="77777777" w:rsidR="00D06738" w:rsidRPr="00FF6B9A">
        <w:tc>
          <w:tcPr>
            <w:tcW w:type="dxa" w:w="993"/>
            <w:vMerge w:val="restart"/>
            <w:vAlign w:val="center"/>
          </w:tcPr>
          <w:p w14:paraId="39B26BA3" w14:textId="77777777" w:rsidR="00D06738" w:rsidRDefault="00454D20" w:rsidRPr="00FF6B9A">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w:r>
            <w:proofErr w:type="spellStart"/>
            <w:r w:rsidRPr="00FF6B9A">
              <w:rPr>
                <w:color w:val="000000"/>
                <w:kern w:val="0"/>
              </w:rPr>
              <w:t/>
            </w:r>
            <w:proofErr w:type="spellEnd"/>
            <w:r w:rsidRPr="00FF6B9A">
              <w:rPr>
                <w:color w:val="000000"/>
                <w:kern w:val="0"/>
              </w:rPr>
              <w:t/>
            </w:r>
            <w:proofErr w:type="spellStart"/>
            <w:r w:rsidRPr="00FF6B9A">
              <w:rPr>
                <w:color w:val="000000"/>
                <w:kern w:val="0"/>
              </w:rPr>
              <w:t/>
            </w:r>
            <w:proofErr w:type="spellEnd"/>
            <w:r w:rsidRPr="00FF6B9A">
              <w:rPr>
                <w:color w:val="000000"/>
                <w:kern w:val="0"/>
              </w:rPr>
              <w:t xml:space="preserve">  </w:t>
            </w:r>
          </w:p>
        </w:tc>
        <w:tc>
          <w:tcPr>
            <w:tcW w:type="dxa" w:w="5670"/>
            <w:gridSpan w:val="5"/>
            <w:vAlign w:val="center"/>
          </w:tcPr>
          <w:p w14:paraId="0CD80CE2" w14:textId="77777777" w:rsidR="00D06738" w:rsidRDefault="00454D20" w:rsidRPr="00FF6B9A">
            <w:pPr>
              <w:autoSpaceDE w:val="0"/>
              <w:autoSpaceDN w:val="0"/>
              <w:adjustRightInd w:val="0"/>
              <w:jc w:val="center"/>
              <w:rPr>
                <w:b/>
                <w:bCs/>
                <w:color w:val="000000"/>
                <w:kern w:val="0"/>
              </w:rPr>
            </w:pPr>
            <w:r w:rsidRPr="00FF6B9A">
              <w:rPr>
                <w:color w:val="000000"/>
                <w:kern w:val="0"/>
              </w:rPr>
              <w:t>报告期内持有基金份额变化情况</w:t>
            </w:r>
          </w:p>
        </w:tc>
        <w:tc>
          <w:tcPr>
            <w:tcW w:type="dxa" w:w="2549"/>
            <w:gridSpan w:val="2"/>
            <w:vAlign w:val="center"/>
          </w:tcPr>
          <w:p w14:paraId="5772E436" w14:textId="77777777" w:rsidR="00D06738" w:rsidRDefault="00454D20" w:rsidRPr="00FF6B9A">
            <w:pPr>
              <w:autoSpaceDE w:val="0"/>
              <w:autoSpaceDN w:val="0"/>
              <w:adjustRightInd w:val="0"/>
              <w:jc w:val="center"/>
              <w:rPr>
                <w:b/>
                <w:bCs/>
                <w:color w:val="000000"/>
                <w:kern w:val="0"/>
              </w:rPr>
            </w:pPr>
            <w:r w:rsidRPr="00FF6B9A">
              <w:rPr>
                <w:color w:val="000000"/>
                <w:kern w:val="0"/>
              </w:rPr>
              <w:t>报告期末持有基金情况</w:t>
            </w:r>
          </w:p>
        </w:tc>
      </w:tr>
      <w:tr w14:paraId="217CE8FE" w14:textId="77777777" w:rsidR="00D06738" w:rsidRPr="00FF6B9A">
        <w:tc>
          <w:tcPr>
            <w:tcW w:type="dxa" w:w="993"/>
            <w:vMerge/>
            <w:vAlign w:val="center"/>
          </w:tcPr>
          <w:p w14:paraId="2581A5BF" w14:textId="77777777" w:rsidR="00D06738" w:rsidRDefault="00D06738" w:rsidRPr="00FF6B9A">
            <w:pPr>
              <w:autoSpaceDE w:val="0"/>
              <w:autoSpaceDN w:val="0"/>
              <w:adjustRightInd w:val="0"/>
              <w:jc w:val="center"/>
              <w:rPr>
                <w:b/>
                <w:bCs/>
                <w:color w:val="000000"/>
                <w:kern w:val="0"/>
              </w:rPr>
            </w:pPr>
          </w:p>
        </w:tc>
        <w:tc>
          <w:tcPr>
            <w:tcW w:type="dxa" w:w="992"/>
            <w:vAlign w:val="center"/>
          </w:tcPr>
          <w:p w14:paraId="79C05624" w14:textId="77777777" w:rsidR="00D06738" w:rsidRDefault="00454D20" w:rsidRPr="00FF6B9A">
            <w:pPr>
              <w:autoSpaceDE w:val="0"/>
              <w:autoSpaceDN w:val="0"/>
              <w:adjustRightInd w:val="0"/>
              <w:jc w:val="center"/>
              <w:rPr>
                <w:b/>
                <w:bCs/>
                <w:color w:val="000000"/>
                <w:kern w:val="0"/>
              </w:rPr>
            </w:pPr>
            <w:r w:rsidRPr="00FF6B9A">
              <w:rPr>
                <w:color w:val="000000"/>
                <w:kern w:val="0"/>
              </w:rPr>
              <w:t>序号</w:t>
            </w:r>
          </w:p>
        </w:tc>
        <w:tc>
          <w:tcPr>
            <w:tcW w:type="dxa" w:w="1843"/>
            <w:vAlign w:val="center"/>
          </w:tcPr>
          <w:p w14:paraId="62B5A766" w14:textId="77777777" w:rsidR="00D06738" w:rsidRDefault="00454D20" w:rsidRPr="00FF6B9A">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type="dxa" w:w="851"/>
            <w:vAlign w:val="center"/>
          </w:tcPr>
          <w:p w14:paraId="6DE3EBDD" w14:textId="77777777" w:rsidR="00D06738" w:rsidRDefault="00454D20" w:rsidRPr="00FF6B9A">
            <w:pPr>
              <w:widowControl/>
              <w:jc w:val="center"/>
              <w:rPr>
                <w:b/>
                <w:bCs/>
                <w:color w:val="000000"/>
                <w:kern w:val="0"/>
              </w:rPr>
            </w:pPr>
            <w:r w:rsidRPr="00FF6B9A">
              <w:rPr>
                <w:color w:val="000000"/>
                <w:kern w:val="0"/>
              </w:rPr>
              <w:t>期初份额</w:t>
            </w:r>
          </w:p>
        </w:tc>
        <w:tc>
          <w:tcPr>
            <w:tcW w:type="dxa" w:w="850"/>
            <w:vAlign w:val="center"/>
          </w:tcPr>
          <w:p w14:paraId="5BDC6822" w14:textId="77777777" w:rsidR="00D06738" w:rsidRDefault="00454D20" w:rsidRPr="00FF6B9A">
            <w:pPr>
              <w:widowControl/>
              <w:jc w:val="center"/>
              <w:rPr>
                <w:b/>
                <w:bCs/>
                <w:color w:val="000000"/>
                <w:kern w:val="0"/>
              </w:rPr>
            </w:pPr>
            <w:r w:rsidRPr="00FF6B9A">
              <w:rPr>
                <w:color w:val="000000"/>
                <w:kern w:val="0"/>
              </w:rPr>
              <w:t>申购份额</w:t>
            </w:r>
          </w:p>
        </w:tc>
        <w:tc>
          <w:tcPr>
            <w:tcW w:type="dxa" w:w="1134"/>
            <w:vAlign w:val="center"/>
          </w:tcPr>
          <w:p w14:paraId="3193BB17" w14:textId="77777777" w:rsidR="00D06738" w:rsidRDefault="00454D20" w:rsidRPr="00FF6B9A">
            <w:pPr>
              <w:widowControl/>
              <w:jc w:val="center"/>
              <w:rPr>
                <w:b/>
                <w:bCs/>
                <w:color w:val="000000"/>
                <w:kern w:val="0"/>
              </w:rPr>
            </w:pPr>
            <w:r w:rsidRPr="00FF6B9A">
              <w:rPr>
                <w:color w:val="000000"/>
                <w:kern w:val="0"/>
              </w:rPr>
              <w:t>赎回份额</w:t>
            </w:r>
          </w:p>
        </w:tc>
        <w:tc>
          <w:tcPr>
            <w:tcW w:type="dxa" w:w="1419"/>
            <w:vAlign w:val="center"/>
          </w:tcPr>
          <w:p w14:paraId="0B7D39ED" w14:textId="77777777" w:rsidR="00D06738" w:rsidRDefault="00454D20" w:rsidRPr="00FF6B9A">
            <w:pPr>
              <w:autoSpaceDE w:val="0"/>
              <w:autoSpaceDN w:val="0"/>
              <w:adjustRightInd w:val="0"/>
              <w:jc w:val="center"/>
              <w:rPr>
                <w:b/>
                <w:bCs/>
                <w:color w:val="000000"/>
                <w:kern w:val="0"/>
              </w:rPr>
            </w:pPr>
            <w:r w:rsidRPr="00FF6B9A">
              <w:rPr>
                <w:color w:val="000000"/>
                <w:kern w:val="0"/>
              </w:rPr>
              <w:t>持有份额</w:t>
            </w:r>
          </w:p>
        </w:tc>
        <w:tc>
          <w:tcPr>
            <w:tcW w:type="dxa" w:w="1130"/>
            <w:vAlign w:val="center"/>
          </w:tcPr>
          <w:p w14:paraId="5E23E108" w14:textId="77777777" w:rsidR="00D06738" w:rsidRDefault="00454D20" w:rsidRPr="00FF6B9A">
            <w:pPr>
              <w:autoSpaceDE w:val="0"/>
              <w:autoSpaceDN w:val="0"/>
              <w:adjustRightInd w:val="0"/>
              <w:jc w:val="center"/>
              <w:rPr>
                <w:b/>
                <w:bCs/>
                <w:color w:val="000000"/>
                <w:kern w:val="0"/>
              </w:rPr>
            </w:pPr>
            <w:r w:rsidRPr="00FF6B9A">
              <w:rPr>
                <w:color w:val="000000"/>
                <w:kern w:val="0"/>
              </w:rPr>
              <w:t>份额占比</w:t>
            </w:r>
          </w:p>
        </w:tc>
      </w:tr>
      <w:tr>
        <w:tc>
          <w:tcPr>
            <w:vMerge w:val="restart"/>
            <w:vAlign w:val="center"/>
          </w:tcPr>
          <w:p>
            <w:r>
              <w:rPr>
                <w:bCs/>
                <w:color w:val="000000"/>
                <w:kern w:val="0"/>
              </w:rPr>
              <w:t>机构</w:t>
            </w:r>
          </w:p>
        </w:tc>
        <w:tc>
          <w:tcPr>
            <w:vAlign w:val="center"/>
          </w:tcPr>
          <w:p>
            <w:pPr>
              <w:jc w:val="center"/>
            </w:pPr>
            <w:r>
              <w:rPr>
                <w:color w:val="000000"/>
                <w:kern w:val="0"/>
              </w:rPr>
              <w:t>1</w:t>
            </w:r>
          </w:p>
        </w:tc>
        <w:tc>
          <w:tcPr>
            <w:vAlign w:val="center"/>
          </w:tcPr>
          <w:p>
            <w:pPr>
              <w:jc w:val="center"/>
            </w:pPr>
            <w:r>
              <w:rPr>
                <w:color w:val="000000"/>
                <w:kern w:val="0"/>
              </w:rPr>
              <w:t>20210401-20210630</w:t>
            </w:r>
          </w:p>
        </w:tc>
        <w:tc>
          <w:tcPr>
            <w:vAlign w:val="center"/>
          </w:tcPr>
          <w:p>
            <w:pPr>
              <w:jc w:val="center"/>
            </w:pPr>
            <w:r>
              <w:rPr>
                <w:color w:val="000000"/>
                <w:kern w:val="0"/>
              </w:rPr>
              <w:t>40,003,000.00</w:t>
            </w:r>
          </w:p>
        </w:tc>
        <w:tc>
          <w:tcPr>
            <w:vAlign w:val="center"/>
          </w:tcPr>
          <w:p>
            <w:pPr>
              <w:jc w:val="center"/>
            </w:pPr>
            <w:r>
              <w:rPr>
                <w:color w:val="000000"/>
                <w:kern w:val="0"/>
              </w:rPr>
              <w:t>0.00</w:t>
            </w:r>
          </w:p>
        </w:tc>
        <w:tc>
          <w:tcPr>
            <w:vAlign w:val="center"/>
          </w:tcPr>
          <w:p>
            <w:pPr>
              <w:jc w:val="center"/>
            </w:pPr>
            <w:r>
              <w:rPr>
                <w:color w:val="000000"/>
                <w:kern w:val="0"/>
              </w:rPr>
              <w:t>0.00</w:t>
            </w:r>
          </w:p>
        </w:tc>
        <w:tc>
          <w:tcPr>
            <w:vAlign w:val="center"/>
          </w:tcPr>
          <w:p>
            <w:pPr>
              <w:jc w:val="center"/>
            </w:pPr>
            <w:r>
              <w:rPr>
                <w:color w:val="000000"/>
                <w:kern w:val="0"/>
              </w:rPr>
              <w:t>40,003,000.00</w:t>
            </w:r>
          </w:p>
        </w:tc>
        <w:tc>
          <w:tcPr>
            <w:vAlign w:val="center"/>
          </w:tcPr>
          <w:p>
            <w:pPr>
              <w:jc w:val="center"/>
            </w:pPr>
            <w:r>
              <w:rPr>
                <w:color w:val="000000"/>
                <w:kern w:val="0"/>
              </w:rPr>
              <w:t>23.37%</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79C2CD83" w14:textId="77777777" w:rsidR="00D06738" w:rsidRPr="00FF6B9A">
        <w:tc>
          <w:tcPr>
            <w:tcW w:type="dxa" w:w="9212"/>
            <w:vAlign w:val="center"/>
          </w:tcPr>
          <w:p w14:paraId="3A2D5FD9" w14:textId="77777777" w:rsidR="00D06738" w:rsidRDefault="00454D20" w:rsidRPr="00FF6B9A">
            <w:pPr>
              <w:autoSpaceDE w:val="0"/>
              <w:autoSpaceDN w:val="0"/>
              <w:adjustRightInd w:val="0"/>
              <w:jc w:val="center"/>
              <w:rPr>
                <w:kern w:val="0"/>
              </w:rPr>
            </w:pPr>
            <w:r w:rsidRPr="00FF6B9A">
              <w:rPr>
                <w:color w:val="000000"/>
                <w:kern w:val="0"/>
              </w:rPr>
              <w:t>产品特有风险</w:t>
            </w:r>
            <w:r w:rsidRPr="00FF6B9A">
              <w:rPr>
                <w:kern w:val="0"/>
              </w:rPr>
              <w:t/>
            </w:r>
            <w:proofErr w:type="spellStart"/>
            <w:r w:rsidRPr="00FF6B9A">
              <w:rPr>
                <w:kern w:val="0"/>
              </w:rPr>
              <w:t/>
            </w:r>
            <w:proofErr w:type="spellEnd"/>
            <w:r w:rsidRPr="00FF6B9A">
              <w:rPr>
                <w:kern w:val="0"/>
              </w:rPr>
              <w:t/>
            </w:r>
          </w:p>
        </w:tc>
      </w:tr>
      <w:tr w14:paraId="2BCA7469" w14:textId="77777777" w:rsidR="00D06738" w:rsidRPr="00FF6B9A">
        <w:tc>
          <w:tcPr>
            <w:tcW w:type="dxa" w:w="9212"/>
            <w:vAlign w:val="center"/>
          </w:tcPr>
          <w:p w14:paraId="415317F2" w14:textId="77777777" w:rsidR="00D06738" w:rsidRDefault="00454D20" w:rsidRPr="00FF6B9A">
            <w:pPr>
              <w:autoSpaceDE w:val="0"/>
              <w:autoSpaceDN w:val="0"/>
              <w:adjustRightInd w:val="0"/>
              <w:jc w:val="left"/>
              <w:rPr>
                <w:kern w:val="0"/>
              </w:rPr>
            </w:pPr>
            <w:r w:rsidRPr="00FF6B9A">
              <w:rPr>
                <w:kern w:val="0"/>
              </w:rPr>
              <w:t/>
            </w:r>
            <w:proofErr w:type="gramStart"/>
            <w:r w:rsidRPr="00FF6B9A">
              <w:rPr>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roofErr w:type="gramEnd"/>
            <w:r w:rsidRPr="00FF6B9A">
              <w:rPr>
                <w:kern w:val="0"/>
              </w:rPr>
              <w:t/>
            </w:r>
          </w:p>
        </w:tc>
      </w:tr>
    </w:tbl>
    <w:p w14:paraId="6765BFDC"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§9  </w:t>
      </w:r>
      <w:r w:rsidRPr="00FF6B9A">
        <w:rPr>
          <w:rFonts w:eastAsiaTheme="minorEastAsia"/>
          <w:color w:themeColor="text1" w:val="000000"/>
          <w:kern w:val="0"/>
          <w:sz w:val="24"/>
          <w:szCs w:val="24"/>
        </w:rPr>
        <w:t>备查文件目录</w:t>
      </w:r>
    </w:p>
    <w:p w14:paraId="457E531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1 </w:t>
      </w:r>
      <w:r w:rsidRPr="00FF6B9A">
        <w:rPr>
          <w:rFonts w:eastAsiaTheme="minorEastAsia"/>
          <w:b/>
          <w:bCs/>
          <w:color w:themeColor="text1" w:val="000000"/>
          <w:kern w:val="0"/>
          <w:sz w:val="24"/>
          <w:szCs w:val="24"/>
        </w:rPr>
        <w:t>备查文件目录</w:t>
      </w:r>
    </w:p>
    <w:p>
      <w:pPr>
        <w:spacing w:line="360" w:lineRule="auto"/>
        <w:ind w:firstLine="420" w:firstLineChars="200"/>
        <w:rPr>
          <w:rFonts w:eastAsiaTheme="minorEastAsia"/>
          <w:color w:themeColor="text1" w:val="000000"/>
        </w:rPr>
      </w:pPr>
      <w:r>
        <w:rPr>
          <w:rFonts w:eastAsiaTheme="minorEastAsia"/>
          <w:color w:themeColor="text1" w:val="000000"/>
        </w:rPr>
        <w:t xml:space="preserve">1. 中国证监会批准上投摩根转型动力灵活配置混合型证券投资基金设立的文件； </w:t>
      </w:r>
    </w:p>
    <w:p>
      <w:pPr>
        <w:spacing w:line="360" w:lineRule="auto"/>
        <w:ind w:firstLine="420" w:firstLineChars="200"/>
        <w:rPr>
          <w:rFonts w:eastAsiaTheme="minorEastAsia"/>
          <w:color w:themeColor="text1" w:val="000000"/>
        </w:rPr>
      </w:pPr>
      <w:r>
        <w:rPr>
          <w:rFonts w:eastAsiaTheme="minorEastAsia"/>
          <w:color w:themeColor="text1" w:val="000000"/>
        </w:rPr>
        <w:t xml:space="preserve">2. 《上投摩根转型动力灵活配置混合型证券投资基金基金合同》； </w:t>
      </w:r>
    </w:p>
    <w:p>
      <w:pPr>
        <w:spacing w:line="360" w:lineRule="auto"/>
        <w:ind w:firstLine="420" w:firstLineChars="200"/>
        <w:rPr>
          <w:rFonts w:eastAsiaTheme="minorEastAsia"/>
          <w:color w:themeColor="text1" w:val="000000"/>
        </w:rPr>
      </w:pPr>
      <w:r>
        <w:rPr>
          <w:rFonts w:eastAsiaTheme="minorEastAsia"/>
          <w:color w:themeColor="text1" w:val="000000"/>
        </w:rPr>
        <w:t xml:space="preserve">3. 《上投摩根转型动力灵活配置混合型证券投资基金基金托管协议》； </w:t>
      </w:r>
    </w:p>
    <w:p>
      <w:pPr>
        <w:spacing w:line="360" w:lineRule="auto"/>
        <w:ind w:firstLine="420" w:firstLineChars="200"/>
        <w:rPr>
          <w:rFonts w:eastAsiaTheme="minorEastAsia"/>
          <w:color w:themeColor="text1" w:val="000000"/>
        </w:rPr>
      </w:pPr>
      <w:r>
        <w:rPr>
          <w:rFonts w:eastAsiaTheme="minorEastAsia"/>
          <w:color w:themeColor="text1" w:val="000000"/>
        </w:rPr>
        <w:t xml:space="preserve">4. 《上投摩根基金管理有限公司开放式基金业务规则》； </w:t>
      </w:r>
    </w:p>
    <w:p>
      <w:pPr>
        <w:spacing w:line="360" w:lineRule="auto"/>
        <w:ind w:firstLine="420" w:firstLineChars="200"/>
        <w:rPr>
          <w:rFonts w:eastAsiaTheme="minorEastAsia"/>
          <w:color w:themeColor="text1" w:val="000000"/>
        </w:rPr>
      </w:pPr>
      <w:r>
        <w:rPr>
          <w:rFonts w:eastAsiaTheme="minorEastAsia"/>
          <w:color w:themeColor="text1" w:val="000000"/>
        </w:rPr>
        <w:t xml:space="preserve">5. 基金管理人业务资格批件、营业执照； </w:t>
      </w:r>
    </w:p>
    <w:p w14:paraId="1A471A23"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6. 基金托管人业务资格批件和营业执照。</w:t>
      </w:r>
    </w:p>
    <w:p w14:paraId="34C276B3" w14:textId="77777777" w:rsidR="00D06738" w:rsidRDefault="00D06738" w:rsidRPr="00FF6B9A">
      <w:pPr>
        <w:spacing w:line="360" w:lineRule="auto"/>
        <w:ind w:firstLine="480" w:firstLineChars="200"/>
        <w:rPr>
          <w:rFonts w:eastAsiaTheme="minorEastAsia"/>
          <w:color w:themeColor="text1" w:val="000000"/>
          <w:sz w:val="24"/>
          <w:szCs w:val="24"/>
        </w:rPr>
      </w:pPr>
    </w:p>
    <w:p w14:paraId="23507D88"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2 </w:t>
      </w:r>
      <w:r w:rsidRPr="00FF6B9A">
        <w:rPr>
          <w:rFonts w:eastAsiaTheme="minorEastAsia"/>
          <w:b/>
          <w:bCs/>
          <w:color w:themeColor="text1" w:val="000000"/>
          <w:kern w:val="0"/>
          <w:sz w:val="24"/>
          <w:szCs w:val="24"/>
        </w:rPr>
        <w:t>存放地点</w:t>
      </w:r>
    </w:p>
    <w:p w14:paraId="61EC8F57"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基金管理人或基金托管人处。</w:t>
      </w:r>
    </w:p>
    <w:p w14:paraId="4B43DAA4" w14:textId="77777777" w:rsidR="00D06738" w:rsidRDefault="00D06738" w:rsidRPr="00FF6B9A">
      <w:pPr>
        <w:spacing w:line="360" w:lineRule="auto"/>
        <w:ind w:firstLine="480" w:firstLineChars="200"/>
        <w:rPr>
          <w:rFonts w:eastAsiaTheme="minorEastAsia"/>
          <w:color w:themeColor="text1" w:val="000000"/>
          <w:sz w:val="24"/>
          <w:szCs w:val="24"/>
        </w:rPr>
      </w:pPr>
    </w:p>
    <w:p w14:paraId="05279DD9"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3 </w:t>
      </w:r>
      <w:r w:rsidRPr="00FF6B9A">
        <w:rPr>
          <w:rFonts w:eastAsiaTheme="minorEastAsia"/>
          <w:b/>
          <w:bCs/>
          <w:color w:themeColor="text1" w:val="000000"/>
          <w:kern w:val="0"/>
          <w:sz w:val="24"/>
          <w:szCs w:val="24"/>
        </w:rPr>
        <w:t>查阅方式</w:t>
      </w:r>
    </w:p>
    <w:p w14:paraId="5BDF4042"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投资者可在营业时间免费查阅，也可按工本费购买复印件。</w:t>
      </w:r>
    </w:p>
    <w:p w14:paraId="1EB1072F" w14:textId="77777777" w:rsidR="00D06738" w:rsidRDefault="00D06738" w:rsidRPr="00FF6B9A">
      <w:pPr>
        <w:spacing w:line="360" w:lineRule="auto"/>
        <w:ind w:left="840"/>
        <w:jc w:val="right"/>
        <w:rPr>
          <w:rFonts w:eastAsiaTheme="minorEastAsia"/>
          <w:color w:themeColor="text1" w:val="000000"/>
          <w:sz w:val="24"/>
          <w:szCs w:val="24"/>
        </w:rPr>
      </w:pPr>
    </w:p>
    <w:p w14:paraId="086D5C70" w14:textId="77777777" w:rsidR="00D06738" w:rsidRDefault="00D06738" w:rsidRPr="00FF6B9A">
      <w:pPr>
        <w:spacing w:line="360" w:lineRule="auto"/>
        <w:ind w:left="840"/>
        <w:jc w:val="right"/>
        <w:rPr>
          <w:rFonts w:eastAsiaTheme="minorEastAsia"/>
          <w:color w:themeColor="text1" w:val="000000"/>
          <w:sz w:val="24"/>
          <w:szCs w:val="24"/>
        </w:rPr>
      </w:pPr>
    </w:p>
    <w:p w14:paraId="667FD74D" w14:textId="77777777" w:rsidR="00D06738" w:rsidRDefault="00D06738" w:rsidRPr="00FF6B9A">
      <w:pPr>
        <w:spacing w:line="360" w:lineRule="auto"/>
        <w:ind w:left="840"/>
        <w:jc w:val="right"/>
        <w:rPr>
          <w:rFonts w:eastAsiaTheme="minorEastAsia"/>
          <w:color w:themeColor="text1" w:val="000000"/>
          <w:sz w:val="24"/>
          <w:szCs w:val="24"/>
        </w:rPr>
      </w:pPr>
    </w:p>
    <w:p w14:paraId="5173A207" w14:textId="77777777" w:rsidR="00D06738" w:rsidRDefault="00D06738" w:rsidRPr="00FF6B9A">
      <w:pPr>
        <w:spacing w:line="360" w:lineRule="auto"/>
        <w:ind w:left="840"/>
        <w:jc w:val="right"/>
        <w:rPr>
          <w:rFonts w:eastAsiaTheme="minorEastAsia"/>
          <w:color w:themeColor="text1" w:val="000000"/>
          <w:sz w:val="24"/>
          <w:szCs w:val="24"/>
        </w:rPr>
      </w:pPr>
    </w:p>
    <w:p w14:paraId="5C1BC673" w14:textId="77777777" w:rsidR="00D06738" w:rsidRDefault="00D06738" w:rsidRPr="00FF6B9A">
      <w:pPr>
        <w:spacing w:line="360" w:lineRule="auto"/>
        <w:ind w:left="840"/>
        <w:jc w:val="right"/>
        <w:rPr>
          <w:rFonts w:eastAsiaTheme="minorEastAsia"/>
          <w:color w:themeColor="text1" w:val="000000"/>
          <w:sz w:val="24"/>
          <w:szCs w:val="24"/>
        </w:rPr>
      </w:pPr>
    </w:p>
    <w:p w14:paraId="309916CD" w14:textId="77777777" w:rsidR="00D06738" w:rsidRDefault="00D06738" w:rsidRPr="00FF6B9A">
      <w:pPr>
        <w:spacing w:line="360" w:lineRule="auto"/>
        <w:ind w:left="840"/>
        <w:jc w:val="right"/>
        <w:rPr>
          <w:rFonts w:eastAsiaTheme="minorEastAsia"/>
          <w:color w:themeColor="text1" w:val="000000"/>
          <w:sz w:val="24"/>
          <w:szCs w:val="24"/>
        </w:rPr>
      </w:pPr>
    </w:p>
    <w:p w14:paraId="7C0C74F6" w14:textId="77777777" w:rsidR="00D06738" w:rsidRDefault="00D06738" w:rsidRPr="00FF6B9A">
      <w:pPr>
        <w:spacing w:line="360" w:lineRule="auto"/>
        <w:ind w:left="840"/>
        <w:jc w:val="right"/>
        <w:rPr>
          <w:rFonts w:eastAsiaTheme="minorEastAsia"/>
          <w:color w:themeColor="text1" w:val="000000"/>
          <w:sz w:val="24"/>
          <w:szCs w:val="24"/>
        </w:rPr>
      </w:pPr>
    </w:p>
    <w:p w14:paraId="04EFEDF1" w14:textId="77777777" w:rsidR="00D06738" w:rsidRDefault="00D06738" w:rsidRPr="00FF6B9A">
      <w:pPr>
        <w:spacing w:line="360" w:lineRule="auto"/>
        <w:ind w:left="840"/>
        <w:jc w:val="right"/>
        <w:rPr>
          <w:rFonts w:eastAsiaTheme="minorEastAsia"/>
          <w:color w:themeColor="text1" w:val="000000"/>
          <w:sz w:val="24"/>
          <w:szCs w:val="24"/>
        </w:rPr>
      </w:pPr>
    </w:p>
    <w:p w14:paraId="0387F1AC"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上投摩根基金管理有限公司</w:t>
      </w:r>
    </w:p>
    <w:p w14:paraId="114F1307"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二〇二一年七月二十一日</w:t>
      </w:r>
    </w:p>
    <w:p w14:paraId="2199A838" w14:textId="77777777" w:rsidR="00D06738" w:rsidRDefault="00D06738" w:rsidRPr="00FF6B9A">
      <w:pPr>
        <w:spacing w:line="360" w:lineRule="auto"/>
        <w:ind w:left="840"/>
        <w:jc w:val="right"/>
        <w:rPr>
          <w:rFonts w:eastAsiaTheme="minorEastAsia"/>
          <w:b/>
          <w:bCs/>
          <w:color w:themeColor="text1" w:val="000000"/>
          <w:sz w:val="24"/>
          <w:szCs w:val="24"/>
        </w:rPr>
      </w:pPr>
    </w:p>
    <w:p w14:paraId="1ED73A6C" w14:textId="77777777" w:rsidR="00D06738" w:rsidRDefault="00D06738" w:rsidRPr="00FF6B9A">
      <w:pPr>
        <w:rPr>
          <w:rFonts w:eastAsiaTheme="minorEastAsia"/>
          <w:color w:themeColor="text1" w:val="000000"/>
          <w:sz w:val="24"/>
          <w:szCs w:val="24"/>
        </w:rPr>
      </w:pPr>
    </w:p>
    <w:sectPr w:rsidR="00D06738" w:rsidRPr="00FF6B9A">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565" w14:textId="77777777" w:rsidR="007573EA" w:rsidRDefault="007573EA">
      <w:r>
        <w:separator/>
      </w:r>
    </w:p>
  </w:endnote>
  <w:endnote w:type="continuationSeparator" w:id="0">
    <w:p w14:paraId="487ADA0C" w14:textId="77777777"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78AE9C8" w14:textId="77777777" w:rsidR="007573EA" w:rsidRDefault="007573EA">
      <w:r>
        <w:separator/>
      </w:r>
    </w:p>
  </w:footnote>
  <w:footnote w:id="0" w:type="continuationSeparator">
    <w:p w14:paraId="43F62B92" w14:textId="77777777" w:rsidR="007573EA" w:rsidRDefault="007573E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上投摩根转型动力灵活配置混合型证券投资基金</w:t>
    </w:r>
    <w:proofErr w:type="spellStart"/>
    <w:proofErr w:type="gramEnd"/>
    <w:r>
      <w:rPr>
        <w:rFonts w:hint="eastAsia"/>
      </w:rPr>
      <w:t/>
    </w:r>
    <w:proofErr w:type="spellEnd"/>
    <w:r>
      <w:rPr>
        <w:rFonts w:hint="eastAsia"/>
      </w:rPr>
      <w:t>2021年第2季度报告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qFormat/>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良 虢</cp:lastModifiedBy>
  <dcterms:modified xsi:type="dcterms:W3CDTF">2021-06-04T04:09:00Z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