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摩根转型动力灵活配置混合型证券投资基金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报告送出日期：二〇二三年十月二十五日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A40A8A" w:rsidRDefault="0068496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A40A8A" w:rsidRDefault="0068496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A40A8A" w:rsidRDefault="0068496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A40A8A" w:rsidRDefault="0068496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A40A8A" w:rsidRDefault="0068496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摩根转型动力混合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000328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2013</w:t>
            </w:r>
            <w:r w:rsidRPr="00B27A29">
              <w:rPr>
                <w:rFonts w:eastAsiaTheme="minorEastAsia"/>
                <w:color w:val="000000" w:themeColor="text1"/>
                <w:kern w:val="0"/>
                <w:szCs w:val="21"/>
              </w:rPr>
              <w:t>年</w:t>
            </w:r>
            <w:r w:rsidRPr="00B27A29">
              <w:rPr>
                <w:rFonts w:eastAsiaTheme="minorEastAsia"/>
                <w:color w:val="000000" w:themeColor="text1"/>
                <w:kern w:val="0"/>
                <w:szCs w:val="21"/>
              </w:rPr>
              <w:t>11</w:t>
            </w:r>
            <w:r w:rsidRPr="00B27A29">
              <w:rPr>
                <w:rFonts w:eastAsiaTheme="minorEastAsia"/>
                <w:color w:val="000000" w:themeColor="text1"/>
                <w:kern w:val="0"/>
                <w:szCs w:val="21"/>
              </w:rPr>
              <w:t>月</w:t>
            </w:r>
            <w:r w:rsidRPr="00B27A29">
              <w:rPr>
                <w:rFonts w:eastAsiaTheme="minorEastAsia"/>
                <w:color w:val="000000" w:themeColor="text1"/>
                <w:kern w:val="0"/>
                <w:szCs w:val="21"/>
              </w:rPr>
              <w:t>25</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94,679,112.02</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通过投资于符合政策扶植和经济发展方向，具有长期发展潜力的上市公司，充分把握中国未来经济转型带来的投资机会，力争实现基金资产的长期稳健增值。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A40A8A" w:rsidRDefault="0068496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本基金将以经济转型作为行业配置和个股选择的主线，重点投资于受益于经济转型和政策扶持、具有良好基本面和持续成长能力的上市公司，力争实现基金资产的长期稳定增值。</w:t>
            </w:r>
          </w:p>
          <w:p w:rsidR="00A40A8A" w:rsidRDefault="0068496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在行业配置层面，本基金将运用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的方法，通过对国内外宏观经济、经济结构转型的方向、国家经济政策、</w:t>
            </w:r>
            <w:r>
              <w:rPr>
                <w:rFonts w:eastAsiaTheme="minorEastAsia"/>
                <w:color w:val="000000" w:themeColor="text1"/>
                <w:kern w:val="0"/>
                <w:szCs w:val="21"/>
              </w:rPr>
              <w:lastRenderedPageBreak/>
              <w:t>产业政策导向的深入研究，挖掘受益于国家经济转型、具有较大成长空间的行业。在个股选择层面，本基金将主要采用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的方法，在备选行业内部通过定量与定性相结合的分析方法，综合分析上市公司的业绩质量、成长性和估值水平等，精选具有良好成长性、估值合理的个股。</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具体投资策略包括：资产配置策略、行业配置策略、股票投资策略、固定收益类投资策略、可转换债券投资策略、中小企业私募债投资策略、权证投资策略、股指期货投资策略、存托凭证投资策略。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A40A8A" w:rsidRDefault="0068496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本基金属于混合型基金产品，预期风险和收益水平低于股票型基金，高于债券型基金和货币市场基金</w:t>
            </w:r>
            <w:r>
              <w:rPr>
                <w:rFonts w:eastAsiaTheme="minorEastAsia"/>
                <w:color w:val="000000" w:themeColor="text1"/>
                <w:kern w:val="0"/>
                <w:szCs w:val="21"/>
              </w:rPr>
              <w:t xml:space="preserve"> </w:t>
            </w:r>
            <w:r>
              <w:rPr>
                <w:rFonts w:eastAsiaTheme="minorEastAsia"/>
                <w:color w:val="000000" w:themeColor="text1"/>
                <w:kern w:val="0"/>
                <w:szCs w:val="21"/>
              </w:rPr>
              <w:t>，属于较高风险收益水平的基金产品。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000328</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015074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94,509,963.51</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169,148.51</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lastRenderedPageBreak/>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-13,879,974.49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-23,189.16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-38,722,840.79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-58,285.58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-0.4071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-0.3803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169,589,938.66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300,690.41</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1.7944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1.7777</w:t>
            </w:r>
          </w:p>
        </w:tc>
      </w:tr>
    </w:tbl>
    <w:p w:rsidR="00A40A8A" w:rsidRDefault="0068496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摩根转型动力混合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40A8A">
        <w:tc>
          <w:tcPr>
            <w:tcW w:w="1290" w:type="dxa"/>
            <w:vAlign w:val="center"/>
          </w:tcPr>
          <w:p w:rsidR="00A40A8A" w:rsidRDefault="0068496D">
            <w:pPr>
              <w:jc w:val="left"/>
            </w:pPr>
            <w:r>
              <w:rPr>
                <w:rFonts w:eastAsiaTheme="minorEastAsia"/>
                <w:color w:val="000000" w:themeColor="text1"/>
                <w:szCs w:val="21"/>
              </w:rPr>
              <w:t>过去三个月</w:t>
            </w:r>
          </w:p>
        </w:tc>
        <w:tc>
          <w:tcPr>
            <w:tcW w:w="1291" w:type="dxa"/>
            <w:vAlign w:val="center"/>
          </w:tcPr>
          <w:p w:rsidR="00A40A8A" w:rsidRDefault="0068496D">
            <w:pPr>
              <w:jc w:val="right"/>
            </w:pPr>
            <w:r>
              <w:rPr>
                <w:rFonts w:eastAsiaTheme="minorEastAsia"/>
                <w:color w:val="000000" w:themeColor="text1"/>
                <w:szCs w:val="21"/>
              </w:rPr>
              <w:t>-18.45%</w:t>
            </w:r>
          </w:p>
        </w:tc>
        <w:tc>
          <w:tcPr>
            <w:tcW w:w="1291" w:type="dxa"/>
            <w:vAlign w:val="center"/>
          </w:tcPr>
          <w:p w:rsidR="00A40A8A" w:rsidRDefault="0068496D">
            <w:pPr>
              <w:jc w:val="right"/>
            </w:pPr>
            <w:r>
              <w:rPr>
                <w:rFonts w:eastAsiaTheme="minorEastAsia"/>
                <w:color w:val="000000" w:themeColor="text1"/>
                <w:szCs w:val="21"/>
              </w:rPr>
              <w:t>1.43%</w:t>
            </w:r>
          </w:p>
        </w:tc>
        <w:tc>
          <w:tcPr>
            <w:tcW w:w="1291" w:type="dxa"/>
            <w:vAlign w:val="center"/>
          </w:tcPr>
          <w:p w:rsidR="00A40A8A" w:rsidRDefault="0068496D">
            <w:pPr>
              <w:jc w:val="right"/>
            </w:pPr>
            <w:r>
              <w:rPr>
                <w:rFonts w:eastAsiaTheme="minorEastAsia"/>
                <w:color w:val="000000" w:themeColor="text1"/>
                <w:szCs w:val="21"/>
              </w:rPr>
              <w:t>-3.19%</w:t>
            </w:r>
          </w:p>
        </w:tc>
        <w:tc>
          <w:tcPr>
            <w:tcW w:w="1291" w:type="dxa"/>
            <w:vAlign w:val="center"/>
          </w:tcPr>
          <w:p w:rsidR="00A40A8A" w:rsidRDefault="0068496D">
            <w:pPr>
              <w:jc w:val="right"/>
            </w:pPr>
            <w:r>
              <w:rPr>
                <w:rFonts w:eastAsiaTheme="minorEastAsia"/>
                <w:color w:val="000000" w:themeColor="text1"/>
                <w:szCs w:val="21"/>
              </w:rPr>
              <w:t>0.72%</w:t>
            </w:r>
          </w:p>
        </w:tc>
        <w:tc>
          <w:tcPr>
            <w:tcW w:w="1291" w:type="dxa"/>
            <w:vAlign w:val="center"/>
          </w:tcPr>
          <w:p w:rsidR="00A40A8A" w:rsidRDefault="0068496D">
            <w:pPr>
              <w:jc w:val="right"/>
            </w:pPr>
            <w:r>
              <w:rPr>
                <w:rFonts w:eastAsiaTheme="minorEastAsia"/>
                <w:color w:val="000000" w:themeColor="text1"/>
                <w:szCs w:val="21"/>
              </w:rPr>
              <w:t>-15.26%</w:t>
            </w:r>
          </w:p>
        </w:tc>
        <w:tc>
          <w:tcPr>
            <w:tcW w:w="1291" w:type="dxa"/>
            <w:vAlign w:val="center"/>
          </w:tcPr>
          <w:p w:rsidR="00A40A8A" w:rsidRDefault="0068496D">
            <w:pPr>
              <w:jc w:val="right"/>
            </w:pPr>
            <w:r>
              <w:rPr>
                <w:rFonts w:eastAsiaTheme="minorEastAsia"/>
                <w:color w:val="000000" w:themeColor="text1"/>
                <w:szCs w:val="21"/>
              </w:rPr>
              <w:t>0.71%</w:t>
            </w:r>
          </w:p>
        </w:tc>
      </w:tr>
      <w:tr w:rsidR="00A40A8A">
        <w:tc>
          <w:tcPr>
            <w:tcW w:w="1290" w:type="dxa"/>
            <w:vAlign w:val="center"/>
          </w:tcPr>
          <w:p w:rsidR="00A40A8A" w:rsidRDefault="0068496D">
            <w:pPr>
              <w:jc w:val="left"/>
            </w:pPr>
            <w:r>
              <w:rPr>
                <w:rFonts w:eastAsiaTheme="minorEastAsia"/>
                <w:color w:val="000000" w:themeColor="text1"/>
                <w:szCs w:val="21"/>
              </w:rPr>
              <w:t>过去六个月</w:t>
            </w:r>
          </w:p>
        </w:tc>
        <w:tc>
          <w:tcPr>
            <w:tcW w:w="1291" w:type="dxa"/>
            <w:vAlign w:val="center"/>
          </w:tcPr>
          <w:p w:rsidR="00A40A8A" w:rsidRDefault="0068496D">
            <w:pPr>
              <w:jc w:val="right"/>
            </w:pPr>
            <w:r>
              <w:rPr>
                <w:rFonts w:eastAsiaTheme="minorEastAsia"/>
                <w:color w:val="000000" w:themeColor="text1"/>
                <w:szCs w:val="21"/>
              </w:rPr>
              <w:t>-13.30%</w:t>
            </w:r>
          </w:p>
        </w:tc>
        <w:tc>
          <w:tcPr>
            <w:tcW w:w="1291" w:type="dxa"/>
            <w:vAlign w:val="center"/>
          </w:tcPr>
          <w:p w:rsidR="00A40A8A" w:rsidRDefault="0068496D">
            <w:pPr>
              <w:jc w:val="right"/>
            </w:pPr>
            <w:r>
              <w:rPr>
                <w:rFonts w:eastAsiaTheme="minorEastAsia"/>
                <w:color w:val="000000" w:themeColor="text1"/>
                <w:szCs w:val="21"/>
              </w:rPr>
              <w:t>1.68%</w:t>
            </w:r>
          </w:p>
        </w:tc>
        <w:tc>
          <w:tcPr>
            <w:tcW w:w="1291" w:type="dxa"/>
            <w:vAlign w:val="center"/>
          </w:tcPr>
          <w:p w:rsidR="00A40A8A" w:rsidRDefault="0068496D">
            <w:pPr>
              <w:jc w:val="right"/>
            </w:pPr>
            <w:r>
              <w:rPr>
                <w:rFonts w:eastAsiaTheme="minorEastAsia"/>
                <w:color w:val="000000" w:themeColor="text1"/>
                <w:szCs w:val="21"/>
              </w:rPr>
              <w:t>-6.94%</w:t>
            </w:r>
          </w:p>
        </w:tc>
        <w:tc>
          <w:tcPr>
            <w:tcW w:w="1291" w:type="dxa"/>
            <w:vAlign w:val="center"/>
          </w:tcPr>
          <w:p w:rsidR="00A40A8A" w:rsidRDefault="0068496D">
            <w:pPr>
              <w:jc w:val="right"/>
            </w:pPr>
            <w:r>
              <w:rPr>
                <w:rFonts w:eastAsiaTheme="minorEastAsia"/>
                <w:color w:val="000000" w:themeColor="text1"/>
                <w:szCs w:val="21"/>
              </w:rPr>
              <w:t>0.69%</w:t>
            </w:r>
          </w:p>
        </w:tc>
        <w:tc>
          <w:tcPr>
            <w:tcW w:w="1291" w:type="dxa"/>
            <w:vAlign w:val="center"/>
          </w:tcPr>
          <w:p w:rsidR="00A40A8A" w:rsidRDefault="0068496D">
            <w:pPr>
              <w:jc w:val="right"/>
            </w:pPr>
            <w:r>
              <w:rPr>
                <w:rFonts w:eastAsiaTheme="minorEastAsia"/>
                <w:color w:val="000000" w:themeColor="text1"/>
                <w:szCs w:val="21"/>
              </w:rPr>
              <w:t>-6.36%</w:t>
            </w:r>
          </w:p>
        </w:tc>
        <w:tc>
          <w:tcPr>
            <w:tcW w:w="1291" w:type="dxa"/>
            <w:vAlign w:val="center"/>
          </w:tcPr>
          <w:p w:rsidR="00A40A8A" w:rsidRDefault="0068496D">
            <w:pPr>
              <w:jc w:val="right"/>
            </w:pPr>
            <w:r>
              <w:rPr>
                <w:rFonts w:eastAsiaTheme="minorEastAsia"/>
                <w:color w:val="000000" w:themeColor="text1"/>
                <w:szCs w:val="21"/>
              </w:rPr>
              <w:t>0.99%</w:t>
            </w:r>
          </w:p>
        </w:tc>
      </w:tr>
      <w:tr w:rsidR="00A40A8A">
        <w:tc>
          <w:tcPr>
            <w:tcW w:w="1290" w:type="dxa"/>
            <w:vAlign w:val="center"/>
          </w:tcPr>
          <w:p w:rsidR="00A40A8A" w:rsidRDefault="0068496D">
            <w:pPr>
              <w:jc w:val="left"/>
            </w:pPr>
            <w:r>
              <w:rPr>
                <w:rFonts w:eastAsiaTheme="minorEastAsia"/>
                <w:color w:val="000000" w:themeColor="text1"/>
                <w:szCs w:val="21"/>
              </w:rPr>
              <w:t>过去一年</w:t>
            </w:r>
          </w:p>
        </w:tc>
        <w:tc>
          <w:tcPr>
            <w:tcW w:w="1291" w:type="dxa"/>
            <w:vAlign w:val="center"/>
          </w:tcPr>
          <w:p w:rsidR="00A40A8A" w:rsidRDefault="0068496D">
            <w:pPr>
              <w:jc w:val="right"/>
            </w:pPr>
            <w:r>
              <w:rPr>
                <w:rFonts w:eastAsiaTheme="minorEastAsia"/>
                <w:color w:val="000000" w:themeColor="text1"/>
                <w:szCs w:val="21"/>
              </w:rPr>
              <w:t>-26.63%</w:t>
            </w:r>
          </w:p>
        </w:tc>
        <w:tc>
          <w:tcPr>
            <w:tcW w:w="1291" w:type="dxa"/>
            <w:vAlign w:val="center"/>
          </w:tcPr>
          <w:p w:rsidR="00A40A8A" w:rsidRDefault="0068496D">
            <w:pPr>
              <w:jc w:val="right"/>
            </w:pPr>
            <w:r>
              <w:rPr>
                <w:rFonts w:eastAsiaTheme="minorEastAsia"/>
                <w:color w:val="000000" w:themeColor="text1"/>
                <w:szCs w:val="21"/>
              </w:rPr>
              <w:t>1.46%</w:t>
            </w:r>
          </w:p>
        </w:tc>
        <w:tc>
          <w:tcPr>
            <w:tcW w:w="1291" w:type="dxa"/>
            <w:vAlign w:val="center"/>
          </w:tcPr>
          <w:p w:rsidR="00A40A8A" w:rsidRDefault="0068496D">
            <w:pPr>
              <w:jc w:val="right"/>
            </w:pPr>
            <w:r>
              <w:rPr>
                <w:rFonts w:eastAsiaTheme="minorEastAsia"/>
                <w:color w:val="000000" w:themeColor="text1"/>
                <w:szCs w:val="21"/>
              </w:rPr>
              <w:t>-2.33%</w:t>
            </w:r>
          </w:p>
        </w:tc>
        <w:tc>
          <w:tcPr>
            <w:tcW w:w="1291" w:type="dxa"/>
            <w:vAlign w:val="center"/>
          </w:tcPr>
          <w:p w:rsidR="00A40A8A" w:rsidRDefault="0068496D">
            <w:pPr>
              <w:jc w:val="right"/>
            </w:pPr>
            <w:r>
              <w:rPr>
                <w:rFonts w:eastAsiaTheme="minorEastAsia"/>
                <w:color w:val="000000" w:themeColor="text1"/>
                <w:szCs w:val="21"/>
              </w:rPr>
              <w:t>0.79%</w:t>
            </w:r>
          </w:p>
        </w:tc>
        <w:tc>
          <w:tcPr>
            <w:tcW w:w="1291" w:type="dxa"/>
            <w:vAlign w:val="center"/>
          </w:tcPr>
          <w:p w:rsidR="00A40A8A" w:rsidRDefault="0068496D">
            <w:pPr>
              <w:jc w:val="right"/>
            </w:pPr>
            <w:r>
              <w:rPr>
                <w:rFonts w:eastAsiaTheme="minorEastAsia"/>
                <w:color w:val="000000" w:themeColor="text1"/>
                <w:szCs w:val="21"/>
              </w:rPr>
              <w:t>-24.30%</w:t>
            </w:r>
          </w:p>
        </w:tc>
        <w:tc>
          <w:tcPr>
            <w:tcW w:w="1291" w:type="dxa"/>
            <w:vAlign w:val="center"/>
          </w:tcPr>
          <w:p w:rsidR="00A40A8A" w:rsidRDefault="0068496D">
            <w:pPr>
              <w:jc w:val="right"/>
            </w:pPr>
            <w:r>
              <w:rPr>
                <w:rFonts w:eastAsiaTheme="minorEastAsia"/>
                <w:color w:val="000000" w:themeColor="text1"/>
                <w:szCs w:val="21"/>
              </w:rPr>
              <w:t>0.67%</w:t>
            </w:r>
          </w:p>
        </w:tc>
      </w:tr>
      <w:tr w:rsidR="00A40A8A">
        <w:tc>
          <w:tcPr>
            <w:tcW w:w="1290" w:type="dxa"/>
            <w:vAlign w:val="center"/>
          </w:tcPr>
          <w:p w:rsidR="00A40A8A" w:rsidRDefault="0068496D">
            <w:pPr>
              <w:jc w:val="left"/>
            </w:pPr>
            <w:r>
              <w:rPr>
                <w:rFonts w:eastAsiaTheme="minorEastAsia"/>
                <w:color w:val="000000" w:themeColor="text1"/>
                <w:szCs w:val="21"/>
              </w:rPr>
              <w:t>过去三年</w:t>
            </w:r>
          </w:p>
        </w:tc>
        <w:tc>
          <w:tcPr>
            <w:tcW w:w="1291" w:type="dxa"/>
            <w:vAlign w:val="center"/>
          </w:tcPr>
          <w:p w:rsidR="00A40A8A" w:rsidRDefault="0068496D">
            <w:pPr>
              <w:jc w:val="right"/>
            </w:pPr>
            <w:r>
              <w:rPr>
                <w:rFonts w:eastAsiaTheme="minorEastAsia"/>
                <w:color w:val="000000" w:themeColor="text1"/>
                <w:szCs w:val="21"/>
              </w:rPr>
              <w:t>-32.34%</w:t>
            </w:r>
          </w:p>
        </w:tc>
        <w:tc>
          <w:tcPr>
            <w:tcW w:w="1291" w:type="dxa"/>
            <w:vAlign w:val="center"/>
          </w:tcPr>
          <w:p w:rsidR="00A40A8A" w:rsidRDefault="0068496D">
            <w:pPr>
              <w:jc w:val="right"/>
            </w:pPr>
            <w:r>
              <w:rPr>
                <w:rFonts w:eastAsiaTheme="minorEastAsia"/>
                <w:color w:val="000000" w:themeColor="text1"/>
                <w:szCs w:val="21"/>
              </w:rPr>
              <w:t>1.69%</w:t>
            </w:r>
          </w:p>
        </w:tc>
        <w:tc>
          <w:tcPr>
            <w:tcW w:w="1291" w:type="dxa"/>
            <w:vAlign w:val="center"/>
          </w:tcPr>
          <w:p w:rsidR="00A40A8A" w:rsidRDefault="0068496D">
            <w:pPr>
              <w:jc w:val="right"/>
            </w:pPr>
            <w:r>
              <w:rPr>
                <w:rFonts w:eastAsiaTheme="minorEastAsia"/>
                <w:color w:val="000000" w:themeColor="text1"/>
                <w:szCs w:val="21"/>
              </w:rPr>
              <w:t>-14.78%</w:t>
            </w:r>
          </w:p>
        </w:tc>
        <w:tc>
          <w:tcPr>
            <w:tcW w:w="1291" w:type="dxa"/>
            <w:vAlign w:val="center"/>
          </w:tcPr>
          <w:p w:rsidR="00A40A8A" w:rsidRDefault="0068496D">
            <w:pPr>
              <w:jc w:val="right"/>
            </w:pPr>
            <w:r>
              <w:rPr>
                <w:rFonts w:eastAsiaTheme="minorEastAsia"/>
                <w:color w:val="000000" w:themeColor="text1"/>
                <w:szCs w:val="21"/>
              </w:rPr>
              <w:t>0.90%</w:t>
            </w:r>
          </w:p>
        </w:tc>
        <w:tc>
          <w:tcPr>
            <w:tcW w:w="1291" w:type="dxa"/>
            <w:vAlign w:val="center"/>
          </w:tcPr>
          <w:p w:rsidR="00A40A8A" w:rsidRDefault="0068496D">
            <w:pPr>
              <w:jc w:val="right"/>
            </w:pPr>
            <w:r>
              <w:rPr>
                <w:rFonts w:eastAsiaTheme="minorEastAsia"/>
                <w:color w:val="000000" w:themeColor="text1"/>
                <w:szCs w:val="21"/>
              </w:rPr>
              <w:t>-17.56%</w:t>
            </w:r>
          </w:p>
        </w:tc>
        <w:tc>
          <w:tcPr>
            <w:tcW w:w="1291" w:type="dxa"/>
            <w:vAlign w:val="center"/>
          </w:tcPr>
          <w:p w:rsidR="00A40A8A" w:rsidRDefault="0068496D">
            <w:pPr>
              <w:jc w:val="right"/>
            </w:pPr>
            <w:r>
              <w:rPr>
                <w:rFonts w:eastAsiaTheme="minorEastAsia"/>
                <w:color w:val="000000" w:themeColor="text1"/>
                <w:szCs w:val="21"/>
              </w:rPr>
              <w:t>0.79%</w:t>
            </w:r>
          </w:p>
        </w:tc>
      </w:tr>
      <w:tr w:rsidR="00A40A8A">
        <w:tc>
          <w:tcPr>
            <w:tcW w:w="1290" w:type="dxa"/>
            <w:vAlign w:val="center"/>
          </w:tcPr>
          <w:p w:rsidR="00A40A8A" w:rsidRDefault="0068496D">
            <w:pPr>
              <w:jc w:val="left"/>
            </w:pPr>
            <w:r>
              <w:rPr>
                <w:rFonts w:eastAsiaTheme="minorEastAsia"/>
                <w:color w:val="000000" w:themeColor="text1"/>
                <w:szCs w:val="21"/>
              </w:rPr>
              <w:t>过去五年</w:t>
            </w:r>
          </w:p>
        </w:tc>
        <w:tc>
          <w:tcPr>
            <w:tcW w:w="1291" w:type="dxa"/>
            <w:vAlign w:val="center"/>
          </w:tcPr>
          <w:p w:rsidR="00A40A8A" w:rsidRDefault="0068496D">
            <w:pPr>
              <w:jc w:val="right"/>
            </w:pPr>
            <w:r>
              <w:rPr>
                <w:rFonts w:eastAsiaTheme="minorEastAsia"/>
                <w:color w:val="000000" w:themeColor="text1"/>
                <w:szCs w:val="21"/>
              </w:rPr>
              <w:t>45.41%</w:t>
            </w:r>
          </w:p>
        </w:tc>
        <w:tc>
          <w:tcPr>
            <w:tcW w:w="1291" w:type="dxa"/>
            <w:vAlign w:val="center"/>
          </w:tcPr>
          <w:p w:rsidR="00A40A8A" w:rsidRDefault="0068496D">
            <w:pPr>
              <w:jc w:val="right"/>
            </w:pPr>
            <w:r>
              <w:rPr>
                <w:rFonts w:eastAsiaTheme="minorEastAsia"/>
                <w:color w:val="000000" w:themeColor="text1"/>
                <w:szCs w:val="21"/>
              </w:rPr>
              <w:t>1.66%</w:t>
            </w:r>
          </w:p>
        </w:tc>
        <w:tc>
          <w:tcPr>
            <w:tcW w:w="1291" w:type="dxa"/>
            <w:vAlign w:val="center"/>
          </w:tcPr>
          <w:p w:rsidR="00A40A8A" w:rsidRDefault="0068496D">
            <w:pPr>
              <w:jc w:val="right"/>
            </w:pPr>
            <w:r>
              <w:rPr>
                <w:rFonts w:eastAsiaTheme="minorEastAsia"/>
                <w:color w:val="000000" w:themeColor="text1"/>
                <w:szCs w:val="21"/>
              </w:rPr>
              <w:t>7.30%</w:t>
            </w:r>
          </w:p>
        </w:tc>
        <w:tc>
          <w:tcPr>
            <w:tcW w:w="1291" w:type="dxa"/>
            <w:vAlign w:val="center"/>
          </w:tcPr>
          <w:p w:rsidR="00A40A8A" w:rsidRDefault="0068496D">
            <w:pPr>
              <w:jc w:val="right"/>
            </w:pPr>
            <w:r>
              <w:rPr>
                <w:rFonts w:eastAsiaTheme="minorEastAsia"/>
                <w:color w:val="000000" w:themeColor="text1"/>
                <w:szCs w:val="21"/>
              </w:rPr>
              <w:t>1.00%</w:t>
            </w:r>
          </w:p>
        </w:tc>
        <w:tc>
          <w:tcPr>
            <w:tcW w:w="1291" w:type="dxa"/>
            <w:vAlign w:val="center"/>
          </w:tcPr>
          <w:p w:rsidR="00A40A8A" w:rsidRDefault="0068496D">
            <w:pPr>
              <w:jc w:val="right"/>
            </w:pPr>
            <w:r>
              <w:rPr>
                <w:rFonts w:eastAsiaTheme="minorEastAsia"/>
                <w:color w:val="000000" w:themeColor="text1"/>
                <w:szCs w:val="21"/>
              </w:rPr>
              <w:t>38.11%</w:t>
            </w:r>
          </w:p>
        </w:tc>
        <w:tc>
          <w:tcPr>
            <w:tcW w:w="1291" w:type="dxa"/>
            <w:vAlign w:val="center"/>
          </w:tcPr>
          <w:p w:rsidR="00A40A8A" w:rsidRDefault="0068496D">
            <w:pPr>
              <w:jc w:val="right"/>
            </w:pPr>
            <w:r>
              <w:rPr>
                <w:rFonts w:eastAsiaTheme="minorEastAsia"/>
                <w:color w:val="000000" w:themeColor="text1"/>
                <w:szCs w:val="21"/>
              </w:rPr>
              <w:t>0.66%</w:t>
            </w:r>
          </w:p>
        </w:tc>
      </w:tr>
      <w:tr w:rsidR="00A40A8A">
        <w:tc>
          <w:tcPr>
            <w:tcW w:w="1290" w:type="dxa"/>
            <w:vAlign w:val="center"/>
          </w:tcPr>
          <w:p w:rsidR="00A40A8A" w:rsidRDefault="0068496D">
            <w:pPr>
              <w:jc w:val="left"/>
            </w:pPr>
            <w:r>
              <w:rPr>
                <w:rFonts w:eastAsiaTheme="minorEastAsia"/>
                <w:color w:val="000000" w:themeColor="text1"/>
                <w:szCs w:val="21"/>
              </w:rPr>
              <w:t>自基金合同生效起至今</w:t>
            </w:r>
          </w:p>
        </w:tc>
        <w:tc>
          <w:tcPr>
            <w:tcW w:w="1291" w:type="dxa"/>
            <w:vAlign w:val="center"/>
          </w:tcPr>
          <w:p w:rsidR="00A40A8A" w:rsidRDefault="0068496D">
            <w:pPr>
              <w:jc w:val="right"/>
            </w:pPr>
            <w:r>
              <w:rPr>
                <w:rFonts w:eastAsiaTheme="minorEastAsia"/>
                <w:color w:val="000000" w:themeColor="text1"/>
                <w:szCs w:val="21"/>
              </w:rPr>
              <w:t>79.44%</w:t>
            </w:r>
          </w:p>
        </w:tc>
        <w:tc>
          <w:tcPr>
            <w:tcW w:w="1291" w:type="dxa"/>
            <w:vAlign w:val="center"/>
          </w:tcPr>
          <w:p w:rsidR="00A40A8A" w:rsidRDefault="0068496D">
            <w:pPr>
              <w:jc w:val="right"/>
            </w:pPr>
            <w:r>
              <w:rPr>
                <w:rFonts w:eastAsiaTheme="minorEastAsia"/>
                <w:color w:val="000000" w:themeColor="text1"/>
                <w:szCs w:val="21"/>
              </w:rPr>
              <w:t>1.75%</w:t>
            </w:r>
          </w:p>
        </w:tc>
        <w:tc>
          <w:tcPr>
            <w:tcW w:w="1291" w:type="dxa"/>
            <w:vAlign w:val="center"/>
          </w:tcPr>
          <w:p w:rsidR="00A40A8A" w:rsidRDefault="0068496D">
            <w:pPr>
              <w:jc w:val="right"/>
            </w:pPr>
            <w:r>
              <w:rPr>
                <w:rFonts w:eastAsiaTheme="minorEastAsia"/>
                <w:color w:val="000000" w:themeColor="text1"/>
                <w:szCs w:val="21"/>
              </w:rPr>
              <w:t>46.44%</w:t>
            </w:r>
          </w:p>
        </w:tc>
        <w:tc>
          <w:tcPr>
            <w:tcW w:w="1291" w:type="dxa"/>
            <w:vAlign w:val="center"/>
          </w:tcPr>
          <w:p w:rsidR="00A40A8A" w:rsidRDefault="0068496D">
            <w:pPr>
              <w:jc w:val="right"/>
            </w:pPr>
            <w:r>
              <w:rPr>
                <w:rFonts w:eastAsiaTheme="minorEastAsia"/>
                <w:color w:val="000000" w:themeColor="text1"/>
                <w:szCs w:val="21"/>
              </w:rPr>
              <w:t>1.11%</w:t>
            </w:r>
          </w:p>
        </w:tc>
        <w:tc>
          <w:tcPr>
            <w:tcW w:w="1291" w:type="dxa"/>
            <w:vAlign w:val="center"/>
          </w:tcPr>
          <w:p w:rsidR="00A40A8A" w:rsidRDefault="0068496D">
            <w:pPr>
              <w:jc w:val="right"/>
            </w:pPr>
            <w:r>
              <w:rPr>
                <w:rFonts w:eastAsiaTheme="minorEastAsia"/>
                <w:color w:val="000000" w:themeColor="text1"/>
                <w:szCs w:val="21"/>
              </w:rPr>
              <w:t>33.00%</w:t>
            </w:r>
          </w:p>
        </w:tc>
        <w:tc>
          <w:tcPr>
            <w:tcW w:w="1291" w:type="dxa"/>
            <w:vAlign w:val="center"/>
          </w:tcPr>
          <w:p w:rsidR="00A40A8A" w:rsidRDefault="0068496D">
            <w:pPr>
              <w:jc w:val="right"/>
            </w:pPr>
            <w:r>
              <w:rPr>
                <w:rFonts w:eastAsiaTheme="minorEastAsia"/>
                <w:color w:val="000000" w:themeColor="text1"/>
                <w:szCs w:val="21"/>
              </w:rPr>
              <w:t>0.64%</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摩根转型动力混合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40A8A">
        <w:tc>
          <w:tcPr>
            <w:tcW w:w="1290" w:type="dxa"/>
            <w:vAlign w:val="center"/>
          </w:tcPr>
          <w:p w:rsidR="00A40A8A" w:rsidRDefault="0068496D">
            <w:pPr>
              <w:jc w:val="left"/>
            </w:pPr>
            <w:r>
              <w:rPr>
                <w:rFonts w:eastAsiaTheme="minorEastAsia"/>
                <w:color w:val="000000" w:themeColor="text1"/>
                <w:szCs w:val="21"/>
              </w:rPr>
              <w:t>过去三个月</w:t>
            </w:r>
          </w:p>
        </w:tc>
        <w:tc>
          <w:tcPr>
            <w:tcW w:w="1291" w:type="dxa"/>
            <w:vAlign w:val="center"/>
          </w:tcPr>
          <w:p w:rsidR="00A40A8A" w:rsidRDefault="0068496D">
            <w:pPr>
              <w:jc w:val="right"/>
            </w:pPr>
            <w:r>
              <w:rPr>
                <w:rFonts w:eastAsiaTheme="minorEastAsia"/>
                <w:color w:val="000000" w:themeColor="text1"/>
                <w:szCs w:val="21"/>
              </w:rPr>
              <w:t>-18.58%</w:t>
            </w:r>
          </w:p>
        </w:tc>
        <w:tc>
          <w:tcPr>
            <w:tcW w:w="1291" w:type="dxa"/>
            <w:vAlign w:val="center"/>
          </w:tcPr>
          <w:p w:rsidR="00A40A8A" w:rsidRDefault="0068496D">
            <w:pPr>
              <w:jc w:val="right"/>
            </w:pPr>
            <w:r>
              <w:rPr>
                <w:rFonts w:eastAsiaTheme="minorEastAsia"/>
                <w:color w:val="000000" w:themeColor="text1"/>
                <w:szCs w:val="21"/>
              </w:rPr>
              <w:t>1.43%</w:t>
            </w:r>
          </w:p>
        </w:tc>
        <w:tc>
          <w:tcPr>
            <w:tcW w:w="1291" w:type="dxa"/>
            <w:vAlign w:val="center"/>
          </w:tcPr>
          <w:p w:rsidR="00A40A8A" w:rsidRDefault="0068496D">
            <w:pPr>
              <w:jc w:val="right"/>
            </w:pPr>
            <w:r>
              <w:rPr>
                <w:rFonts w:eastAsiaTheme="minorEastAsia"/>
                <w:color w:val="000000" w:themeColor="text1"/>
                <w:szCs w:val="21"/>
              </w:rPr>
              <w:t>-3.19%</w:t>
            </w:r>
          </w:p>
        </w:tc>
        <w:tc>
          <w:tcPr>
            <w:tcW w:w="1291" w:type="dxa"/>
            <w:vAlign w:val="center"/>
          </w:tcPr>
          <w:p w:rsidR="00A40A8A" w:rsidRDefault="0068496D">
            <w:pPr>
              <w:jc w:val="right"/>
            </w:pPr>
            <w:r>
              <w:rPr>
                <w:rFonts w:eastAsiaTheme="minorEastAsia"/>
                <w:color w:val="000000" w:themeColor="text1"/>
                <w:szCs w:val="21"/>
              </w:rPr>
              <w:t>0.72%</w:t>
            </w:r>
          </w:p>
        </w:tc>
        <w:tc>
          <w:tcPr>
            <w:tcW w:w="1291" w:type="dxa"/>
            <w:vAlign w:val="center"/>
          </w:tcPr>
          <w:p w:rsidR="00A40A8A" w:rsidRDefault="0068496D">
            <w:pPr>
              <w:jc w:val="right"/>
            </w:pPr>
            <w:r>
              <w:rPr>
                <w:rFonts w:eastAsiaTheme="minorEastAsia"/>
                <w:color w:val="000000" w:themeColor="text1"/>
                <w:szCs w:val="21"/>
              </w:rPr>
              <w:t>-15.39%</w:t>
            </w:r>
          </w:p>
        </w:tc>
        <w:tc>
          <w:tcPr>
            <w:tcW w:w="1291" w:type="dxa"/>
            <w:vAlign w:val="center"/>
          </w:tcPr>
          <w:p w:rsidR="00A40A8A" w:rsidRDefault="0068496D">
            <w:pPr>
              <w:jc w:val="right"/>
            </w:pPr>
            <w:r>
              <w:rPr>
                <w:rFonts w:eastAsiaTheme="minorEastAsia"/>
                <w:color w:val="000000" w:themeColor="text1"/>
                <w:szCs w:val="21"/>
              </w:rPr>
              <w:t>0.71%</w:t>
            </w:r>
          </w:p>
        </w:tc>
      </w:tr>
      <w:tr w:rsidR="00A40A8A">
        <w:tc>
          <w:tcPr>
            <w:tcW w:w="1290" w:type="dxa"/>
            <w:vAlign w:val="center"/>
          </w:tcPr>
          <w:p w:rsidR="00A40A8A" w:rsidRDefault="0068496D">
            <w:pPr>
              <w:jc w:val="left"/>
            </w:pPr>
            <w:r>
              <w:rPr>
                <w:rFonts w:eastAsiaTheme="minorEastAsia"/>
                <w:color w:val="000000" w:themeColor="text1"/>
                <w:szCs w:val="21"/>
              </w:rPr>
              <w:t>过去六个月</w:t>
            </w:r>
          </w:p>
        </w:tc>
        <w:tc>
          <w:tcPr>
            <w:tcW w:w="1291" w:type="dxa"/>
            <w:vAlign w:val="center"/>
          </w:tcPr>
          <w:p w:rsidR="00A40A8A" w:rsidRDefault="0068496D">
            <w:pPr>
              <w:jc w:val="right"/>
            </w:pPr>
            <w:r>
              <w:rPr>
                <w:rFonts w:eastAsiaTheme="minorEastAsia"/>
                <w:color w:val="000000" w:themeColor="text1"/>
                <w:szCs w:val="21"/>
              </w:rPr>
              <w:t>-13.55%</w:t>
            </w:r>
          </w:p>
        </w:tc>
        <w:tc>
          <w:tcPr>
            <w:tcW w:w="1291" w:type="dxa"/>
            <w:vAlign w:val="center"/>
          </w:tcPr>
          <w:p w:rsidR="00A40A8A" w:rsidRDefault="0068496D">
            <w:pPr>
              <w:jc w:val="right"/>
            </w:pPr>
            <w:r>
              <w:rPr>
                <w:rFonts w:eastAsiaTheme="minorEastAsia"/>
                <w:color w:val="000000" w:themeColor="text1"/>
                <w:szCs w:val="21"/>
              </w:rPr>
              <w:t>1.68%</w:t>
            </w:r>
          </w:p>
        </w:tc>
        <w:tc>
          <w:tcPr>
            <w:tcW w:w="1291" w:type="dxa"/>
            <w:vAlign w:val="center"/>
          </w:tcPr>
          <w:p w:rsidR="00A40A8A" w:rsidRDefault="0068496D">
            <w:pPr>
              <w:jc w:val="right"/>
            </w:pPr>
            <w:r>
              <w:rPr>
                <w:rFonts w:eastAsiaTheme="minorEastAsia"/>
                <w:color w:val="000000" w:themeColor="text1"/>
                <w:szCs w:val="21"/>
              </w:rPr>
              <w:t>-6.94%</w:t>
            </w:r>
          </w:p>
        </w:tc>
        <w:tc>
          <w:tcPr>
            <w:tcW w:w="1291" w:type="dxa"/>
            <w:vAlign w:val="center"/>
          </w:tcPr>
          <w:p w:rsidR="00A40A8A" w:rsidRDefault="0068496D">
            <w:pPr>
              <w:jc w:val="right"/>
            </w:pPr>
            <w:r>
              <w:rPr>
                <w:rFonts w:eastAsiaTheme="minorEastAsia"/>
                <w:color w:val="000000" w:themeColor="text1"/>
                <w:szCs w:val="21"/>
              </w:rPr>
              <w:t>0.69%</w:t>
            </w:r>
          </w:p>
        </w:tc>
        <w:tc>
          <w:tcPr>
            <w:tcW w:w="1291" w:type="dxa"/>
            <w:vAlign w:val="center"/>
          </w:tcPr>
          <w:p w:rsidR="00A40A8A" w:rsidRDefault="0068496D">
            <w:pPr>
              <w:jc w:val="right"/>
            </w:pPr>
            <w:r>
              <w:rPr>
                <w:rFonts w:eastAsiaTheme="minorEastAsia"/>
                <w:color w:val="000000" w:themeColor="text1"/>
                <w:szCs w:val="21"/>
              </w:rPr>
              <w:t>-6.61%</w:t>
            </w:r>
          </w:p>
        </w:tc>
        <w:tc>
          <w:tcPr>
            <w:tcW w:w="1291" w:type="dxa"/>
            <w:vAlign w:val="center"/>
          </w:tcPr>
          <w:p w:rsidR="00A40A8A" w:rsidRDefault="0068496D">
            <w:pPr>
              <w:jc w:val="right"/>
            </w:pPr>
            <w:r>
              <w:rPr>
                <w:rFonts w:eastAsiaTheme="minorEastAsia"/>
                <w:color w:val="000000" w:themeColor="text1"/>
                <w:szCs w:val="21"/>
              </w:rPr>
              <w:t>0.99%</w:t>
            </w:r>
          </w:p>
        </w:tc>
      </w:tr>
      <w:tr w:rsidR="00A40A8A">
        <w:tc>
          <w:tcPr>
            <w:tcW w:w="1290" w:type="dxa"/>
            <w:vAlign w:val="center"/>
          </w:tcPr>
          <w:p w:rsidR="00A40A8A" w:rsidRDefault="0068496D">
            <w:pPr>
              <w:jc w:val="left"/>
            </w:pPr>
            <w:r>
              <w:rPr>
                <w:rFonts w:eastAsiaTheme="minorEastAsia"/>
                <w:color w:val="000000" w:themeColor="text1"/>
                <w:szCs w:val="21"/>
              </w:rPr>
              <w:lastRenderedPageBreak/>
              <w:t>过去一年</w:t>
            </w:r>
          </w:p>
        </w:tc>
        <w:tc>
          <w:tcPr>
            <w:tcW w:w="1291" w:type="dxa"/>
            <w:vAlign w:val="center"/>
          </w:tcPr>
          <w:p w:rsidR="00A40A8A" w:rsidRDefault="0068496D">
            <w:pPr>
              <w:jc w:val="right"/>
            </w:pPr>
            <w:r>
              <w:rPr>
                <w:rFonts w:eastAsiaTheme="minorEastAsia"/>
                <w:color w:val="000000" w:themeColor="text1"/>
                <w:szCs w:val="21"/>
              </w:rPr>
              <w:t>-27.06%</w:t>
            </w:r>
          </w:p>
        </w:tc>
        <w:tc>
          <w:tcPr>
            <w:tcW w:w="1291" w:type="dxa"/>
            <w:vAlign w:val="center"/>
          </w:tcPr>
          <w:p w:rsidR="00A40A8A" w:rsidRDefault="0068496D">
            <w:pPr>
              <w:jc w:val="right"/>
            </w:pPr>
            <w:r>
              <w:rPr>
                <w:rFonts w:eastAsiaTheme="minorEastAsia"/>
                <w:color w:val="000000" w:themeColor="text1"/>
                <w:szCs w:val="21"/>
              </w:rPr>
              <w:t>1.46%</w:t>
            </w:r>
          </w:p>
        </w:tc>
        <w:tc>
          <w:tcPr>
            <w:tcW w:w="1291" w:type="dxa"/>
            <w:vAlign w:val="center"/>
          </w:tcPr>
          <w:p w:rsidR="00A40A8A" w:rsidRDefault="0068496D">
            <w:pPr>
              <w:jc w:val="right"/>
            </w:pPr>
            <w:r>
              <w:rPr>
                <w:rFonts w:eastAsiaTheme="minorEastAsia"/>
                <w:color w:val="000000" w:themeColor="text1"/>
                <w:szCs w:val="21"/>
              </w:rPr>
              <w:t>-2.33%</w:t>
            </w:r>
          </w:p>
        </w:tc>
        <w:tc>
          <w:tcPr>
            <w:tcW w:w="1291" w:type="dxa"/>
            <w:vAlign w:val="center"/>
          </w:tcPr>
          <w:p w:rsidR="00A40A8A" w:rsidRDefault="0068496D">
            <w:pPr>
              <w:jc w:val="right"/>
            </w:pPr>
            <w:r>
              <w:rPr>
                <w:rFonts w:eastAsiaTheme="minorEastAsia"/>
                <w:color w:val="000000" w:themeColor="text1"/>
                <w:szCs w:val="21"/>
              </w:rPr>
              <w:t>0.79%</w:t>
            </w:r>
          </w:p>
        </w:tc>
        <w:tc>
          <w:tcPr>
            <w:tcW w:w="1291" w:type="dxa"/>
            <w:vAlign w:val="center"/>
          </w:tcPr>
          <w:p w:rsidR="00A40A8A" w:rsidRDefault="0068496D">
            <w:pPr>
              <w:jc w:val="right"/>
            </w:pPr>
            <w:r>
              <w:rPr>
                <w:rFonts w:eastAsiaTheme="minorEastAsia"/>
                <w:color w:val="000000" w:themeColor="text1"/>
                <w:szCs w:val="21"/>
              </w:rPr>
              <w:t>-24.73%</w:t>
            </w:r>
          </w:p>
        </w:tc>
        <w:tc>
          <w:tcPr>
            <w:tcW w:w="1291" w:type="dxa"/>
            <w:vAlign w:val="center"/>
          </w:tcPr>
          <w:p w:rsidR="00A40A8A" w:rsidRDefault="0068496D">
            <w:pPr>
              <w:jc w:val="right"/>
            </w:pPr>
            <w:r>
              <w:rPr>
                <w:rFonts w:eastAsiaTheme="minorEastAsia"/>
                <w:color w:val="000000" w:themeColor="text1"/>
                <w:szCs w:val="21"/>
              </w:rPr>
              <w:t>0.67%</w:t>
            </w:r>
          </w:p>
        </w:tc>
      </w:tr>
      <w:tr w:rsidR="00A40A8A">
        <w:tc>
          <w:tcPr>
            <w:tcW w:w="1290" w:type="dxa"/>
            <w:vAlign w:val="center"/>
          </w:tcPr>
          <w:p w:rsidR="00A40A8A" w:rsidRDefault="0068496D">
            <w:pPr>
              <w:jc w:val="left"/>
            </w:pPr>
            <w:r>
              <w:rPr>
                <w:rFonts w:eastAsiaTheme="minorEastAsia"/>
                <w:color w:val="000000" w:themeColor="text1"/>
                <w:szCs w:val="21"/>
              </w:rPr>
              <w:t>过去三年</w:t>
            </w:r>
          </w:p>
        </w:tc>
        <w:tc>
          <w:tcPr>
            <w:tcW w:w="1291" w:type="dxa"/>
            <w:vAlign w:val="center"/>
          </w:tcPr>
          <w:p w:rsidR="00A40A8A" w:rsidRDefault="0068496D">
            <w:pPr>
              <w:jc w:val="right"/>
            </w:pPr>
            <w:r>
              <w:rPr>
                <w:rFonts w:eastAsiaTheme="minorEastAsia"/>
                <w:color w:val="000000" w:themeColor="text1"/>
                <w:szCs w:val="21"/>
              </w:rPr>
              <w:t>-</w:t>
            </w:r>
          </w:p>
        </w:tc>
        <w:tc>
          <w:tcPr>
            <w:tcW w:w="1291" w:type="dxa"/>
            <w:vAlign w:val="center"/>
          </w:tcPr>
          <w:p w:rsidR="00A40A8A" w:rsidRDefault="0068496D">
            <w:pPr>
              <w:jc w:val="right"/>
            </w:pPr>
            <w:r>
              <w:rPr>
                <w:rFonts w:eastAsiaTheme="minorEastAsia"/>
                <w:color w:val="000000" w:themeColor="text1"/>
                <w:szCs w:val="21"/>
              </w:rPr>
              <w:t>-</w:t>
            </w:r>
          </w:p>
        </w:tc>
        <w:tc>
          <w:tcPr>
            <w:tcW w:w="1291" w:type="dxa"/>
            <w:vAlign w:val="center"/>
          </w:tcPr>
          <w:p w:rsidR="00A40A8A" w:rsidRDefault="0068496D">
            <w:pPr>
              <w:jc w:val="right"/>
            </w:pPr>
            <w:r>
              <w:rPr>
                <w:rFonts w:eastAsiaTheme="minorEastAsia"/>
                <w:color w:val="000000" w:themeColor="text1"/>
                <w:szCs w:val="21"/>
              </w:rPr>
              <w:t>-</w:t>
            </w:r>
          </w:p>
        </w:tc>
        <w:tc>
          <w:tcPr>
            <w:tcW w:w="1291" w:type="dxa"/>
            <w:vAlign w:val="center"/>
          </w:tcPr>
          <w:p w:rsidR="00A40A8A" w:rsidRDefault="0068496D">
            <w:pPr>
              <w:jc w:val="right"/>
            </w:pPr>
            <w:r>
              <w:rPr>
                <w:rFonts w:eastAsiaTheme="minorEastAsia"/>
                <w:color w:val="000000" w:themeColor="text1"/>
                <w:szCs w:val="21"/>
              </w:rPr>
              <w:t>-</w:t>
            </w:r>
          </w:p>
        </w:tc>
        <w:tc>
          <w:tcPr>
            <w:tcW w:w="1291" w:type="dxa"/>
            <w:vAlign w:val="center"/>
          </w:tcPr>
          <w:p w:rsidR="00A40A8A" w:rsidRDefault="0068496D">
            <w:pPr>
              <w:jc w:val="right"/>
            </w:pPr>
            <w:r>
              <w:rPr>
                <w:rFonts w:eastAsiaTheme="minorEastAsia"/>
                <w:color w:val="000000" w:themeColor="text1"/>
                <w:szCs w:val="21"/>
              </w:rPr>
              <w:t>-</w:t>
            </w:r>
          </w:p>
        </w:tc>
        <w:tc>
          <w:tcPr>
            <w:tcW w:w="1291" w:type="dxa"/>
            <w:vAlign w:val="center"/>
          </w:tcPr>
          <w:p w:rsidR="00A40A8A" w:rsidRDefault="0068496D">
            <w:pPr>
              <w:jc w:val="right"/>
            </w:pPr>
            <w:r>
              <w:rPr>
                <w:rFonts w:eastAsiaTheme="minorEastAsia"/>
                <w:color w:val="000000" w:themeColor="text1"/>
                <w:szCs w:val="21"/>
              </w:rPr>
              <w:t>-</w:t>
            </w:r>
          </w:p>
        </w:tc>
      </w:tr>
      <w:tr w:rsidR="00A40A8A">
        <w:tc>
          <w:tcPr>
            <w:tcW w:w="1290" w:type="dxa"/>
            <w:vAlign w:val="center"/>
          </w:tcPr>
          <w:p w:rsidR="00A40A8A" w:rsidRDefault="0068496D">
            <w:pPr>
              <w:jc w:val="left"/>
            </w:pPr>
            <w:r>
              <w:rPr>
                <w:rFonts w:eastAsiaTheme="minorEastAsia"/>
                <w:color w:val="000000" w:themeColor="text1"/>
                <w:szCs w:val="21"/>
              </w:rPr>
              <w:t>过去五年</w:t>
            </w:r>
          </w:p>
        </w:tc>
        <w:tc>
          <w:tcPr>
            <w:tcW w:w="1291" w:type="dxa"/>
            <w:vAlign w:val="center"/>
          </w:tcPr>
          <w:p w:rsidR="00A40A8A" w:rsidRDefault="0068496D">
            <w:pPr>
              <w:jc w:val="right"/>
            </w:pPr>
            <w:r>
              <w:rPr>
                <w:rFonts w:eastAsiaTheme="minorEastAsia"/>
                <w:color w:val="000000" w:themeColor="text1"/>
                <w:szCs w:val="21"/>
              </w:rPr>
              <w:t>-</w:t>
            </w:r>
          </w:p>
        </w:tc>
        <w:tc>
          <w:tcPr>
            <w:tcW w:w="1291" w:type="dxa"/>
            <w:vAlign w:val="center"/>
          </w:tcPr>
          <w:p w:rsidR="00A40A8A" w:rsidRDefault="0068496D">
            <w:pPr>
              <w:jc w:val="right"/>
            </w:pPr>
            <w:r>
              <w:rPr>
                <w:rFonts w:eastAsiaTheme="minorEastAsia"/>
                <w:color w:val="000000" w:themeColor="text1"/>
                <w:szCs w:val="21"/>
              </w:rPr>
              <w:t>-</w:t>
            </w:r>
          </w:p>
        </w:tc>
        <w:tc>
          <w:tcPr>
            <w:tcW w:w="1291" w:type="dxa"/>
            <w:vAlign w:val="center"/>
          </w:tcPr>
          <w:p w:rsidR="00A40A8A" w:rsidRDefault="0068496D">
            <w:pPr>
              <w:jc w:val="right"/>
            </w:pPr>
            <w:r>
              <w:rPr>
                <w:rFonts w:eastAsiaTheme="minorEastAsia"/>
                <w:color w:val="000000" w:themeColor="text1"/>
                <w:szCs w:val="21"/>
              </w:rPr>
              <w:t>-</w:t>
            </w:r>
          </w:p>
        </w:tc>
        <w:tc>
          <w:tcPr>
            <w:tcW w:w="1291" w:type="dxa"/>
            <w:vAlign w:val="center"/>
          </w:tcPr>
          <w:p w:rsidR="00A40A8A" w:rsidRDefault="0068496D">
            <w:pPr>
              <w:jc w:val="right"/>
            </w:pPr>
            <w:r>
              <w:rPr>
                <w:rFonts w:eastAsiaTheme="minorEastAsia"/>
                <w:color w:val="000000" w:themeColor="text1"/>
                <w:szCs w:val="21"/>
              </w:rPr>
              <w:t>-</w:t>
            </w:r>
          </w:p>
        </w:tc>
        <w:tc>
          <w:tcPr>
            <w:tcW w:w="1291" w:type="dxa"/>
            <w:vAlign w:val="center"/>
          </w:tcPr>
          <w:p w:rsidR="00A40A8A" w:rsidRDefault="0068496D">
            <w:pPr>
              <w:jc w:val="right"/>
            </w:pPr>
            <w:r>
              <w:rPr>
                <w:rFonts w:eastAsiaTheme="minorEastAsia"/>
                <w:color w:val="000000" w:themeColor="text1"/>
                <w:szCs w:val="21"/>
              </w:rPr>
              <w:t>-</w:t>
            </w:r>
          </w:p>
        </w:tc>
        <w:tc>
          <w:tcPr>
            <w:tcW w:w="1291" w:type="dxa"/>
            <w:vAlign w:val="center"/>
          </w:tcPr>
          <w:p w:rsidR="00A40A8A" w:rsidRDefault="0068496D">
            <w:pPr>
              <w:jc w:val="right"/>
            </w:pPr>
            <w:r>
              <w:rPr>
                <w:rFonts w:eastAsiaTheme="minorEastAsia"/>
                <w:color w:val="000000" w:themeColor="text1"/>
                <w:szCs w:val="21"/>
              </w:rPr>
              <w:t>-</w:t>
            </w:r>
          </w:p>
        </w:tc>
      </w:tr>
      <w:tr w:rsidR="00A40A8A">
        <w:tc>
          <w:tcPr>
            <w:tcW w:w="1290" w:type="dxa"/>
            <w:vAlign w:val="center"/>
          </w:tcPr>
          <w:p w:rsidR="00A40A8A" w:rsidRDefault="0068496D">
            <w:pPr>
              <w:jc w:val="left"/>
            </w:pPr>
            <w:r>
              <w:rPr>
                <w:rFonts w:eastAsiaTheme="minorEastAsia"/>
                <w:color w:val="000000" w:themeColor="text1"/>
                <w:szCs w:val="21"/>
              </w:rPr>
              <w:t>自基金合同生效起至今</w:t>
            </w:r>
          </w:p>
        </w:tc>
        <w:tc>
          <w:tcPr>
            <w:tcW w:w="1291" w:type="dxa"/>
            <w:vAlign w:val="center"/>
          </w:tcPr>
          <w:p w:rsidR="00A40A8A" w:rsidRDefault="0068496D">
            <w:pPr>
              <w:jc w:val="right"/>
            </w:pPr>
            <w:r>
              <w:rPr>
                <w:rFonts w:eastAsiaTheme="minorEastAsia"/>
                <w:color w:val="000000" w:themeColor="text1"/>
                <w:szCs w:val="21"/>
              </w:rPr>
              <w:t>-39.71%</w:t>
            </w:r>
          </w:p>
        </w:tc>
        <w:tc>
          <w:tcPr>
            <w:tcW w:w="1291" w:type="dxa"/>
            <w:vAlign w:val="center"/>
          </w:tcPr>
          <w:p w:rsidR="00A40A8A" w:rsidRDefault="0068496D">
            <w:pPr>
              <w:jc w:val="right"/>
            </w:pPr>
            <w:r>
              <w:rPr>
                <w:rFonts w:eastAsiaTheme="minorEastAsia"/>
                <w:color w:val="000000" w:themeColor="text1"/>
                <w:szCs w:val="21"/>
              </w:rPr>
              <w:t>1.60%</w:t>
            </w:r>
          </w:p>
        </w:tc>
        <w:tc>
          <w:tcPr>
            <w:tcW w:w="1291" w:type="dxa"/>
            <w:vAlign w:val="center"/>
          </w:tcPr>
          <w:p w:rsidR="00A40A8A" w:rsidRDefault="0068496D">
            <w:pPr>
              <w:jc w:val="right"/>
            </w:pPr>
            <w:r>
              <w:rPr>
                <w:rFonts w:eastAsiaTheme="minorEastAsia"/>
                <w:color w:val="000000" w:themeColor="text1"/>
                <w:szCs w:val="21"/>
              </w:rPr>
              <w:t>-15.65%</w:t>
            </w:r>
          </w:p>
        </w:tc>
        <w:tc>
          <w:tcPr>
            <w:tcW w:w="1291" w:type="dxa"/>
            <w:vAlign w:val="center"/>
          </w:tcPr>
          <w:p w:rsidR="00A40A8A" w:rsidRDefault="0068496D">
            <w:pPr>
              <w:jc w:val="right"/>
            </w:pPr>
            <w:r>
              <w:rPr>
                <w:rFonts w:eastAsiaTheme="minorEastAsia"/>
                <w:color w:val="000000" w:themeColor="text1"/>
                <w:szCs w:val="21"/>
              </w:rPr>
              <w:t>0.90%</w:t>
            </w:r>
          </w:p>
        </w:tc>
        <w:tc>
          <w:tcPr>
            <w:tcW w:w="1291" w:type="dxa"/>
            <w:vAlign w:val="center"/>
          </w:tcPr>
          <w:p w:rsidR="00A40A8A" w:rsidRDefault="0068496D">
            <w:pPr>
              <w:jc w:val="right"/>
            </w:pPr>
            <w:r>
              <w:rPr>
                <w:rFonts w:eastAsiaTheme="minorEastAsia"/>
                <w:color w:val="000000" w:themeColor="text1"/>
                <w:szCs w:val="21"/>
              </w:rPr>
              <w:t>-24.06%</w:t>
            </w:r>
          </w:p>
        </w:tc>
        <w:tc>
          <w:tcPr>
            <w:tcW w:w="1291" w:type="dxa"/>
            <w:vAlign w:val="center"/>
          </w:tcPr>
          <w:p w:rsidR="00A40A8A" w:rsidRDefault="0068496D">
            <w:pPr>
              <w:jc w:val="right"/>
            </w:pPr>
            <w:r>
              <w:rPr>
                <w:rFonts w:eastAsiaTheme="minorEastAsia"/>
                <w:color w:val="000000" w:themeColor="text1"/>
                <w:szCs w:val="21"/>
              </w:rPr>
              <w:t>0.70%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摩根转型动力灵活配置混合型证券投资基金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25</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．摩根转型动力混合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40A8A" w:rsidRDefault="0068496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w:t>
      </w:r>
      <w:r>
        <w:rPr>
          <w:rFonts w:eastAsiaTheme="minorEastAsia"/>
          <w:color w:val="000000" w:themeColor="text1"/>
          <w:szCs w:val="21"/>
        </w:rPr>
        <w:t xml:space="preserve"> </w:t>
      </w:r>
      <w:r>
        <w:rPr>
          <w:rFonts w:eastAsiaTheme="minorEastAsia"/>
          <w:color w:val="000000" w:themeColor="text1"/>
          <w:szCs w:val="21"/>
        </w:rPr>
        <w:t>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．摩根转型动力混合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40A8A" w:rsidRDefault="0068496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A40A8A">
        <w:tc>
          <w:tcPr>
            <w:tcW w:w="952" w:type="dxa"/>
            <w:vAlign w:val="center"/>
          </w:tcPr>
          <w:p w:rsidR="00A40A8A" w:rsidRDefault="0068496D">
            <w:pPr>
              <w:jc w:val="center"/>
            </w:pPr>
            <w:r>
              <w:rPr>
                <w:rFonts w:eastAsiaTheme="minorEastAsia"/>
                <w:color w:val="000000" w:themeColor="text1"/>
                <w:szCs w:val="21"/>
              </w:rPr>
              <w:t>杨景喻</w:t>
            </w:r>
          </w:p>
        </w:tc>
        <w:tc>
          <w:tcPr>
            <w:tcW w:w="930" w:type="dxa"/>
            <w:vAlign w:val="center"/>
          </w:tcPr>
          <w:p w:rsidR="00A40A8A" w:rsidRDefault="0068496D">
            <w:pPr>
              <w:jc w:val="center"/>
            </w:pPr>
            <w:r>
              <w:rPr>
                <w:rFonts w:eastAsiaTheme="minorEastAsia"/>
                <w:color w:val="000000" w:themeColor="text1"/>
                <w:szCs w:val="21"/>
              </w:rPr>
              <w:t>本基金基金经理</w:t>
            </w:r>
          </w:p>
        </w:tc>
        <w:tc>
          <w:tcPr>
            <w:tcW w:w="1210" w:type="dxa"/>
            <w:vAlign w:val="center"/>
          </w:tcPr>
          <w:p w:rsidR="00A40A8A" w:rsidRDefault="0068496D">
            <w:pPr>
              <w:jc w:val="center"/>
            </w:pPr>
            <w:r>
              <w:rPr>
                <w:rFonts w:eastAsiaTheme="minorEastAsia"/>
                <w:color w:val="000000" w:themeColor="text1"/>
                <w:szCs w:val="21"/>
              </w:rPr>
              <w:t>2021-10-29</w:t>
            </w:r>
          </w:p>
        </w:tc>
        <w:tc>
          <w:tcPr>
            <w:tcW w:w="1309" w:type="dxa"/>
            <w:vAlign w:val="center"/>
          </w:tcPr>
          <w:p w:rsidR="00A40A8A" w:rsidRDefault="0068496D">
            <w:pPr>
              <w:jc w:val="center"/>
            </w:pPr>
            <w:r>
              <w:rPr>
                <w:rFonts w:eastAsiaTheme="minorEastAsia"/>
                <w:color w:val="000000" w:themeColor="text1"/>
                <w:szCs w:val="21"/>
              </w:rPr>
              <w:t>-</w:t>
            </w:r>
          </w:p>
        </w:tc>
        <w:tc>
          <w:tcPr>
            <w:tcW w:w="1254" w:type="dxa"/>
            <w:vAlign w:val="center"/>
          </w:tcPr>
          <w:p w:rsidR="00A40A8A" w:rsidRDefault="0068496D">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A40A8A" w:rsidRDefault="0068496D">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bl>
    <w:p w:rsidR="00A40A8A" w:rsidRDefault="0068496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杨景喻</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2,118,028,173.73</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2,315,827,602.47</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2022-06-06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4,433,855,776.20</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A40A8A" w:rsidRDefault="0068496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A40A8A" w:rsidRDefault="0068496D">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A40A8A" w:rsidRDefault="0068496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lastRenderedPageBreak/>
        <w:t>4.4.1</w:t>
      </w:r>
      <w:r w:rsidRPr="00B27A29">
        <w:rPr>
          <w:rFonts w:eastAsiaTheme="minorEastAsia"/>
          <w:color w:val="000000" w:themeColor="text1"/>
          <w:szCs w:val="21"/>
        </w:rPr>
        <w:t>报告期内基金投资策略和运作分析</w:t>
      </w:r>
    </w:p>
    <w:p w:rsidR="00A40A8A" w:rsidRDefault="0068496D">
      <w:pPr>
        <w:spacing w:line="360" w:lineRule="auto"/>
        <w:ind w:firstLineChars="200" w:firstLine="420"/>
        <w:rPr>
          <w:rFonts w:eastAsiaTheme="minorEastAsia"/>
          <w:color w:val="000000" w:themeColor="text1"/>
          <w:szCs w:val="21"/>
        </w:rPr>
      </w:pPr>
      <w:r>
        <w:rPr>
          <w:rFonts w:eastAsiaTheme="minorEastAsia"/>
          <w:color w:val="000000" w:themeColor="text1"/>
          <w:szCs w:val="21"/>
        </w:rPr>
        <w:t>今年第三季度宏观经济较前期有所改善。财政及货币政策逐步发力，房地产政策进一步差异化放松，宏观经济逐步走出最疲弱的阶段，采购经理人指数（</w:t>
      </w:r>
      <w:r>
        <w:rPr>
          <w:rFonts w:eastAsiaTheme="minorEastAsia"/>
          <w:color w:val="000000" w:themeColor="text1"/>
          <w:szCs w:val="21"/>
        </w:rPr>
        <w:t>PMI</w:t>
      </w:r>
      <w:r>
        <w:rPr>
          <w:rFonts w:eastAsiaTheme="minorEastAsia"/>
          <w:color w:val="000000" w:themeColor="text1"/>
          <w:szCs w:val="21"/>
        </w:rPr>
        <w:t>）开始改善。尽管曙光初现，但仍然存在几个目前还较难得出结论的问题</w:t>
      </w:r>
      <w:r>
        <w:rPr>
          <w:rFonts w:eastAsiaTheme="minorEastAsia"/>
          <w:color w:val="000000" w:themeColor="text1"/>
          <w:szCs w:val="21"/>
        </w:rPr>
        <w:t>。第一，居民边际消费意愿能否恢复到</w:t>
      </w:r>
      <w:r>
        <w:rPr>
          <w:rFonts w:eastAsiaTheme="minorEastAsia"/>
          <w:color w:val="000000" w:themeColor="text1"/>
          <w:szCs w:val="21"/>
        </w:rPr>
        <w:t>2020</w:t>
      </w:r>
      <w:r>
        <w:rPr>
          <w:rFonts w:eastAsiaTheme="minorEastAsia"/>
          <w:color w:val="000000" w:themeColor="text1"/>
          <w:szCs w:val="21"/>
        </w:rPr>
        <w:t>年之前；第二，宏观经济的长期增长率底线是否已经触达；第三，过去几年经受重大变化的全球化及国际贸易是否能改善。市场对这些长期的问题的短期看法显然是悲观的，因此，本季度的指数表现较差，行业结构较上一季度亦有显著的变化。本季度的一个突出特点，就是高股息个股的表现显著优于其他，而高景气度、高成长行业、个股大多表现不佳。我们此前所重仓的人工智能（</w:t>
      </w:r>
      <w:r>
        <w:rPr>
          <w:rFonts w:eastAsiaTheme="minorEastAsia"/>
          <w:color w:val="000000" w:themeColor="text1"/>
          <w:szCs w:val="21"/>
        </w:rPr>
        <w:t>AI</w:t>
      </w:r>
      <w:r>
        <w:rPr>
          <w:rFonts w:eastAsiaTheme="minorEastAsia"/>
          <w:color w:val="000000" w:themeColor="text1"/>
          <w:szCs w:val="21"/>
        </w:rPr>
        <w:t>）相关的公司以及光伏企业在本季度出现较为明显的回调，对业绩表现带来了不利的影响。</w:t>
      </w:r>
    </w:p>
    <w:p w:rsidR="00A40A8A" w:rsidRDefault="0068496D">
      <w:pPr>
        <w:spacing w:line="360" w:lineRule="auto"/>
        <w:ind w:firstLineChars="200" w:firstLine="420"/>
        <w:rPr>
          <w:rFonts w:eastAsiaTheme="minorEastAsia"/>
          <w:color w:val="000000" w:themeColor="text1"/>
          <w:szCs w:val="21"/>
        </w:rPr>
      </w:pPr>
      <w:r>
        <w:rPr>
          <w:rFonts w:eastAsiaTheme="minorEastAsia"/>
          <w:color w:val="000000" w:themeColor="text1"/>
          <w:szCs w:val="21"/>
        </w:rPr>
        <w:t>虽然目前的宏观经济、全球贸易仍然有诸多不利的因</w:t>
      </w:r>
      <w:r>
        <w:rPr>
          <w:rFonts w:eastAsiaTheme="minorEastAsia"/>
          <w:color w:val="000000" w:themeColor="text1"/>
          <w:szCs w:val="21"/>
        </w:rPr>
        <w:t>素，但我们对未来的市场仍然持谨慎乐观的态度。国内宏观经济或已经度过最差的阶段，复苏虽然较弱但正在持续发生，未来的财政、货币政策预计仍有空间。对于长期的问题，我们认为解决的根本一方面在于科技的发展，制造业的全球竞争力的提升，另一方面在于持续的改革释放制度的红利。我国的企业尤其是制造业企业，在过去的数十年间已经涌现出一批技术壁垒高、产品质量好，初步具备全球竞争力的企业；我国的国内市场仍然具备较大的消费潜力；而人口的老龄化则带来了相关产业的良好发展机遇；更重要的一点，我国的人民具备勤劳的传统、持续提升的教育水平，</w:t>
      </w:r>
      <w:r>
        <w:rPr>
          <w:rFonts w:eastAsiaTheme="minorEastAsia"/>
          <w:color w:val="000000" w:themeColor="text1"/>
          <w:szCs w:val="21"/>
        </w:rPr>
        <w:t>只要我们的制度红利能够持续释放，我国的经济发展具备相当大的空间。这些方向上，不乏性价比持续提升的高竞争力优质企业，他们的成长性有望持续得到验证。</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此，我们继续看好以人工智能、算力为代表的科技行业，三季度的回调提升了相关优秀企业的投资性价比。部分高景气度行业如新能源汽车，本季度体现出更高的成长性。同时，我们看到部分行业如电子、医药在经历了前期的不景气、以及政策的负面影响后，基本面正在逐步改善，估值亦处于历史上较低的分位，投资机会更为明确。我们将会在这些具有性价比的方向中优中选优，争取为持有人创造超额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A40A8A" w:rsidRDefault="0068496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本报告期摩根转型动力</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:-18.45%</w:t>
      </w:r>
      <w:r>
        <w:rPr>
          <w:rFonts w:eastAsiaTheme="minorEastAsia"/>
          <w:color w:val="000000" w:themeColor="text1"/>
          <w:szCs w:val="21"/>
        </w:rPr>
        <w:t>，同期业绩比较基准收益率为</w:t>
      </w:r>
      <w:r>
        <w:rPr>
          <w:rFonts w:eastAsiaTheme="minorEastAsia"/>
          <w:color w:val="000000" w:themeColor="text1"/>
          <w:szCs w:val="21"/>
        </w:rPr>
        <w:t>:-3.19%</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摩根转型动力</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:-18.58%</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:-3.19%</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147,547,625.83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83.13</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147,547,625.83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83.13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29,813,521.87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16.80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135,650.05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177,496,797.75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125,321,426.12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73.77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7,058,296.71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7,879,830.00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4.64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5,179,418.00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1,644,255.00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464,400.00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147,547,625.83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86.85</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A40A8A">
        <w:tc>
          <w:tcPr>
            <w:tcW w:w="817" w:type="dxa"/>
            <w:vAlign w:val="center"/>
          </w:tcPr>
          <w:p w:rsidR="00A40A8A" w:rsidRDefault="0068496D">
            <w:pPr>
              <w:jc w:val="center"/>
            </w:pPr>
            <w:r>
              <w:rPr>
                <w:rFonts w:eastAsiaTheme="minorEastAsia"/>
                <w:kern w:val="0"/>
                <w:szCs w:val="21"/>
              </w:rPr>
              <w:t>1</w:t>
            </w:r>
          </w:p>
        </w:tc>
        <w:tc>
          <w:tcPr>
            <w:tcW w:w="1276" w:type="dxa"/>
            <w:vAlign w:val="center"/>
          </w:tcPr>
          <w:p w:rsidR="00A40A8A" w:rsidRDefault="0068496D">
            <w:pPr>
              <w:jc w:val="center"/>
            </w:pPr>
            <w:r>
              <w:rPr>
                <w:rFonts w:eastAsiaTheme="minorEastAsia"/>
                <w:kern w:val="0"/>
                <w:szCs w:val="21"/>
              </w:rPr>
              <w:t>002236</w:t>
            </w:r>
          </w:p>
        </w:tc>
        <w:tc>
          <w:tcPr>
            <w:tcW w:w="1701" w:type="dxa"/>
            <w:vAlign w:val="center"/>
          </w:tcPr>
          <w:p w:rsidR="00A40A8A" w:rsidRDefault="0068496D">
            <w:pPr>
              <w:jc w:val="center"/>
            </w:pPr>
            <w:r>
              <w:rPr>
                <w:rFonts w:eastAsiaTheme="minorEastAsia"/>
                <w:kern w:val="0"/>
                <w:szCs w:val="21"/>
              </w:rPr>
              <w:t>大华股份</w:t>
            </w:r>
          </w:p>
        </w:tc>
        <w:tc>
          <w:tcPr>
            <w:tcW w:w="1276" w:type="dxa"/>
            <w:vAlign w:val="center"/>
          </w:tcPr>
          <w:p w:rsidR="00A40A8A" w:rsidRDefault="0068496D">
            <w:pPr>
              <w:jc w:val="right"/>
            </w:pPr>
            <w:r>
              <w:rPr>
                <w:rFonts w:eastAsiaTheme="minorEastAsia"/>
                <w:kern w:val="0"/>
                <w:szCs w:val="21"/>
              </w:rPr>
              <w:t>496,474</w:t>
            </w:r>
          </w:p>
        </w:tc>
        <w:tc>
          <w:tcPr>
            <w:tcW w:w="1842" w:type="dxa"/>
            <w:vAlign w:val="center"/>
          </w:tcPr>
          <w:p w:rsidR="00A40A8A" w:rsidRDefault="0068496D">
            <w:pPr>
              <w:jc w:val="right"/>
            </w:pPr>
            <w:r>
              <w:rPr>
                <w:rFonts w:eastAsiaTheme="minorEastAsia"/>
                <w:kern w:val="0"/>
                <w:szCs w:val="21"/>
              </w:rPr>
              <w:t>11,056,475.98</w:t>
            </w:r>
          </w:p>
        </w:tc>
        <w:tc>
          <w:tcPr>
            <w:tcW w:w="1616" w:type="dxa"/>
            <w:vAlign w:val="center"/>
          </w:tcPr>
          <w:p w:rsidR="00A40A8A" w:rsidRDefault="0068496D">
            <w:pPr>
              <w:jc w:val="right"/>
            </w:pPr>
            <w:r>
              <w:rPr>
                <w:rFonts w:eastAsiaTheme="minorEastAsia"/>
                <w:kern w:val="0"/>
                <w:szCs w:val="21"/>
              </w:rPr>
              <w:t>6.51</w:t>
            </w:r>
          </w:p>
        </w:tc>
      </w:tr>
      <w:tr w:rsidR="00A40A8A">
        <w:tc>
          <w:tcPr>
            <w:tcW w:w="817" w:type="dxa"/>
            <w:vAlign w:val="center"/>
          </w:tcPr>
          <w:p w:rsidR="00A40A8A" w:rsidRDefault="0068496D">
            <w:pPr>
              <w:jc w:val="center"/>
            </w:pPr>
            <w:r>
              <w:rPr>
                <w:rFonts w:eastAsiaTheme="minorEastAsia"/>
                <w:kern w:val="0"/>
                <w:szCs w:val="21"/>
              </w:rPr>
              <w:t>2</w:t>
            </w:r>
          </w:p>
        </w:tc>
        <w:tc>
          <w:tcPr>
            <w:tcW w:w="1276" w:type="dxa"/>
            <w:vAlign w:val="center"/>
          </w:tcPr>
          <w:p w:rsidR="00A40A8A" w:rsidRDefault="0068496D">
            <w:pPr>
              <w:jc w:val="center"/>
            </w:pPr>
            <w:r>
              <w:rPr>
                <w:rFonts w:eastAsiaTheme="minorEastAsia"/>
                <w:kern w:val="0"/>
                <w:szCs w:val="21"/>
              </w:rPr>
              <w:t>600519</w:t>
            </w:r>
          </w:p>
        </w:tc>
        <w:tc>
          <w:tcPr>
            <w:tcW w:w="1701" w:type="dxa"/>
            <w:vAlign w:val="center"/>
          </w:tcPr>
          <w:p w:rsidR="00A40A8A" w:rsidRDefault="0068496D">
            <w:pPr>
              <w:jc w:val="center"/>
            </w:pPr>
            <w:r>
              <w:rPr>
                <w:rFonts w:eastAsiaTheme="minorEastAsia"/>
                <w:kern w:val="0"/>
                <w:szCs w:val="21"/>
              </w:rPr>
              <w:t>贵州茅台</w:t>
            </w:r>
          </w:p>
        </w:tc>
        <w:tc>
          <w:tcPr>
            <w:tcW w:w="1276" w:type="dxa"/>
            <w:vAlign w:val="center"/>
          </w:tcPr>
          <w:p w:rsidR="00A40A8A" w:rsidRDefault="0068496D">
            <w:pPr>
              <w:jc w:val="right"/>
            </w:pPr>
            <w:r>
              <w:rPr>
                <w:rFonts w:eastAsiaTheme="minorEastAsia"/>
                <w:kern w:val="0"/>
                <w:szCs w:val="21"/>
              </w:rPr>
              <w:t>5,800</w:t>
            </w:r>
          </w:p>
        </w:tc>
        <w:tc>
          <w:tcPr>
            <w:tcW w:w="1842" w:type="dxa"/>
            <w:vAlign w:val="center"/>
          </w:tcPr>
          <w:p w:rsidR="00A40A8A" w:rsidRDefault="0068496D">
            <w:pPr>
              <w:jc w:val="right"/>
            </w:pPr>
            <w:r>
              <w:rPr>
                <w:rFonts w:eastAsiaTheme="minorEastAsia"/>
                <w:kern w:val="0"/>
                <w:szCs w:val="21"/>
              </w:rPr>
              <w:t>10,431,590.00</w:t>
            </w:r>
          </w:p>
        </w:tc>
        <w:tc>
          <w:tcPr>
            <w:tcW w:w="1616" w:type="dxa"/>
            <w:vAlign w:val="center"/>
          </w:tcPr>
          <w:p w:rsidR="00A40A8A" w:rsidRDefault="0068496D">
            <w:pPr>
              <w:jc w:val="right"/>
            </w:pPr>
            <w:r>
              <w:rPr>
                <w:rFonts w:eastAsiaTheme="minorEastAsia"/>
                <w:kern w:val="0"/>
                <w:szCs w:val="21"/>
              </w:rPr>
              <w:t>6.14</w:t>
            </w:r>
          </w:p>
        </w:tc>
      </w:tr>
      <w:tr w:rsidR="00A40A8A">
        <w:tc>
          <w:tcPr>
            <w:tcW w:w="817" w:type="dxa"/>
            <w:vAlign w:val="center"/>
          </w:tcPr>
          <w:p w:rsidR="00A40A8A" w:rsidRDefault="0068496D">
            <w:pPr>
              <w:jc w:val="center"/>
            </w:pPr>
            <w:r>
              <w:rPr>
                <w:rFonts w:eastAsiaTheme="minorEastAsia"/>
                <w:kern w:val="0"/>
                <w:szCs w:val="21"/>
              </w:rPr>
              <w:t>3</w:t>
            </w:r>
          </w:p>
        </w:tc>
        <w:tc>
          <w:tcPr>
            <w:tcW w:w="1276" w:type="dxa"/>
            <w:vAlign w:val="center"/>
          </w:tcPr>
          <w:p w:rsidR="00A40A8A" w:rsidRDefault="0068496D">
            <w:pPr>
              <w:jc w:val="center"/>
            </w:pPr>
            <w:r>
              <w:rPr>
                <w:rFonts w:eastAsiaTheme="minorEastAsia"/>
                <w:kern w:val="0"/>
                <w:szCs w:val="21"/>
              </w:rPr>
              <w:t>601138</w:t>
            </w:r>
          </w:p>
        </w:tc>
        <w:tc>
          <w:tcPr>
            <w:tcW w:w="1701" w:type="dxa"/>
            <w:vAlign w:val="center"/>
          </w:tcPr>
          <w:p w:rsidR="00A40A8A" w:rsidRDefault="0068496D">
            <w:pPr>
              <w:jc w:val="center"/>
            </w:pPr>
            <w:r>
              <w:rPr>
                <w:rFonts w:eastAsiaTheme="minorEastAsia"/>
                <w:kern w:val="0"/>
                <w:szCs w:val="21"/>
              </w:rPr>
              <w:t>工业富联</w:t>
            </w:r>
          </w:p>
        </w:tc>
        <w:tc>
          <w:tcPr>
            <w:tcW w:w="1276" w:type="dxa"/>
            <w:vAlign w:val="center"/>
          </w:tcPr>
          <w:p w:rsidR="00A40A8A" w:rsidRDefault="0068496D">
            <w:pPr>
              <w:jc w:val="right"/>
            </w:pPr>
            <w:r>
              <w:rPr>
                <w:rFonts w:eastAsiaTheme="minorEastAsia"/>
                <w:kern w:val="0"/>
                <w:szCs w:val="21"/>
              </w:rPr>
              <w:t>424,700</w:t>
            </w:r>
          </w:p>
        </w:tc>
        <w:tc>
          <w:tcPr>
            <w:tcW w:w="1842" w:type="dxa"/>
            <w:vAlign w:val="center"/>
          </w:tcPr>
          <w:p w:rsidR="00A40A8A" w:rsidRDefault="0068496D">
            <w:pPr>
              <w:jc w:val="right"/>
            </w:pPr>
            <w:r>
              <w:rPr>
                <w:rFonts w:eastAsiaTheme="minorEastAsia"/>
                <w:kern w:val="0"/>
                <w:szCs w:val="21"/>
              </w:rPr>
              <w:t>8,366,590.00</w:t>
            </w:r>
          </w:p>
        </w:tc>
        <w:tc>
          <w:tcPr>
            <w:tcW w:w="1616" w:type="dxa"/>
            <w:vAlign w:val="center"/>
          </w:tcPr>
          <w:p w:rsidR="00A40A8A" w:rsidRDefault="0068496D">
            <w:pPr>
              <w:jc w:val="right"/>
            </w:pPr>
            <w:r>
              <w:rPr>
                <w:rFonts w:eastAsiaTheme="minorEastAsia"/>
                <w:kern w:val="0"/>
                <w:szCs w:val="21"/>
              </w:rPr>
              <w:t>4.92</w:t>
            </w:r>
          </w:p>
        </w:tc>
      </w:tr>
      <w:tr w:rsidR="00A40A8A">
        <w:tc>
          <w:tcPr>
            <w:tcW w:w="817" w:type="dxa"/>
            <w:vAlign w:val="center"/>
          </w:tcPr>
          <w:p w:rsidR="00A40A8A" w:rsidRDefault="0068496D">
            <w:pPr>
              <w:jc w:val="center"/>
            </w:pPr>
            <w:r>
              <w:rPr>
                <w:rFonts w:eastAsiaTheme="minorEastAsia"/>
                <w:kern w:val="0"/>
                <w:szCs w:val="21"/>
              </w:rPr>
              <w:t>4</w:t>
            </w:r>
          </w:p>
        </w:tc>
        <w:tc>
          <w:tcPr>
            <w:tcW w:w="1276" w:type="dxa"/>
            <w:vAlign w:val="center"/>
          </w:tcPr>
          <w:p w:rsidR="00A40A8A" w:rsidRDefault="0068496D">
            <w:pPr>
              <w:jc w:val="center"/>
            </w:pPr>
            <w:r>
              <w:rPr>
                <w:rFonts w:eastAsiaTheme="minorEastAsia"/>
                <w:kern w:val="0"/>
                <w:szCs w:val="21"/>
              </w:rPr>
              <w:t>300308</w:t>
            </w:r>
          </w:p>
        </w:tc>
        <w:tc>
          <w:tcPr>
            <w:tcW w:w="1701" w:type="dxa"/>
            <w:vAlign w:val="center"/>
          </w:tcPr>
          <w:p w:rsidR="00A40A8A" w:rsidRDefault="0068496D">
            <w:pPr>
              <w:jc w:val="center"/>
            </w:pPr>
            <w:r>
              <w:rPr>
                <w:rFonts w:eastAsiaTheme="minorEastAsia"/>
                <w:kern w:val="0"/>
                <w:szCs w:val="21"/>
              </w:rPr>
              <w:t>中际旭创</w:t>
            </w:r>
          </w:p>
        </w:tc>
        <w:tc>
          <w:tcPr>
            <w:tcW w:w="1276" w:type="dxa"/>
            <w:vAlign w:val="center"/>
          </w:tcPr>
          <w:p w:rsidR="00A40A8A" w:rsidRDefault="0068496D">
            <w:pPr>
              <w:jc w:val="right"/>
            </w:pPr>
            <w:r>
              <w:rPr>
                <w:rFonts w:eastAsiaTheme="minorEastAsia"/>
                <w:kern w:val="0"/>
                <w:szCs w:val="21"/>
              </w:rPr>
              <w:t>62,790</w:t>
            </w:r>
          </w:p>
        </w:tc>
        <w:tc>
          <w:tcPr>
            <w:tcW w:w="1842" w:type="dxa"/>
            <w:vAlign w:val="center"/>
          </w:tcPr>
          <w:p w:rsidR="00A40A8A" w:rsidRDefault="0068496D">
            <w:pPr>
              <w:jc w:val="right"/>
            </w:pPr>
            <w:r>
              <w:rPr>
                <w:rFonts w:eastAsiaTheme="minorEastAsia"/>
                <w:kern w:val="0"/>
                <w:szCs w:val="21"/>
              </w:rPr>
              <w:t>7,271,082.00</w:t>
            </w:r>
          </w:p>
        </w:tc>
        <w:tc>
          <w:tcPr>
            <w:tcW w:w="1616" w:type="dxa"/>
            <w:vAlign w:val="center"/>
          </w:tcPr>
          <w:p w:rsidR="00A40A8A" w:rsidRDefault="0068496D">
            <w:pPr>
              <w:jc w:val="right"/>
            </w:pPr>
            <w:r>
              <w:rPr>
                <w:rFonts w:eastAsiaTheme="minorEastAsia"/>
                <w:kern w:val="0"/>
                <w:szCs w:val="21"/>
              </w:rPr>
              <w:t>4.28</w:t>
            </w:r>
          </w:p>
        </w:tc>
      </w:tr>
      <w:tr w:rsidR="00A40A8A">
        <w:tc>
          <w:tcPr>
            <w:tcW w:w="817" w:type="dxa"/>
            <w:vAlign w:val="center"/>
          </w:tcPr>
          <w:p w:rsidR="00A40A8A" w:rsidRDefault="0068496D">
            <w:pPr>
              <w:jc w:val="center"/>
            </w:pPr>
            <w:r>
              <w:rPr>
                <w:rFonts w:eastAsiaTheme="minorEastAsia"/>
                <w:kern w:val="0"/>
                <w:szCs w:val="21"/>
              </w:rPr>
              <w:t>5</w:t>
            </w:r>
          </w:p>
        </w:tc>
        <w:tc>
          <w:tcPr>
            <w:tcW w:w="1276" w:type="dxa"/>
            <w:vAlign w:val="center"/>
          </w:tcPr>
          <w:p w:rsidR="00A40A8A" w:rsidRDefault="0068496D">
            <w:pPr>
              <w:jc w:val="center"/>
            </w:pPr>
            <w:r>
              <w:rPr>
                <w:rFonts w:eastAsiaTheme="minorEastAsia"/>
                <w:kern w:val="0"/>
                <w:szCs w:val="21"/>
              </w:rPr>
              <w:t>300750</w:t>
            </w:r>
          </w:p>
        </w:tc>
        <w:tc>
          <w:tcPr>
            <w:tcW w:w="1701" w:type="dxa"/>
            <w:vAlign w:val="center"/>
          </w:tcPr>
          <w:p w:rsidR="00A40A8A" w:rsidRDefault="0068496D">
            <w:pPr>
              <w:jc w:val="center"/>
            </w:pPr>
            <w:r>
              <w:rPr>
                <w:rFonts w:eastAsiaTheme="minorEastAsia"/>
                <w:kern w:val="0"/>
                <w:szCs w:val="21"/>
              </w:rPr>
              <w:t>宁德时代</w:t>
            </w:r>
          </w:p>
        </w:tc>
        <w:tc>
          <w:tcPr>
            <w:tcW w:w="1276" w:type="dxa"/>
            <w:vAlign w:val="center"/>
          </w:tcPr>
          <w:p w:rsidR="00A40A8A" w:rsidRDefault="0068496D">
            <w:pPr>
              <w:jc w:val="right"/>
            </w:pPr>
            <w:r>
              <w:rPr>
                <w:rFonts w:eastAsiaTheme="minorEastAsia"/>
                <w:kern w:val="0"/>
                <w:szCs w:val="21"/>
              </w:rPr>
              <w:t>31,917</w:t>
            </w:r>
          </w:p>
        </w:tc>
        <w:tc>
          <w:tcPr>
            <w:tcW w:w="1842" w:type="dxa"/>
            <w:vAlign w:val="center"/>
          </w:tcPr>
          <w:p w:rsidR="00A40A8A" w:rsidRDefault="0068496D">
            <w:pPr>
              <w:jc w:val="right"/>
            </w:pPr>
            <w:r>
              <w:rPr>
                <w:rFonts w:eastAsiaTheme="minorEastAsia"/>
                <w:kern w:val="0"/>
                <w:szCs w:val="21"/>
              </w:rPr>
              <w:t>6,480,108.51</w:t>
            </w:r>
          </w:p>
        </w:tc>
        <w:tc>
          <w:tcPr>
            <w:tcW w:w="1616" w:type="dxa"/>
            <w:vAlign w:val="center"/>
          </w:tcPr>
          <w:p w:rsidR="00A40A8A" w:rsidRDefault="0068496D">
            <w:pPr>
              <w:jc w:val="right"/>
            </w:pPr>
            <w:r>
              <w:rPr>
                <w:rFonts w:eastAsiaTheme="minorEastAsia"/>
                <w:kern w:val="0"/>
                <w:szCs w:val="21"/>
              </w:rPr>
              <w:t>3.81</w:t>
            </w:r>
          </w:p>
        </w:tc>
      </w:tr>
      <w:tr w:rsidR="00A40A8A">
        <w:tc>
          <w:tcPr>
            <w:tcW w:w="817" w:type="dxa"/>
            <w:vAlign w:val="center"/>
          </w:tcPr>
          <w:p w:rsidR="00A40A8A" w:rsidRDefault="0068496D">
            <w:pPr>
              <w:jc w:val="center"/>
            </w:pPr>
            <w:r>
              <w:rPr>
                <w:rFonts w:eastAsiaTheme="minorEastAsia"/>
                <w:kern w:val="0"/>
                <w:szCs w:val="21"/>
              </w:rPr>
              <w:t>6</w:t>
            </w:r>
          </w:p>
        </w:tc>
        <w:tc>
          <w:tcPr>
            <w:tcW w:w="1276" w:type="dxa"/>
            <w:vAlign w:val="center"/>
          </w:tcPr>
          <w:p w:rsidR="00A40A8A" w:rsidRDefault="0068496D">
            <w:pPr>
              <w:jc w:val="center"/>
            </w:pPr>
            <w:r>
              <w:rPr>
                <w:rFonts w:eastAsiaTheme="minorEastAsia"/>
                <w:kern w:val="0"/>
                <w:szCs w:val="21"/>
              </w:rPr>
              <w:t>002050</w:t>
            </w:r>
          </w:p>
        </w:tc>
        <w:tc>
          <w:tcPr>
            <w:tcW w:w="1701" w:type="dxa"/>
            <w:vAlign w:val="center"/>
          </w:tcPr>
          <w:p w:rsidR="00A40A8A" w:rsidRDefault="0068496D">
            <w:pPr>
              <w:jc w:val="center"/>
            </w:pPr>
            <w:r>
              <w:rPr>
                <w:rFonts w:eastAsiaTheme="minorEastAsia"/>
                <w:kern w:val="0"/>
                <w:szCs w:val="21"/>
              </w:rPr>
              <w:t>三花智控</w:t>
            </w:r>
          </w:p>
        </w:tc>
        <w:tc>
          <w:tcPr>
            <w:tcW w:w="1276" w:type="dxa"/>
            <w:vAlign w:val="center"/>
          </w:tcPr>
          <w:p w:rsidR="00A40A8A" w:rsidRDefault="0068496D">
            <w:pPr>
              <w:jc w:val="right"/>
            </w:pPr>
            <w:r>
              <w:rPr>
                <w:rFonts w:eastAsiaTheme="minorEastAsia"/>
                <w:kern w:val="0"/>
                <w:szCs w:val="21"/>
              </w:rPr>
              <w:t>194,360</w:t>
            </w:r>
          </w:p>
        </w:tc>
        <w:tc>
          <w:tcPr>
            <w:tcW w:w="1842" w:type="dxa"/>
            <w:vAlign w:val="center"/>
          </w:tcPr>
          <w:p w:rsidR="00A40A8A" w:rsidRDefault="0068496D">
            <w:pPr>
              <w:jc w:val="right"/>
            </w:pPr>
            <w:r>
              <w:rPr>
                <w:rFonts w:eastAsiaTheme="minorEastAsia"/>
                <w:kern w:val="0"/>
                <w:szCs w:val="21"/>
              </w:rPr>
              <w:t>5,772,492.00</w:t>
            </w:r>
          </w:p>
        </w:tc>
        <w:tc>
          <w:tcPr>
            <w:tcW w:w="1616" w:type="dxa"/>
            <w:vAlign w:val="center"/>
          </w:tcPr>
          <w:p w:rsidR="00A40A8A" w:rsidRDefault="0068496D">
            <w:pPr>
              <w:jc w:val="right"/>
            </w:pPr>
            <w:r>
              <w:rPr>
                <w:rFonts w:eastAsiaTheme="minorEastAsia"/>
                <w:kern w:val="0"/>
                <w:szCs w:val="21"/>
              </w:rPr>
              <w:t>3.40</w:t>
            </w:r>
          </w:p>
        </w:tc>
      </w:tr>
      <w:tr w:rsidR="00A40A8A">
        <w:tc>
          <w:tcPr>
            <w:tcW w:w="817" w:type="dxa"/>
            <w:vAlign w:val="center"/>
          </w:tcPr>
          <w:p w:rsidR="00A40A8A" w:rsidRDefault="0068496D">
            <w:pPr>
              <w:jc w:val="center"/>
            </w:pPr>
            <w:r>
              <w:rPr>
                <w:rFonts w:eastAsiaTheme="minorEastAsia"/>
                <w:kern w:val="0"/>
                <w:szCs w:val="21"/>
              </w:rPr>
              <w:t>7</w:t>
            </w:r>
          </w:p>
        </w:tc>
        <w:tc>
          <w:tcPr>
            <w:tcW w:w="1276" w:type="dxa"/>
            <w:vAlign w:val="center"/>
          </w:tcPr>
          <w:p w:rsidR="00A40A8A" w:rsidRDefault="0068496D">
            <w:pPr>
              <w:jc w:val="center"/>
            </w:pPr>
            <w:r>
              <w:rPr>
                <w:rFonts w:eastAsiaTheme="minorEastAsia"/>
                <w:kern w:val="0"/>
                <w:szCs w:val="21"/>
              </w:rPr>
              <w:t>603259</w:t>
            </w:r>
          </w:p>
        </w:tc>
        <w:tc>
          <w:tcPr>
            <w:tcW w:w="1701" w:type="dxa"/>
            <w:vAlign w:val="center"/>
          </w:tcPr>
          <w:p w:rsidR="00A40A8A" w:rsidRDefault="0068496D">
            <w:pPr>
              <w:jc w:val="center"/>
            </w:pPr>
            <w:r>
              <w:rPr>
                <w:rFonts w:eastAsiaTheme="minorEastAsia"/>
                <w:kern w:val="0"/>
                <w:szCs w:val="21"/>
              </w:rPr>
              <w:t>药明康德</w:t>
            </w:r>
          </w:p>
        </w:tc>
        <w:tc>
          <w:tcPr>
            <w:tcW w:w="1276" w:type="dxa"/>
            <w:vAlign w:val="center"/>
          </w:tcPr>
          <w:p w:rsidR="00A40A8A" w:rsidRDefault="0068496D">
            <w:pPr>
              <w:jc w:val="right"/>
            </w:pPr>
            <w:r>
              <w:rPr>
                <w:rFonts w:eastAsiaTheme="minorEastAsia"/>
                <w:kern w:val="0"/>
                <w:szCs w:val="21"/>
              </w:rPr>
              <w:t>60,100</w:t>
            </w:r>
          </w:p>
        </w:tc>
        <w:tc>
          <w:tcPr>
            <w:tcW w:w="1842" w:type="dxa"/>
            <w:vAlign w:val="center"/>
          </w:tcPr>
          <w:p w:rsidR="00A40A8A" w:rsidRDefault="0068496D">
            <w:pPr>
              <w:jc w:val="right"/>
            </w:pPr>
            <w:r>
              <w:rPr>
                <w:rFonts w:eastAsiaTheme="minorEastAsia"/>
                <w:kern w:val="0"/>
                <w:szCs w:val="21"/>
              </w:rPr>
              <w:t>5,179,418.00</w:t>
            </w:r>
          </w:p>
        </w:tc>
        <w:tc>
          <w:tcPr>
            <w:tcW w:w="1616" w:type="dxa"/>
            <w:vAlign w:val="center"/>
          </w:tcPr>
          <w:p w:rsidR="00A40A8A" w:rsidRDefault="0068496D">
            <w:pPr>
              <w:jc w:val="right"/>
            </w:pPr>
            <w:r>
              <w:rPr>
                <w:rFonts w:eastAsiaTheme="minorEastAsia"/>
                <w:kern w:val="0"/>
                <w:szCs w:val="21"/>
              </w:rPr>
              <w:t>3.05</w:t>
            </w:r>
          </w:p>
        </w:tc>
      </w:tr>
      <w:tr w:rsidR="00A40A8A">
        <w:tc>
          <w:tcPr>
            <w:tcW w:w="817" w:type="dxa"/>
            <w:vAlign w:val="center"/>
          </w:tcPr>
          <w:p w:rsidR="00A40A8A" w:rsidRDefault="0068496D">
            <w:pPr>
              <w:jc w:val="center"/>
            </w:pPr>
            <w:r>
              <w:rPr>
                <w:rFonts w:eastAsiaTheme="minorEastAsia"/>
                <w:kern w:val="0"/>
                <w:szCs w:val="21"/>
              </w:rPr>
              <w:t>8</w:t>
            </w:r>
          </w:p>
        </w:tc>
        <w:tc>
          <w:tcPr>
            <w:tcW w:w="1276" w:type="dxa"/>
            <w:vAlign w:val="center"/>
          </w:tcPr>
          <w:p w:rsidR="00A40A8A" w:rsidRDefault="0068496D">
            <w:pPr>
              <w:jc w:val="center"/>
            </w:pPr>
            <w:r>
              <w:rPr>
                <w:rFonts w:eastAsiaTheme="minorEastAsia"/>
                <w:kern w:val="0"/>
                <w:szCs w:val="21"/>
              </w:rPr>
              <w:t>300394</w:t>
            </w:r>
          </w:p>
        </w:tc>
        <w:tc>
          <w:tcPr>
            <w:tcW w:w="1701" w:type="dxa"/>
            <w:vAlign w:val="center"/>
          </w:tcPr>
          <w:p w:rsidR="00A40A8A" w:rsidRDefault="0068496D">
            <w:pPr>
              <w:jc w:val="center"/>
            </w:pPr>
            <w:r>
              <w:rPr>
                <w:rFonts w:eastAsiaTheme="minorEastAsia"/>
                <w:kern w:val="0"/>
                <w:szCs w:val="21"/>
              </w:rPr>
              <w:t>天孚通信</w:t>
            </w:r>
          </w:p>
        </w:tc>
        <w:tc>
          <w:tcPr>
            <w:tcW w:w="1276" w:type="dxa"/>
            <w:vAlign w:val="center"/>
          </w:tcPr>
          <w:p w:rsidR="00A40A8A" w:rsidRDefault="0068496D">
            <w:pPr>
              <w:jc w:val="right"/>
            </w:pPr>
            <w:r>
              <w:rPr>
                <w:rFonts w:eastAsiaTheme="minorEastAsia"/>
                <w:kern w:val="0"/>
                <w:szCs w:val="21"/>
              </w:rPr>
              <w:t>53,982</w:t>
            </w:r>
          </w:p>
        </w:tc>
        <w:tc>
          <w:tcPr>
            <w:tcW w:w="1842" w:type="dxa"/>
            <w:vAlign w:val="center"/>
          </w:tcPr>
          <w:p w:rsidR="00A40A8A" w:rsidRDefault="0068496D">
            <w:pPr>
              <w:jc w:val="right"/>
            </w:pPr>
            <w:r>
              <w:rPr>
                <w:rFonts w:eastAsiaTheme="minorEastAsia"/>
                <w:kern w:val="0"/>
                <w:szCs w:val="21"/>
              </w:rPr>
              <w:t>5,128,290.00</w:t>
            </w:r>
          </w:p>
        </w:tc>
        <w:tc>
          <w:tcPr>
            <w:tcW w:w="1616" w:type="dxa"/>
            <w:vAlign w:val="center"/>
          </w:tcPr>
          <w:p w:rsidR="00A40A8A" w:rsidRDefault="0068496D">
            <w:pPr>
              <w:jc w:val="right"/>
            </w:pPr>
            <w:r>
              <w:rPr>
                <w:rFonts w:eastAsiaTheme="minorEastAsia"/>
                <w:kern w:val="0"/>
                <w:szCs w:val="21"/>
              </w:rPr>
              <w:t>3.02</w:t>
            </w:r>
          </w:p>
        </w:tc>
      </w:tr>
      <w:tr w:rsidR="00A40A8A">
        <w:tc>
          <w:tcPr>
            <w:tcW w:w="817" w:type="dxa"/>
            <w:vAlign w:val="center"/>
          </w:tcPr>
          <w:p w:rsidR="00A40A8A" w:rsidRDefault="0068496D">
            <w:pPr>
              <w:jc w:val="center"/>
            </w:pPr>
            <w:r>
              <w:rPr>
                <w:rFonts w:eastAsiaTheme="minorEastAsia"/>
                <w:kern w:val="0"/>
                <w:szCs w:val="21"/>
              </w:rPr>
              <w:t>9</w:t>
            </w:r>
          </w:p>
        </w:tc>
        <w:tc>
          <w:tcPr>
            <w:tcW w:w="1276" w:type="dxa"/>
            <w:vAlign w:val="center"/>
          </w:tcPr>
          <w:p w:rsidR="00A40A8A" w:rsidRDefault="0068496D">
            <w:pPr>
              <w:jc w:val="center"/>
            </w:pPr>
            <w:r>
              <w:rPr>
                <w:rFonts w:eastAsiaTheme="minorEastAsia"/>
                <w:kern w:val="0"/>
                <w:szCs w:val="21"/>
              </w:rPr>
              <w:t>000568</w:t>
            </w:r>
          </w:p>
        </w:tc>
        <w:tc>
          <w:tcPr>
            <w:tcW w:w="1701" w:type="dxa"/>
            <w:vAlign w:val="center"/>
          </w:tcPr>
          <w:p w:rsidR="00A40A8A" w:rsidRDefault="0068496D">
            <w:pPr>
              <w:jc w:val="center"/>
            </w:pPr>
            <w:r>
              <w:rPr>
                <w:rFonts w:eastAsiaTheme="minorEastAsia"/>
                <w:kern w:val="0"/>
                <w:szCs w:val="21"/>
              </w:rPr>
              <w:t>泸州老窖</w:t>
            </w:r>
          </w:p>
        </w:tc>
        <w:tc>
          <w:tcPr>
            <w:tcW w:w="1276" w:type="dxa"/>
            <w:vAlign w:val="center"/>
          </w:tcPr>
          <w:p w:rsidR="00A40A8A" w:rsidRDefault="0068496D">
            <w:pPr>
              <w:jc w:val="right"/>
            </w:pPr>
            <w:r>
              <w:rPr>
                <w:rFonts w:eastAsiaTheme="minorEastAsia"/>
                <w:kern w:val="0"/>
                <w:szCs w:val="21"/>
              </w:rPr>
              <w:t>22,600</w:t>
            </w:r>
          </w:p>
        </w:tc>
        <w:tc>
          <w:tcPr>
            <w:tcW w:w="1842" w:type="dxa"/>
            <w:vAlign w:val="center"/>
          </w:tcPr>
          <w:p w:rsidR="00A40A8A" w:rsidRDefault="0068496D">
            <w:pPr>
              <w:jc w:val="right"/>
            </w:pPr>
            <w:r>
              <w:rPr>
                <w:rFonts w:eastAsiaTheme="minorEastAsia"/>
                <w:kern w:val="0"/>
                <w:szCs w:val="21"/>
              </w:rPr>
              <w:t>4,896,290.00</w:t>
            </w:r>
          </w:p>
        </w:tc>
        <w:tc>
          <w:tcPr>
            <w:tcW w:w="1616" w:type="dxa"/>
            <w:vAlign w:val="center"/>
          </w:tcPr>
          <w:p w:rsidR="00A40A8A" w:rsidRDefault="0068496D">
            <w:pPr>
              <w:jc w:val="right"/>
            </w:pPr>
            <w:r>
              <w:rPr>
                <w:rFonts w:eastAsiaTheme="minorEastAsia"/>
                <w:kern w:val="0"/>
                <w:szCs w:val="21"/>
              </w:rPr>
              <w:t>2.88</w:t>
            </w:r>
          </w:p>
        </w:tc>
      </w:tr>
      <w:tr w:rsidR="00A40A8A">
        <w:tc>
          <w:tcPr>
            <w:tcW w:w="817" w:type="dxa"/>
            <w:vAlign w:val="center"/>
          </w:tcPr>
          <w:p w:rsidR="00A40A8A" w:rsidRDefault="0068496D">
            <w:pPr>
              <w:jc w:val="center"/>
            </w:pPr>
            <w:r>
              <w:rPr>
                <w:rFonts w:eastAsiaTheme="minorEastAsia"/>
                <w:kern w:val="0"/>
                <w:szCs w:val="21"/>
              </w:rPr>
              <w:t>10</w:t>
            </w:r>
          </w:p>
        </w:tc>
        <w:tc>
          <w:tcPr>
            <w:tcW w:w="1276" w:type="dxa"/>
            <w:vAlign w:val="center"/>
          </w:tcPr>
          <w:p w:rsidR="00A40A8A" w:rsidRDefault="0068496D">
            <w:pPr>
              <w:jc w:val="center"/>
            </w:pPr>
            <w:r>
              <w:rPr>
                <w:rFonts w:eastAsiaTheme="minorEastAsia"/>
                <w:kern w:val="0"/>
                <w:szCs w:val="21"/>
              </w:rPr>
              <w:t>688188</w:t>
            </w:r>
          </w:p>
        </w:tc>
        <w:tc>
          <w:tcPr>
            <w:tcW w:w="1701" w:type="dxa"/>
            <w:vAlign w:val="center"/>
          </w:tcPr>
          <w:p w:rsidR="00A40A8A" w:rsidRDefault="0068496D">
            <w:pPr>
              <w:jc w:val="center"/>
            </w:pPr>
            <w:r>
              <w:rPr>
                <w:rFonts w:eastAsiaTheme="minorEastAsia"/>
                <w:kern w:val="0"/>
                <w:szCs w:val="21"/>
              </w:rPr>
              <w:t>柏楚电子</w:t>
            </w:r>
          </w:p>
        </w:tc>
        <w:tc>
          <w:tcPr>
            <w:tcW w:w="1276" w:type="dxa"/>
            <w:vAlign w:val="center"/>
          </w:tcPr>
          <w:p w:rsidR="00A40A8A" w:rsidRDefault="0068496D">
            <w:pPr>
              <w:jc w:val="right"/>
            </w:pPr>
            <w:r>
              <w:rPr>
                <w:rFonts w:eastAsiaTheme="minorEastAsia"/>
                <w:kern w:val="0"/>
                <w:szCs w:val="21"/>
              </w:rPr>
              <w:t>18,871</w:t>
            </w:r>
          </w:p>
        </w:tc>
        <w:tc>
          <w:tcPr>
            <w:tcW w:w="1842" w:type="dxa"/>
            <w:vAlign w:val="center"/>
          </w:tcPr>
          <w:p w:rsidR="00A40A8A" w:rsidRDefault="0068496D">
            <w:pPr>
              <w:jc w:val="right"/>
            </w:pPr>
            <w:r>
              <w:rPr>
                <w:rFonts w:eastAsiaTheme="minorEastAsia"/>
                <w:kern w:val="0"/>
                <w:szCs w:val="21"/>
              </w:rPr>
              <w:t>4,706,238.69</w:t>
            </w:r>
          </w:p>
        </w:tc>
        <w:tc>
          <w:tcPr>
            <w:tcW w:w="1616" w:type="dxa"/>
            <w:vAlign w:val="center"/>
          </w:tcPr>
          <w:p w:rsidR="00A40A8A" w:rsidRDefault="0068496D">
            <w:pPr>
              <w:jc w:val="right"/>
            </w:pPr>
            <w:r>
              <w:rPr>
                <w:rFonts w:eastAsiaTheme="minorEastAsia"/>
                <w:kern w:val="0"/>
                <w:szCs w:val="21"/>
              </w:rPr>
              <w:t>2.77</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120,920.48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14,729.57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135,650.05</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95,839,829.41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127,611.61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1,898,480.07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106,595.23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3,228,345.97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65,058.33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94,509,963.51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169,148.51</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A40A8A" w:rsidRDefault="0068496D">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中国证监会批准本基金设立的文件；</w:t>
      </w:r>
      <w:r>
        <w:rPr>
          <w:rFonts w:eastAsiaTheme="minorEastAsia"/>
          <w:color w:val="000000" w:themeColor="text1"/>
          <w:szCs w:val="21"/>
        </w:rPr>
        <w:t xml:space="preserve"> </w:t>
      </w:r>
    </w:p>
    <w:p w:rsidR="00A40A8A" w:rsidRDefault="0068496D">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《摩根转型动力灵活配置混合型证券投资基金基金合同》；</w:t>
      </w:r>
      <w:r>
        <w:rPr>
          <w:rFonts w:eastAsiaTheme="minorEastAsia"/>
          <w:color w:val="000000" w:themeColor="text1"/>
          <w:szCs w:val="21"/>
        </w:rPr>
        <w:t xml:space="preserve"> </w:t>
      </w:r>
    </w:p>
    <w:p w:rsidR="00A40A8A" w:rsidRDefault="0068496D">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《摩根转型动力灵活配置混合型证券投资基金基金托管协议》；</w:t>
      </w:r>
      <w:r>
        <w:rPr>
          <w:rFonts w:eastAsiaTheme="minorEastAsia"/>
          <w:color w:val="000000" w:themeColor="text1"/>
          <w:szCs w:val="21"/>
        </w:rPr>
        <w:t xml:space="preserve"> </w:t>
      </w:r>
    </w:p>
    <w:p w:rsidR="00A40A8A" w:rsidRDefault="0068496D">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r>
        <w:rPr>
          <w:rFonts w:eastAsiaTheme="minorEastAsia"/>
          <w:color w:val="000000" w:themeColor="text1"/>
          <w:szCs w:val="21"/>
        </w:rPr>
        <w:t xml:space="preserve"> </w:t>
      </w:r>
    </w:p>
    <w:p w:rsidR="00A40A8A" w:rsidRDefault="0068496D">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二〇二三年十月二十五日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8496D">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8496D">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8496D">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摩根转型动力灵活配置混合型证券投资基金</w:t>
    </w:r>
    <w:r>
      <w:t>2023</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141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496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0A8A"/>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90B73F-3442-49A1-9026-E7BF117B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24</TotalTime>
  <Pages>13</Pages>
  <Words>1132</Words>
  <Characters>6458</Characters>
  <Application>Microsoft Office Word</Application>
  <DocSecurity>0</DocSecurity>
  <Lines>53</Lines>
  <Paragraphs>15</Paragraphs>
  <ScaleCrop>false</ScaleCrop>
  <Company>TRT. Ltd. Co.</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Xiaodi.Wang@FA</cp:lastModifiedBy>
  <cp:revision>221</cp:revision>
  <cp:lastPrinted>2007-07-19T00:46:00Z</cp:lastPrinted>
  <dcterms:created xsi:type="dcterms:W3CDTF">2013-06-21T06:56:00Z</dcterms:created>
  <dcterms:modified xsi:type="dcterms:W3CDTF">2023-10-24T06:59:00Z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