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上投摩根核心成长股票型证券投资基金</w:t>
      </w: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2020年第1季度报告</w:t>
      </w:r>
    </w:p>
    <w:p>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2020年3月31日</w:t>
      </w: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rPr>
          <w:rFonts w:asciiTheme="minorEastAsia" w:eastAsiaTheme="minorEastAsia" w:hAnsiTheme="minorEastAsia"/>
          <w:b/>
          <w:bCs/>
          <w:color w:themeColor="text1" w:val="000000"/>
          <w:sz w:val="24"/>
          <w:szCs w:val="24"/>
        </w:rPr>
      </w:pP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上投摩根基金管理有限公司</w:t>
      </w: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中国银行股份有限公司</w:t>
      </w:r>
    </w:p>
    <w:p>
      <w:pPr>
        <w:spacing w:line="360" w:lineRule="auto"/>
        <w:ind w:firstLine="2168" w:firstLineChars="900"/>
        <w:rPr>
          <w:rFonts w:asciiTheme="minorEastAsia" w:eastAsiaTheme="minorEastAsia" w:hAnsiTheme="minorEastAsia"/>
          <w:b/>
          <w:color w:themeColor="text1" w:val="000000"/>
          <w:sz w:val="24"/>
          <w:szCs w:val="24"/>
        </w:rPr>
        <w:sectPr>
          <w:headerReference r:id="rId3" w:type="default"/>
          <w:footerReference r:id="rId4" w:type="default"/>
          <w:pgSz w:h="15840" w:w="11926"/>
          <w:pgMar w:bottom="851" w:footer="992" w:gutter="0" w:header="851" w:left="1418" w:right="1418" w:top="1418"/>
          <w:cols w:num="1"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r>
        <w:rPr>
          <w:rFonts w:asciiTheme="minorEastAsia" w:eastAsiaTheme="minorEastAsia" w:hAnsiTheme="minorEastAsia" w:hint="eastAsia"/>
          <w:b/>
          <w:color w:themeColor="text1" w:val="000000"/>
          <w:sz w:val="24"/>
          <w:szCs w:val="24"/>
        </w:rPr>
        <w:t/>
      </w:r>
      <w:r>
        <w:rPr>
          <w:rFonts w:asciiTheme="minorEastAsia" w:eastAsiaTheme="minorEastAsia" w:hAnsiTheme="minorEastAsia"/>
          <w:b/>
          <w:color w:themeColor="text1" w:val="000000"/>
          <w:sz w:val="24"/>
          <w:szCs w:val="24"/>
        </w:rPr>
        <w:t>二〇二〇年四月二十二日</w:t>
      </w:r>
    </w:p>
    <w:p>
      <w:pPr>
        <w:pStyle w:val="2"/>
        <w:spacing w:afterLines="100"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基金托管人中国银行股份有限公司根据本基金合同规定，于2020年4月21日复核了本报告中的财务指标、净值表现和投资组合报告等内容，保证复核内容不存在虚假记载、误导性陈述或者重大遗漏。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本报告期自2020年1月1日起至3月31日止。</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Style w:val="30"/>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2835"/>
        <w:gridCol w:w="2739"/>
        <w:gridCol w:w="274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上投摩根核心成长股票</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000457</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000457</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契约型开放式</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2014年2月10日</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1,366,509,510.55</w:t>
            </w:r>
            <w:r>
              <w:rPr>
                <w:rFonts w:asciiTheme="minorEastAsia" w:eastAsiaTheme="minorEastAsia" w:hAnsiTheme="minorEastAsia" w:hint="eastAsia"/>
                <w:color w:themeColor="text1" w:val="000000"/>
                <w:kern w:val="0"/>
              </w:rPr>
              <w:t>份</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本基金将充分利用管理人的投资研究平台，通过系统和深入的基本面研究，选择公司治理良好且具有较高增长潜力的公司进行投资，力争实现基金资产的长期稳定增值。</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采用“自下而上”的个股精选策略，综合运用定量分析与定性分析的手段，基于公司内部研究团队对于个股基本面的深入研究和细致的实地调研，重点投资于公司治理良好且具有较高增长潜力的公司。在行业配置层面，本基金将对宏观经济发展状况及趋势、行业周期性及景气度、行业相对估值水平等方面进行研究，判断各个行业的相对投资价值，参考整体市场的行业资产分布比例，确定和动态调整各个行业的配置比例。在个股选择层面，本基金通过纪律化的投资约束，力争最大程度地将内部研究成果转化为投资业绩，公司研究团队负责内部研究组合的构建与维护。</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沪深300指数收益率×85%+中债总指数收益率×15%</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本基金属于股票型基金产品，预期风险和收益水平高于混合型基金、债券型基金和货币市场基金 ，属于较高风险收益水平的基金产品。</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本基金风险收益特征会定期评估并在公司网站发布，请投资者关注。</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上投摩根基金管理有限公司</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中国银行股份有限公司</w:t>
            </w:r>
          </w:p>
        </w:tc>
      </w:tr>
    </w:tbl>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单位：人民币元</w:t>
      </w:r>
    </w:p>
    <w:tbl>
      <w:tblPr>
        <w:tblStyle w:val="30"/>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3402"/>
        <w:gridCol w:w="2552"/>
        <w:gridCol w:w="241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
        </w:tc>
        <w:tc>
          <w:tcPr>
            <w:tcW w:type="dxa" w:w="4962"/>
            <w:hMerge w:val="restart"/>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2020年1月1日-2020年3月31日</w:t>
            </w:r>
            <w:r>
              <w:rPr>
                <w:rFonts w:asciiTheme="minorEastAsia" w:cs="宋体" w:eastAsiaTheme="minorEastAsia" w:hAnsiTheme="minorEastAsia" w:hint="eastAsia"/>
                <w:color w:themeColor="text1" w:val="000000"/>
              </w:rPr>
              <w:t>)</w:t>
            </w:r>
          </w:p>
        </w:tc>
        <w:tc>
          <w:tcPr>
            <w:tcW w:type="dxa" w:w="2410"/>
            <w:hMerge/>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162,472,554.37</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-118,555,463.49</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-0.0738</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2,291,100,011.72</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trHeight w:hRule="atLeast" w:val="158"/>
        </w:trPr>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1.677</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本报告期基金份额净值增长率及其与同期业绩比较基准收益率的比较</w:t>
      </w:r>
    </w:p>
    <w:tbl>
      <w:tblPr>
        <w:tblStyle w:val="31"/>
        <w:tblW w:type="dxa" w:w="842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395"/>
        <w:gridCol w:w="1092"/>
        <w:gridCol w:w="1161"/>
        <w:gridCol w:w="1181"/>
        <w:gridCol w:w="1188"/>
        <w:gridCol w:w="1199"/>
        <w:gridCol w:w="120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95"/>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阶段</w:t>
            </w:r>
          </w:p>
        </w:tc>
        <w:tc>
          <w:tcPr>
            <w:tcW w:type="dxa" w:w="1092"/>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净值增长率①</w:t>
            </w:r>
          </w:p>
        </w:tc>
        <w:tc>
          <w:tcPr>
            <w:tcW w:type="dxa" w:w="116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净值增长率标准差②</w:t>
            </w:r>
          </w:p>
        </w:tc>
        <w:tc>
          <w:tcPr>
            <w:tcW w:type="dxa" w:w="118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业绩比较基准收益率③</w:t>
            </w:r>
          </w:p>
        </w:tc>
        <w:tc>
          <w:tcPr>
            <w:tcW w:type="dxa" w:w="1188"/>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业绩比较基准收益率标准差④</w:t>
            </w:r>
          </w:p>
        </w:tc>
        <w:tc>
          <w:tcPr>
            <w:tcW w:type="dxa" w:w="1199"/>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①</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③</w:t>
            </w:r>
          </w:p>
        </w:tc>
        <w:tc>
          <w:tcPr>
            <w:tcW w:type="dxa" w:w="1204"/>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②</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④</w:t>
            </w:r>
          </w:p>
        </w:tc>
      </w:tr>
      <w:tr>
        <w:tc>
          <w:tcPr>
            <w:vAlign w:val="center"/>
          </w:tcPr>
          <w:p>
            <w:pPr>
              <w:jc w:val="left"/>
            </w:pPr>
            <w:r>
              <w:rPr>
                <w:rFonts w:asciiTheme="minorEastAsia" w:eastAsiaTheme="minorEastAsia" w:hAnsiTheme="minorEastAsia"/>
                <w:color w:themeColor="text1" w:val="000000"/>
                <w:kern w:val="0"/>
                <w:sz w:val="21"/>
              </w:rPr>
              <w:t>过去三个月</w:t>
            </w:r>
          </w:p>
        </w:tc>
        <w:tc>
          <w:tcPr>
            <w:vAlign w:val="center"/>
          </w:tcPr>
          <w:p>
            <w:pPr>
              <w:jc w:val="center"/>
            </w:pPr>
            <w:r>
              <w:rPr>
                <w:rFonts w:asciiTheme="minorEastAsia" w:eastAsiaTheme="minorEastAsia" w:hAnsiTheme="minorEastAsia"/>
                <w:color w:themeColor="text1" w:val="000000"/>
                <w:kern w:val="0"/>
                <w:sz w:val="21"/>
              </w:rPr>
              <w:t>-5.25%</w:t>
            </w:r>
          </w:p>
        </w:tc>
        <w:tc>
          <w:tcPr>
            <w:vAlign w:val="center"/>
          </w:tcPr>
          <w:p>
            <w:pPr>
              <w:jc w:val="center"/>
            </w:pPr>
            <w:r>
              <w:rPr>
                <w:rFonts w:asciiTheme="minorEastAsia" w:eastAsiaTheme="minorEastAsia" w:hAnsiTheme="minorEastAsia"/>
                <w:color w:themeColor="text1" w:val="000000"/>
                <w:kern w:val="0"/>
                <w:sz w:val="21"/>
              </w:rPr>
              <w:t>1.96%</w:t>
            </w:r>
          </w:p>
        </w:tc>
        <w:tc>
          <w:tcPr>
            <w:vAlign w:val="center"/>
          </w:tcPr>
          <w:p>
            <w:pPr>
              <w:jc w:val="center"/>
            </w:pPr>
            <w:r>
              <w:rPr>
                <w:rFonts w:asciiTheme="minorEastAsia" w:eastAsiaTheme="minorEastAsia" w:hAnsiTheme="minorEastAsia"/>
                <w:color w:themeColor="text1" w:val="000000"/>
                <w:kern w:val="0"/>
                <w:sz w:val="21"/>
              </w:rPr>
              <w:t>-8.13%</w:t>
            </w:r>
          </w:p>
        </w:tc>
        <w:tc>
          <w:tcPr>
            <w:vAlign w:val="center"/>
          </w:tcPr>
          <w:p>
            <w:pPr>
              <w:jc w:val="center"/>
            </w:pPr>
            <w:r>
              <w:rPr>
                <w:rFonts w:asciiTheme="minorEastAsia" w:eastAsiaTheme="minorEastAsia" w:hAnsiTheme="minorEastAsia"/>
                <w:color w:themeColor="text1" w:val="000000"/>
                <w:kern w:val="0"/>
                <w:sz w:val="21"/>
              </w:rPr>
              <w:t>1.65%</w:t>
            </w:r>
          </w:p>
        </w:tc>
        <w:tc>
          <w:tcPr>
            <w:vAlign w:val="center"/>
          </w:tcPr>
          <w:p>
            <w:pPr>
              <w:jc w:val="center"/>
            </w:pPr>
            <w:r>
              <w:rPr>
                <w:rFonts w:asciiTheme="minorEastAsia" w:eastAsiaTheme="minorEastAsia" w:hAnsiTheme="minorEastAsia"/>
                <w:color w:themeColor="text1" w:val="000000"/>
                <w:kern w:val="0"/>
                <w:sz w:val="21"/>
              </w:rPr>
              <w:t>2.88%</w:t>
            </w:r>
          </w:p>
        </w:tc>
        <w:tc>
          <w:tcPr>
            <w:vAlign w:val="center"/>
          </w:tcPr>
          <w:p>
            <w:pPr>
              <w:jc w:val="center"/>
            </w:pPr>
            <w:r>
              <w:rPr>
                <w:rFonts w:asciiTheme="minorEastAsia" w:eastAsiaTheme="minorEastAsia" w:hAnsiTheme="minorEastAsia"/>
                <w:color w:themeColor="text1" w:val="000000"/>
                <w:kern w:val="0"/>
                <w:sz w:val="21"/>
              </w:rPr>
              <w:t>0.31%</w:t>
            </w:r>
          </w:p>
        </w:tc>
      </w:tr>
    </w:tbl>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24"/>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上投摩根核心成长股票型证券投资基金</w:t>
      </w:r>
    </w:p>
    <w:p>
      <w:pPr>
        <w:pStyle w:val="11"/>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pPr>
        <w:pStyle w:val="11"/>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2014年2月10日</w:t>
      </w:r>
      <w:r>
        <w:rPr>
          <w:rFonts w:asciiTheme="minorEastAsia" w:eastAsiaTheme="minorEastAsia" w:hAnsiTheme="minorEastAsia" w:hint="eastAsia"/>
          <w:color w:themeColor="text1" w:val="000000"/>
        </w:rPr>
        <w:t>至2020年3月31日)</w:t>
      </w:r>
    </w:p>
    <w:p>
      <w:pPr>
        <w:pStyle w:val="11"/>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drawing>
          <wp:inline distB="0" distL="0" distR="0" distT="0">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注：本基金合同生效日为2014年2月10日，图示时间段为2014年2月10日至2020年3月31日。</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本基金建仓期自2014年2月10日至2014年8月8日，建仓期结束时资产配置比例符合本基金基金合同规定。</w:t>
      </w:r>
    </w:p>
    <w:p>
      <w:pPr>
        <w:tabs>
          <w:tab w:pos="1800" w:val="left"/>
        </w:tabs>
        <w:spacing w:line="360" w:lineRule="auto"/>
        <w:rPr>
          <w:rFonts w:asciiTheme="minorEastAsia" w:eastAsiaTheme="minorEastAsia" w:hAnsiTheme="minorEastAsia"/>
          <w:color w:themeColor="text1" w:val="000000"/>
          <w:sz w:val="24"/>
          <w:szCs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Style w:val="30"/>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51"/>
        <w:gridCol w:w="850"/>
        <w:gridCol w:w="1560"/>
        <w:gridCol w:w="1559"/>
        <w:gridCol w:w="1417"/>
        <w:gridCol w:w="269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Height w:hRule="atLeast" w:val="292"/>
        </w:trPr>
        <w:tc>
          <w:tcPr>
            <w:tcW w:type="dxa" w:w="851"/>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任本基金的基金经理期限</w:t>
            </w:r>
          </w:p>
        </w:tc>
        <w:tc>
          <w:tcPr>
            <w:tcW w:type="dxa" w:w="1417"/>
            <w:vMerge w:val="restart"/>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Pr>
        <w:tc>
          <w:tcPr>
            <w:tcW w:type="dxa" w:w="851"/>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850"/>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2694"/>
            <w:vMerge w:val="continue"/>
            <w:vAlign w:val="center"/>
          </w:tcPr>
          <w:p>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李博</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2014-12-31</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11年</w:t>
            </w:r>
          </w:p>
        </w:tc>
        <w:tc>
          <w:tcPr>
            <w:vAlign w:val="center"/>
          </w:tcPr>
          <w:p>
            <w:pPr>
              <w:jc w:val="both"/>
            </w:pPr>
            <w:r>
              <w:rPr>
                <w:rFonts w:asciiTheme="minorEastAsia" w:eastAsiaTheme="minorEastAsia" w:hAnsiTheme="minorEastAsia"/>
                <w:color w:themeColor="text1" w:val="000000"/>
              </w:rPr>
              <w:t>李博先生，上海交通大学硕士，自2009年3月至2010年10月在中银国际证券有限公司担任研究员，负责研究方面的工作，自2010年11月起加入上投摩根基金管理有限公司，先后担任行业专家、基金经理、资深基金经理，自2014年12月起担任上投摩根核心成长股票型证券投资基金基金经理，自2015年8月至2016年11月担任上投摩根科技前沿灵活配置混合型证券投资基金基金经理，自2015年9月起同时担任上投摩根阿尔法混合型证券投资基金基金经理，自2016年10月起同时担任上投摩根双息平衡混合型证券投资基金基金经理，自2018年11月起同时担任上投摩根核心精选股票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 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2. 证券从业的含义遵从行业协会《证券业从业人员资格管理办法》的相关规定。</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核心成长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一季度，市场结构性分化较明显，沪深300下跌10.02%，创业板上涨4.1%。板块方面，农林牧渔、医药和计算机领涨，石油石化、家电和非银行金融跌幅较大。我们认为短期的疫情不会影响中国经济长期的发展，市场经历回调后，一些优质个股的投资价值明显提升。本基金重点配置了估值和成长相匹配的个股，此外，本季度还减持了部分前期超额收益较多的个股，增持了部分市场关注度不高的成长股。</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进入二季度，我们判断市场机会将大于风险，A股有望呈现结构性的投资机会。我们将继续以精选个股作为首要方向。首先，重点关注成长股，尤其是近两年涨幅不大但业绩稳定增长的个股，这些个股伴随业绩兑现全年有望获得超额收益；其次，关注大消费领域，居民可支配收入仍处于稳步提升阶段，和居民消费相关的领域存在投资机会；最后，关注经济转型带来的投资机会。</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本报告期上投摩根核心成长股票份额净值增长率为:-5.25%，同期业绩比较基准收益率为:-8.13%。</w:t>
      </w:r>
    </w:p>
    <w:p>
      <w:pPr>
        <w:spacing w:line="360" w:lineRule="auto"/>
        <w:ind w:firstLine="480" w:firstLineChars="200"/>
        <w:rPr>
          <w:rFonts w:asciiTheme="minorEastAsia" w:eastAsiaTheme="minorEastAsia" w:hAnsiTheme="minorEastAsia"/>
          <w:color w:themeColor="text1" w:val="000000"/>
          <w:sz w:val="24"/>
          <w:szCs w:val="24"/>
        </w:rPr>
      </w:pP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31"/>
        <w:tblW w:type="dxa" w:w="8897"/>
        <w:jc w:val="cente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720"/>
        <w:gridCol w:w="3357"/>
        <w:gridCol w:w="2977"/>
        <w:gridCol w:w="1843"/>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序号</w:t>
            </w:r>
          </w:p>
        </w:tc>
        <w:tc>
          <w:tcPr>
            <w:tcW w:type="dxa" w:w="335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项目</w:t>
            </w:r>
          </w:p>
        </w:tc>
        <w:tc>
          <w:tcPr>
            <w:tcW w:type="dxa" w:w="297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金额(元)</w:t>
            </w:r>
          </w:p>
        </w:tc>
        <w:tc>
          <w:tcPr>
            <w:tcW w:type="dxa" w:w="1843"/>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占基金总资产的比例(</w:t>
            </w:r>
            <w:r>
              <w:rPr>
                <w:rFonts w:asciiTheme="minorEastAsia" w:eastAsiaTheme="minorEastAsia" w:hAnsiTheme="minorEastAsia"/>
                <w:color w:themeColor="text1" w:val="000000"/>
                <w:kern w:val="0"/>
                <w:sz w:val="21"/>
              </w:rPr>
              <w:t>%</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权益投资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2,122,586,640.08</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90.40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其中：股票</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2,122,586,640.08</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90.40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固定收益投资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其中：债券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资产支持证券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3</w:t>
            </w:r>
          </w:p>
        </w:tc>
        <w:tc>
          <w:tcPr>
            <w:tcW w:type="dxa" w:w="3357"/>
          </w:tcPr>
          <w:p>
            <w:pPr>
              <w:spacing w:before="29" w:line="360" w:lineRule="auto"/>
              <w:ind w:left="105" w:leftChars="50"/>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贵金属投资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4</w:t>
            </w:r>
          </w:p>
        </w:tc>
        <w:tc>
          <w:tcPr>
            <w:tcW w:type="dxa" w:w="3357"/>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金融衍生品投资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5</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其中：买断式回购的买入返售金融资产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6</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银行存款和结算备付金合计</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211,703,307.09</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9.02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7</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其他各项资产</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13,731,213.70</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0.58</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8</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2,348,021,160.87</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100.00</w:t>
            </w:r>
          </w:p>
        </w:tc>
      </w:tr>
    </w:tbl>
    <w:p>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pPr>
        <w:rPr>
          <w:b/>
        </w:rPr>
      </w:pPr>
      <w:r>
        <w:rPr>
          <w:b/>
          <w:color w:themeColor="text1" w:val="000000"/>
        </w:rPr>
        <w:t/>
      </w:r>
      <w:r>
        <w:rPr>
          <w:rFonts w:eastAsiaTheme="minorEastAsia" w:hint="eastAsia"/>
          <w:b/>
          <w:color w:themeColor="text1" w:val="000000"/>
          <w:kern w:val="0"/>
        </w:rPr>
        <w:t>5.2.1报告期末按行业分类的境内股票投资组合</w:t>
      </w:r>
    </w:p>
    <w:tbl>
      <w:tblPr>
        <w:tblStyle w:val="30"/>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
      <w:tblGrid>
        <w:gridCol w:w="540"/>
        <w:gridCol w:w="3691"/>
        <w:gridCol w:w="2852"/>
        <w:gridCol w:w="1648"/>
      </w:tblGrid>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390"/>
        </w:trPr>
        <w:tc>
          <w:tcPr>
            <w:tcW w:type="dxa" w:w="540"/>
            <w:tcBorders>
              <w:top w:color="000000" w:space="0" w:sz="4" w:val="single"/>
              <w:left w:color="000000"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100,477,273.49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4.39</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5,129,586.00</w:t>
            </w:r>
          </w:p>
          <w:p>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0.22</w:t>
            </w:r>
          </w:p>
          <w:p>
            <w:pPr>
              <w:jc w:val="right"/>
              <w:rPr>
                <w:rFonts w:asciiTheme="minorEastAsia" w:cs="宋体" w:eastAsiaTheme="minorEastAsia" w:hAnsiTheme="minorEastAsia"/>
                <w:color w:themeColor="text1" w:val="000000"/>
                <w:kern w:val="0"/>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1,307,052,257.05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57.05</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57,597,906.07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2.51</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19,147.31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0.00</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11,417,871.32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0.50</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377,992,668.24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16.50</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251,325,662.58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10.97</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11,574,268.02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0.51</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2,122,586,640.08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92.64</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31"/>
        <w:tblW w:type="dxa" w:w="8528"/>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17"/>
        <w:gridCol w:w="1276"/>
        <w:gridCol w:w="1701"/>
        <w:gridCol w:w="1276"/>
        <w:gridCol w:w="1842"/>
        <w:gridCol w:w="1616"/>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股票代码</w:t>
            </w:r>
          </w:p>
        </w:tc>
        <w:tc>
          <w:tcPr>
            <w:tcW w:type="dxa" w:w="1701"/>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股票名称</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数量(股)</w:t>
            </w:r>
          </w:p>
        </w:tc>
        <w:tc>
          <w:tcPr>
            <w:tcW w:type="dxa" w:w="1842"/>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w:t>
            </w:r>
            <w:r>
              <w:rPr>
                <w:rFonts w:asciiTheme="minorEastAsia" w:cs="宋体" w:eastAsiaTheme="minorEastAsia" w:hAnsiTheme="minorEastAsia"/>
                <w:color w:themeColor="text1" w:val="000000"/>
                <w:kern w:val="0"/>
                <w:sz w:val="21"/>
              </w:rPr>
              <w:t>(</w:t>
            </w:r>
            <w:r>
              <w:rPr>
                <w:rFonts w:asciiTheme="minorEastAsia" w:cs="宋体" w:eastAsiaTheme="minorEastAsia" w:hAnsiTheme="minorEastAsia" w:hint="eastAsia"/>
                <w:color w:themeColor="text1" w:val="000000"/>
                <w:kern w:val="0"/>
                <w:sz w:val="21"/>
              </w:rPr>
              <w:t>元</w:t>
            </w:r>
            <w:r>
              <w:rPr>
                <w:rFonts w:asciiTheme="minorEastAsia" w:cs="宋体" w:eastAsiaTheme="minorEastAsia" w:hAnsiTheme="minorEastAsia"/>
                <w:color w:themeColor="text1" w:val="000000"/>
                <w:kern w:val="0"/>
                <w:sz w:val="21"/>
              </w:rPr>
              <w:t>)</w:t>
            </w:r>
          </w:p>
        </w:tc>
        <w:tc>
          <w:tcPr>
            <w:tcW w:type="dxa" w:w="161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p>
        </w:tc>
      </w:tr>
      <w:tr>
        <w:tc>
          <w:tcPr>
            <w:vAlign w:val="center"/>
          </w:tcPr>
          <w:p>
            <w:pPr>
              <w:jc w:val="center"/>
            </w:pPr>
            <w:r>
              <w:rPr>
                <w:rFonts w:asciiTheme="minorEastAsia" w:cs="宋体" w:eastAsiaTheme="minorEastAsia" w:hAnsiTheme="minorEastAsia"/>
                <w:color w:themeColor="text1" w:val="000000"/>
                <w:kern w:val="0"/>
                <w:sz w:val="21"/>
              </w:rPr>
              <w:t>1</w:t>
            </w:r>
          </w:p>
        </w:tc>
        <w:tc>
          <w:tcPr>
            <w:vAlign w:val="center"/>
          </w:tcPr>
          <w:p>
            <w:pPr>
              <w:jc w:val="center"/>
            </w:pPr>
            <w:r>
              <w:rPr>
                <w:rFonts w:asciiTheme="minorEastAsia" w:cs="宋体" w:eastAsiaTheme="minorEastAsia" w:hAnsiTheme="minorEastAsia"/>
                <w:color w:themeColor="text1" w:val="000000"/>
                <w:kern w:val="0"/>
                <w:sz w:val="21"/>
              </w:rPr>
              <w:t>002236</w:t>
            </w:r>
          </w:p>
        </w:tc>
        <w:tc>
          <w:tcPr>
            <w:vAlign w:val="center"/>
          </w:tcPr>
          <w:p>
            <w:pPr>
              <w:jc w:val="center"/>
            </w:pPr>
            <w:r>
              <w:rPr>
                <w:rFonts w:asciiTheme="minorEastAsia" w:cs="宋体" w:eastAsiaTheme="minorEastAsia" w:hAnsiTheme="minorEastAsia"/>
                <w:color w:themeColor="text1" w:val="000000"/>
                <w:kern w:val="0"/>
                <w:sz w:val="21"/>
              </w:rPr>
              <w:t>大华股份</w:t>
            </w:r>
          </w:p>
        </w:tc>
        <w:tc>
          <w:tcPr>
            <w:vAlign w:val="center"/>
          </w:tcPr>
          <w:p>
            <w:pPr>
              <w:jc w:val="right"/>
            </w:pPr>
            <w:r>
              <w:rPr>
                <w:rFonts w:asciiTheme="minorEastAsia" w:cs="宋体" w:eastAsiaTheme="minorEastAsia" w:hAnsiTheme="minorEastAsia"/>
                <w:color w:themeColor="text1" w:val="000000"/>
                <w:kern w:val="0"/>
                <w:sz w:val="21"/>
              </w:rPr>
              <w:t>12,601,855</w:t>
            </w:r>
          </w:p>
        </w:tc>
        <w:tc>
          <w:tcPr>
            <w:vAlign w:val="center"/>
          </w:tcPr>
          <w:p>
            <w:pPr>
              <w:jc w:val="right"/>
            </w:pPr>
            <w:r>
              <w:rPr>
                <w:rFonts w:asciiTheme="minorEastAsia" w:cs="宋体" w:eastAsiaTheme="minorEastAsia" w:hAnsiTheme="minorEastAsia"/>
                <w:color w:themeColor="text1" w:val="000000"/>
                <w:kern w:val="0"/>
                <w:sz w:val="21"/>
              </w:rPr>
              <w:t>203,771,995.35</w:t>
            </w:r>
          </w:p>
        </w:tc>
        <w:tc>
          <w:tcPr>
            <w:vAlign w:val="center"/>
          </w:tcPr>
          <w:p>
            <w:pPr>
              <w:jc w:val="right"/>
            </w:pPr>
            <w:r>
              <w:rPr>
                <w:rFonts w:asciiTheme="minorEastAsia" w:cs="宋体" w:eastAsiaTheme="minorEastAsia" w:hAnsiTheme="minorEastAsia"/>
                <w:color w:themeColor="text1" w:val="000000"/>
                <w:kern w:val="0"/>
                <w:sz w:val="21"/>
              </w:rPr>
              <w:t>8.89</w:t>
            </w:r>
          </w:p>
        </w:tc>
      </w:tr>
      <w:tr>
        <w:tc>
          <w:tcPr>
            <w:vAlign w:val="center"/>
          </w:tcPr>
          <w:p>
            <w:pPr>
              <w:jc w:val="center"/>
            </w:pPr>
            <w:r>
              <w:rPr>
                <w:rFonts w:asciiTheme="minorEastAsia" w:cs="宋体" w:eastAsiaTheme="minorEastAsia" w:hAnsiTheme="minorEastAsia"/>
                <w:color w:themeColor="text1" w:val="000000"/>
                <w:kern w:val="0"/>
                <w:sz w:val="21"/>
              </w:rPr>
              <w:t>2</w:t>
            </w:r>
          </w:p>
        </w:tc>
        <w:tc>
          <w:tcPr>
            <w:vAlign w:val="center"/>
          </w:tcPr>
          <w:p>
            <w:pPr>
              <w:jc w:val="center"/>
            </w:pPr>
            <w:r>
              <w:rPr>
                <w:rFonts w:asciiTheme="minorEastAsia" w:cs="宋体" w:eastAsiaTheme="minorEastAsia" w:hAnsiTheme="minorEastAsia"/>
                <w:color w:themeColor="text1" w:val="000000"/>
                <w:kern w:val="0"/>
                <w:sz w:val="21"/>
              </w:rPr>
              <w:t>002572</w:t>
            </w:r>
          </w:p>
        </w:tc>
        <w:tc>
          <w:tcPr>
            <w:vAlign w:val="center"/>
          </w:tcPr>
          <w:p>
            <w:pPr>
              <w:jc w:val="center"/>
            </w:pPr>
            <w:r>
              <w:rPr>
                <w:rFonts w:asciiTheme="minorEastAsia" w:cs="宋体" w:eastAsiaTheme="minorEastAsia" w:hAnsiTheme="minorEastAsia"/>
                <w:color w:themeColor="text1" w:val="000000"/>
                <w:kern w:val="0"/>
                <w:sz w:val="21"/>
              </w:rPr>
              <w:t>索菲亚</w:t>
            </w:r>
          </w:p>
        </w:tc>
        <w:tc>
          <w:tcPr>
            <w:vAlign w:val="center"/>
          </w:tcPr>
          <w:p>
            <w:pPr>
              <w:jc w:val="right"/>
            </w:pPr>
            <w:r>
              <w:rPr>
                <w:rFonts w:asciiTheme="minorEastAsia" w:cs="宋体" w:eastAsiaTheme="minorEastAsia" w:hAnsiTheme="minorEastAsia"/>
                <w:color w:themeColor="text1" w:val="000000"/>
                <w:kern w:val="0"/>
                <w:sz w:val="21"/>
              </w:rPr>
              <w:t>7,517,764</w:t>
            </w:r>
          </w:p>
        </w:tc>
        <w:tc>
          <w:tcPr>
            <w:vAlign w:val="center"/>
          </w:tcPr>
          <w:p>
            <w:pPr>
              <w:jc w:val="right"/>
            </w:pPr>
            <w:r>
              <w:rPr>
                <w:rFonts w:asciiTheme="minorEastAsia" w:cs="宋体" w:eastAsiaTheme="minorEastAsia" w:hAnsiTheme="minorEastAsia"/>
                <w:color w:themeColor="text1" w:val="000000"/>
                <w:kern w:val="0"/>
                <w:sz w:val="21"/>
              </w:rPr>
              <w:t>135,169,396.72</w:t>
            </w:r>
          </w:p>
        </w:tc>
        <w:tc>
          <w:tcPr>
            <w:vAlign w:val="center"/>
          </w:tcPr>
          <w:p>
            <w:pPr>
              <w:jc w:val="right"/>
            </w:pPr>
            <w:r>
              <w:rPr>
                <w:rFonts w:asciiTheme="minorEastAsia" w:cs="宋体" w:eastAsiaTheme="minorEastAsia" w:hAnsiTheme="minorEastAsia"/>
                <w:color w:themeColor="text1" w:val="000000"/>
                <w:kern w:val="0"/>
                <w:sz w:val="21"/>
              </w:rPr>
              <w:t>5.90</w:t>
            </w:r>
          </w:p>
        </w:tc>
      </w:tr>
      <w:tr>
        <w:tc>
          <w:tcPr>
            <w:vAlign w:val="center"/>
          </w:tcPr>
          <w:p>
            <w:pPr>
              <w:jc w:val="center"/>
            </w:pPr>
            <w:r>
              <w:rPr>
                <w:rFonts w:asciiTheme="minorEastAsia" w:cs="宋体" w:eastAsiaTheme="minorEastAsia" w:hAnsiTheme="minorEastAsia"/>
                <w:color w:themeColor="text1" w:val="000000"/>
                <w:kern w:val="0"/>
                <w:sz w:val="21"/>
              </w:rPr>
              <w:t>3</w:t>
            </w:r>
          </w:p>
        </w:tc>
        <w:tc>
          <w:tcPr>
            <w:vAlign w:val="center"/>
          </w:tcPr>
          <w:p>
            <w:pPr>
              <w:jc w:val="center"/>
            </w:pPr>
            <w:r>
              <w:rPr>
                <w:rFonts w:asciiTheme="minorEastAsia" w:cs="宋体" w:eastAsiaTheme="minorEastAsia" w:hAnsiTheme="minorEastAsia"/>
                <w:color w:themeColor="text1" w:val="000000"/>
                <w:kern w:val="0"/>
                <w:sz w:val="21"/>
              </w:rPr>
              <w:t>600031</w:t>
            </w:r>
          </w:p>
        </w:tc>
        <w:tc>
          <w:tcPr>
            <w:vAlign w:val="center"/>
          </w:tcPr>
          <w:p>
            <w:pPr>
              <w:jc w:val="center"/>
            </w:pPr>
            <w:r>
              <w:rPr>
                <w:rFonts w:asciiTheme="minorEastAsia" w:cs="宋体" w:eastAsiaTheme="minorEastAsia" w:hAnsiTheme="minorEastAsia"/>
                <w:color w:themeColor="text1" w:val="000000"/>
                <w:kern w:val="0"/>
                <w:sz w:val="21"/>
              </w:rPr>
              <w:t>三一重工</w:t>
            </w:r>
          </w:p>
        </w:tc>
        <w:tc>
          <w:tcPr>
            <w:vAlign w:val="center"/>
          </w:tcPr>
          <w:p>
            <w:pPr>
              <w:jc w:val="right"/>
            </w:pPr>
            <w:r>
              <w:rPr>
                <w:rFonts w:asciiTheme="minorEastAsia" w:cs="宋体" w:eastAsiaTheme="minorEastAsia" w:hAnsiTheme="minorEastAsia"/>
                <w:color w:themeColor="text1" w:val="000000"/>
                <w:kern w:val="0"/>
                <w:sz w:val="21"/>
              </w:rPr>
              <w:t>6,090,454</w:t>
            </w:r>
          </w:p>
        </w:tc>
        <w:tc>
          <w:tcPr>
            <w:vAlign w:val="center"/>
          </w:tcPr>
          <w:p>
            <w:pPr>
              <w:jc w:val="right"/>
            </w:pPr>
            <w:r>
              <w:rPr>
                <w:rFonts w:asciiTheme="minorEastAsia" w:cs="宋体" w:eastAsiaTheme="minorEastAsia" w:hAnsiTheme="minorEastAsia"/>
                <w:color w:themeColor="text1" w:val="000000"/>
                <w:kern w:val="0"/>
                <w:sz w:val="21"/>
              </w:rPr>
              <w:t>105,364,854.20</w:t>
            </w:r>
          </w:p>
        </w:tc>
        <w:tc>
          <w:tcPr>
            <w:vAlign w:val="center"/>
          </w:tcPr>
          <w:p>
            <w:pPr>
              <w:jc w:val="right"/>
            </w:pPr>
            <w:r>
              <w:rPr>
                <w:rFonts w:asciiTheme="minorEastAsia" w:cs="宋体" w:eastAsiaTheme="minorEastAsia" w:hAnsiTheme="minorEastAsia"/>
                <w:color w:themeColor="text1" w:val="000000"/>
                <w:kern w:val="0"/>
                <w:sz w:val="21"/>
              </w:rPr>
              <w:t>4.60</w:t>
            </w:r>
          </w:p>
        </w:tc>
      </w:tr>
      <w:tr>
        <w:tc>
          <w:tcPr>
            <w:vAlign w:val="center"/>
          </w:tcPr>
          <w:p>
            <w:pPr>
              <w:jc w:val="center"/>
            </w:pPr>
            <w:r>
              <w:rPr>
                <w:rFonts w:asciiTheme="minorEastAsia" w:cs="宋体" w:eastAsiaTheme="minorEastAsia" w:hAnsiTheme="minorEastAsia"/>
                <w:color w:themeColor="text1" w:val="000000"/>
                <w:kern w:val="0"/>
                <w:sz w:val="21"/>
              </w:rPr>
              <w:t>4</w:t>
            </w:r>
          </w:p>
        </w:tc>
        <w:tc>
          <w:tcPr>
            <w:vAlign w:val="center"/>
          </w:tcPr>
          <w:p>
            <w:pPr>
              <w:jc w:val="center"/>
            </w:pPr>
            <w:r>
              <w:rPr>
                <w:rFonts w:asciiTheme="minorEastAsia" w:cs="宋体" w:eastAsiaTheme="minorEastAsia" w:hAnsiTheme="minorEastAsia"/>
                <w:color w:themeColor="text1" w:val="000000"/>
                <w:kern w:val="0"/>
                <w:sz w:val="21"/>
              </w:rPr>
              <w:t>600383</w:t>
            </w:r>
          </w:p>
        </w:tc>
        <w:tc>
          <w:tcPr>
            <w:vAlign w:val="center"/>
          </w:tcPr>
          <w:p>
            <w:pPr>
              <w:jc w:val="center"/>
            </w:pPr>
            <w:r>
              <w:rPr>
                <w:rFonts w:asciiTheme="minorEastAsia" w:cs="宋体" w:eastAsiaTheme="minorEastAsia" w:hAnsiTheme="minorEastAsia"/>
                <w:color w:themeColor="text1" w:val="000000"/>
                <w:kern w:val="0"/>
                <w:sz w:val="21"/>
              </w:rPr>
              <w:t>金地集团</w:t>
            </w:r>
          </w:p>
        </w:tc>
        <w:tc>
          <w:tcPr>
            <w:vAlign w:val="center"/>
          </w:tcPr>
          <w:p>
            <w:pPr>
              <w:jc w:val="right"/>
            </w:pPr>
            <w:r>
              <w:rPr>
                <w:rFonts w:asciiTheme="minorEastAsia" w:cs="宋体" w:eastAsiaTheme="minorEastAsia" w:hAnsiTheme="minorEastAsia"/>
                <w:color w:themeColor="text1" w:val="000000"/>
                <w:kern w:val="0"/>
                <w:sz w:val="21"/>
              </w:rPr>
              <w:t>7,373,073</w:t>
            </w:r>
          </w:p>
        </w:tc>
        <w:tc>
          <w:tcPr>
            <w:vAlign w:val="center"/>
          </w:tcPr>
          <w:p>
            <w:pPr>
              <w:jc w:val="right"/>
            </w:pPr>
            <w:r>
              <w:rPr>
                <w:rFonts w:asciiTheme="minorEastAsia" w:cs="宋体" w:eastAsiaTheme="minorEastAsia" w:hAnsiTheme="minorEastAsia"/>
                <w:color w:themeColor="text1" w:val="000000"/>
                <w:kern w:val="0"/>
                <w:sz w:val="21"/>
              </w:rPr>
              <w:t>103,886,598.57</w:t>
            </w:r>
          </w:p>
        </w:tc>
        <w:tc>
          <w:tcPr>
            <w:vAlign w:val="center"/>
          </w:tcPr>
          <w:p>
            <w:pPr>
              <w:jc w:val="right"/>
            </w:pPr>
            <w:r>
              <w:rPr>
                <w:rFonts w:asciiTheme="minorEastAsia" w:cs="宋体" w:eastAsiaTheme="minorEastAsia" w:hAnsiTheme="minorEastAsia"/>
                <w:color w:themeColor="text1" w:val="000000"/>
                <w:kern w:val="0"/>
                <w:sz w:val="21"/>
              </w:rPr>
              <w:t>4.53</w:t>
            </w:r>
          </w:p>
        </w:tc>
      </w:tr>
      <w:tr>
        <w:tc>
          <w:tcPr>
            <w:vAlign w:val="center"/>
          </w:tcPr>
          <w:p>
            <w:pPr>
              <w:jc w:val="center"/>
            </w:pPr>
            <w:r>
              <w:rPr>
                <w:rFonts w:asciiTheme="minorEastAsia" w:cs="宋体" w:eastAsiaTheme="minorEastAsia" w:hAnsiTheme="minorEastAsia"/>
                <w:color w:themeColor="text1" w:val="000000"/>
                <w:kern w:val="0"/>
                <w:sz w:val="21"/>
              </w:rPr>
              <w:t>5</w:t>
            </w:r>
          </w:p>
        </w:tc>
        <w:tc>
          <w:tcPr>
            <w:vAlign w:val="center"/>
          </w:tcPr>
          <w:p>
            <w:pPr>
              <w:jc w:val="center"/>
            </w:pPr>
            <w:r>
              <w:rPr>
                <w:rFonts w:asciiTheme="minorEastAsia" w:cs="宋体" w:eastAsiaTheme="minorEastAsia" w:hAnsiTheme="minorEastAsia"/>
                <w:color w:themeColor="text1" w:val="000000"/>
                <w:kern w:val="0"/>
                <w:sz w:val="21"/>
              </w:rPr>
              <w:t>002714</w:t>
            </w:r>
          </w:p>
        </w:tc>
        <w:tc>
          <w:tcPr>
            <w:vAlign w:val="center"/>
          </w:tcPr>
          <w:p>
            <w:pPr>
              <w:jc w:val="center"/>
            </w:pPr>
            <w:r>
              <w:rPr>
                <w:rFonts w:asciiTheme="minorEastAsia" w:cs="宋体" w:eastAsiaTheme="minorEastAsia" w:hAnsiTheme="minorEastAsia"/>
                <w:color w:themeColor="text1" w:val="000000"/>
                <w:kern w:val="0"/>
                <w:sz w:val="21"/>
              </w:rPr>
              <w:t>牧原股份</w:t>
            </w:r>
          </w:p>
        </w:tc>
        <w:tc>
          <w:tcPr>
            <w:vAlign w:val="center"/>
          </w:tcPr>
          <w:p>
            <w:pPr>
              <w:jc w:val="right"/>
            </w:pPr>
            <w:r>
              <w:rPr>
                <w:rFonts w:asciiTheme="minorEastAsia" w:cs="宋体" w:eastAsiaTheme="minorEastAsia" w:hAnsiTheme="minorEastAsia"/>
                <w:color w:themeColor="text1" w:val="000000"/>
                <w:kern w:val="0"/>
                <w:sz w:val="21"/>
              </w:rPr>
              <w:t>822,169</w:t>
            </w:r>
          </w:p>
        </w:tc>
        <w:tc>
          <w:tcPr>
            <w:vAlign w:val="center"/>
          </w:tcPr>
          <w:p>
            <w:pPr>
              <w:jc w:val="right"/>
            </w:pPr>
            <w:r>
              <w:rPr>
                <w:rFonts w:asciiTheme="minorEastAsia" w:cs="宋体" w:eastAsiaTheme="minorEastAsia" w:hAnsiTheme="minorEastAsia"/>
                <w:color w:themeColor="text1" w:val="000000"/>
                <w:kern w:val="0"/>
                <w:sz w:val="21"/>
              </w:rPr>
              <w:t>100,477,273.49</w:t>
            </w:r>
          </w:p>
        </w:tc>
        <w:tc>
          <w:tcPr>
            <w:vAlign w:val="center"/>
          </w:tcPr>
          <w:p>
            <w:pPr>
              <w:jc w:val="right"/>
            </w:pPr>
            <w:r>
              <w:rPr>
                <w:rFonts w:asciiTheme="minorEastAsia" w:cs="宋体" w:eastAsiaTheme="minorEastAsia" w:hAnsiTheme="minorEastAsia"/>
                <w:color w:themeColor="text1" w:val="000000"/>
                <w:kern w:val="0"/>
                <w:sz w:val="21"/>
              </w:rPr>
              <w:t>4.39</w:t>
            </w:r>
          </w:p>
        </w:tc>
      </w:tr>
      <w:tr>
        <w:tc>
          <w:tcPr>
            <w:vAlign w:val="center"/>
          </w:tcPr>
          <w:p>
            <w:pPr>
              <w:jc w:val="center"/>
            </w:pPr>
            <w:r>
              <w:rPr>
                <w:rFonts w:asciiTheme="minorEastAsia" w:cs="宋体" w:eastAsiaTheme="minorEastAsia" w:hAnsiTheme="minorEastAsia"/>
                <w:color w:themeColor="text1" w:val="000000"/>
                <w:kern w:val="0"/>
                <w:sz w:val="21"/>
              </w:rPr>
              <w:t>6</w:t>
            </w:r>
          </w:p>
        </w:tc>
        <w:tc>
          <w:tcPr>
            <w:vAlign w:val="center"/>
          </w:tcPr>
          <w:p>
            <w:pPr>
              <w:jc w:val="center"/>
            </w:pPr>
            <w:r>
              <w:rPr>
                <w:rFonts w:asciiTheme="minorEastAsia" w:cs="宋体" w:eastAsiaTheme="minorEastAsia" w:hAnsiTheme="minorEastAsia"/>
                <w:color w:themeColor="text1" w:val="000000"/>
                <w:kern w:val="0"/>
                <w:sz w:val="21"/>
              </w:rPr>
              <w:t>601012</w:t>
            </w:r>
          </w:p>
        </w:tc>
        <w:tc>
          <w:tcPr>
            <w:vAlign w:val="center"/>
          </w:tcPr>
          <w:p>
            <w:pPr>
              <w:jc w:val="center"/>
            </w:pPr>
            <w:r>
              <w:rPr>
                <w:rFonts w:asciiTheme="minorEastAsia" w:cs="宋体" w:eastAsiaTheme="minorEastAsia" w:hAnsiTheme="minorEastAsia"/>
                <w:color w:themeColor="text1" w:val="000000"/>
                <w:kern w:val="0"/>
                <w:sz w:val="21"/>
              </w:rPr>
              <w:t>隆基股份</w:t>
            </w:r>
          </w:p>
        </w:tc>
        <w:tc>
          <w:tcPr>
            <w:vAlign w:val="center"/>
          </w:tcPr>
          <w:p>
            <w:pPr>
              <w:jc w:val="right"/>
            </w:pPr>
            <w:r>
              <w:rPr>
                <w:rFonts w:asciiTheme="minorEastAsia" w:cs="宋体" w:eastAsiaTheme="minorEastAsia" w:hAnsiTheme="minorEastAsia"/>
                <w:color w:themeColor="text1" w:val="000000"/>
                <w:kern w:val="0"/>
                <w:sz w:val="21"/>
              </w:rPr>
              <w:t>3,980,833</w:t>
            </w:r>
          </w:p>
        </w:tc>
        <w:tc>
          <w:tcPr>
            <w:vAlign w:val="center"/>
          </w:tcPr>
          <w:p>
            <w:pPr>
              <w:jc w:val="right"/>
            </w:pPr>
            <w:r>
              <w:rPr>
                <w:rFonts w:asciiTheme="minorEastAsia" w:cs="宋体" w:eastAsiaTheme="minorEastAsia" w:hAnsiTheme="minorEastAsia"/>
                <w:color w:themeColor="text1" w:val="000000"/>
                <w:kern w:val="0"/>
                <w:sz w:val="21"/>
              </w:rPr>
              <w:t>98,883,891.72</w:t>
            </w:r>
          </w:p>
        </w:tc>
        <w:tc>
          <w:tcPr>
            <w:vAlign w:val="center"/>
          </w:tcPr>
          <w:p>
            <w:pPr>
              <w:jc w:val="right"/>
            </w:pPr>
            <w:r>
              <w:rPr>
                <w:rFonts w:asciiTheme="minorEastAsia" w:cs="宋体" w:eastAsiaTheme="minorEastAsia" w:hAnsiTheme="minorEastAsia"/>
                <w:color w:themeColor="text1" w:val="000000"/>
                <w:kern w:val="0"/>
                <w:sz w:val="21"/>
              </w:rPr>
              <w:t>4.32</w:t>
            </w:r>
          </w:p>
        </w:tc>
      </w:tr>
      <w:tr>
        <w:tc>
          <w:tcPr>
            <w:vAlign w:val="center"/>
          </w:tcPr>
          <w:p>
            <w:pPr>
              <w:jc w:val="center"/>
            </w:pPr>
            <w:r>
              <w:rPr>
                <w:rFonts w:asciiTheme="minorEastAsia" w:cs="宋体" w:eastAsiaTheme="minorEastAsia" w:hAnsiTheme="minorEastAsia"/>
                <w:color w:themeColor="text1" w:val="000000"/>
                <w:kern w:val="0"/>
                <w:sz w:val="21"/>
              </w:rPr>
              <w:t>7</w:t>
            </w:r>
          </w:p>
        </w:tc>
        <w:tc>
          <w:tcPr>
            <w:vAlign w:val="center"/>
          </w:tcPr>
          <w:p>
            <w:pPr>
              <w:jc w:val="center"/>
            </w:pPr>
            <w:r>
              <w:rPr>
                <w:rFonts w:asciiTheme="minorEastAsia" w:cs="宋体" w:eastAsiaTheme="minorEastAsia" w:hAnsiTheme="minorEastAsia"/>
                <w:color w:themeColor="text1" w:val="000000"/>
                <w:kern w:val="0"/>
                <w:sz w:val="21"/>
              </w:rPr>
              <w:t>300146</w:t>
            </w:r>
          </w:p>
        </w:tc>
        <w:tc>
          <w:tcPr>
            <w:vAlign w:val="center"/>
          </w:tcPr>
          <w:p>
            <w:pPr>
              <w:jc w:val="center"/>
            </w:pPr>
            <w:r>
              <w:rPr>
                <w:rFonts w:asciiTheme="minorEastAsia" w:cs="宋体" w:eastAsiaTheme="minorEastAsia" w:hAnsiTheme="minorEastAsia"/>
                <w:color w:themeColor="text1" w:val="000000"/>
                <w:kern w:val="0"/>
                <w:sz w:val="21"/>
              </w:rPr>
              <w:t>汤臣倍健</w:t>
            </w:r>
          </w:p>
        </w:tc>
        <w:tc>
          <w:tcPr>
            <w:vAlign w:val="center"/>
          </w:tcPr>
          <w:p>
            <w:pPr>
              <w:jc w:val="right"/>
            </w:pPr>
            <w:r>
              <w:rPr>
                <w:rFonts w:asciiTheme="minorEastAsia" w:cs="宋体" w:eastAsiaTheme="minorEastAsia" w:hAnsiTheme="minorEastAsia"/>
                <w:color w:themeColor="text1" w:val="000000"/>
                <w:kern w:val="0"/>
                <w:sz w:val="21"/>
              </w:rPr>
              <w:t>5,821,520</w:t>
            </w:r>
          </w:p>
        </w:tc>
        <w:tc>
          <w:tcPr>
            <w:vAlign w:val="center"/>
          </w:tcPr>
          <w:p>
            <w:pPr>
              <w:jc w:val="right"/>
            </w:pPr>
            <w:r>
              <w:rPr>
                <w:rFonts w:asciiTheme="minorEastAsia" w:cs="宋体" w:eastAsiaTheme="minorEastAsia" w:hAnsiTheme="minorEastAsia"/>
                <w:color w:themeColor="text1" w:val="000000"/>
                <w:kern w:val="0"/>
                <w:sz w:val="21"/>
              </w:rPr>
              <w:t>97,743,320.80</w:t>
            </w:r>
          </w:p>
        </w:tc>
        <w:tc>
          <w:tcPr>
            <w:vAlign w:val="center"/>
          </w:tcPr>
          <w:p>
            <w:pPr>
              <w:jc w:val="right"/>
            </w:pPr>
            <w:r>
              <w:rPr>
                <w:rFonts w:asciiTheme="minorEastAsia" w:cs="宋体" w:eastAsiaTheme="minorEastAsia" w:hAnsiTheme="minorEastAsia"/>
                <w:color w:themeColor="text1" w:val="000000"/>
                <w:kern w:val="0"/>
                <w:sz w:val="21"/>
              </w:rPr>
              <w:t>4.27</w:t>
            </w:r>
          </w:p>
        </w:tc>
      </w:tr>
      <w:tr>
        <w:tc>
          <w:tcPr>
            <w:vAlign w:val="center"/>
          </w:tcPr>
          <w:p>
            <w:pPr>
              <w:jc w:val="center"/>
            </w:pPr>
            <w:r>
              <w:rPr>
                <w:rFonts w:asciiTheme="minorEastAsia" w:cs="宋体" w:eastAsiaTheme="minorEastAsia" w:hAnsiTheme="minorEastAsia"/>
                <w:color w:themeColor="text1" w:val="000000"/>
                <w:kern w:val="0"/>
                <w:sz w:val="21"/>
              </w:rPr>
              <w:t>8</w:t>
            </w:r>
          </w:p>
        </w:tc>
        <w:tc>
          <w:tcPr>
            <w:vAlign w:val="center"/>
          </w:tcPr>
          <w:p>
            <w:pPr>
              <w:jc w:val="center"/>
            </w:pPr>
            <w:r>
              <w:rPr>
                <w:rFonts w:asciiTheme="minorEastAsia" w:cs="宋体" w:eastAsiaTheme="minorEastAsia" w:hAnsiTheme="minorEastAsia"/>
                <w:color w:themeColor="text1" w:val="000000"/>
                <w:kern w:val="0"/>
                <w:sz w:val="21"/>
              </w:rPr>
              <w:t>601318</w:t>
            </w:r>
          </w:p>
        </w:tc>
        <w:tc>
          <w:tcPr>
            <w:vAlign w:val="center"/>
          </w:tcPr>
          <w:p>
            <w:pPr>
              <w:jc w:val="center"/>
            </w:pPr>
            <w:r>
              <w:rPr>
                <w:rFonts w:asciiTheme="minorEastAsia" w:cs="宋体" w:eastAsiaTheme="minorEastAsia" w:hAnsiTheme="minorEastAsia"/>
                <w:color w:themeColor="text1" w:val="000000"/>
                <w:kern w:val="0"/>
                <w:sz w:val="21"/>
              </w:rPr>
              <w:t>中国平安</w:t>
            </w:r>
          </w:p>
        </w:tc>
        <w:tc>
          <w:tcPr>
            <w:vAlign w:val="center"/>
          </w:tcPr>
          <w:p>
            <w:pPr>
              <w:jc w:val="right"/>
            </w:pPr>
            <w:r>
              <w:rPr>
                <w:rFonts w:asciiTheme="minorEastAsia" w:cs="宋体" w:eastAsiaTheme="minorEastAsia" w:hAnsiTheme="minorEastAsia"/>
                <w:color w:themeColor="text1" w:val="000000"/>
                <w:kern w:val="0"/>
                <w:sz w:val="21"/>
              </w:rPr>
              <w:t>1,321,188</w:t>
            </w:r>
          </w:p>
        </w:tc>
        <w:tc>
          <w:tcPr>
            <w:vAlign w:val="center"/>
          </w:tcPr>
          <w:p>
            <w:pPr>
              <w:jc w:val="right"/>
            </w:pPr>
            <w:r>
              <w:rPr>
                <w:rFonts w:asciiTheme="minorEastAsia" w:cs="宋体" w:eastAsiaTheme="minorEastAsia" w:hAnsiTheme="minorEastAsia"/>
                <w:color w:themeColor="text1" w:val="000000"/>
                <w:kern w:val="0"/>
                <w:sz w:val="21"/>
              </w:rPr>
              <w:t>91,386,573.96</w:t>
            </w:r>
          </w:p>
        </w:tc>
        <w:tc>
          <w:tcPr>
            <w:vAlign w:val="center"/>
          </w:tcPr>
          <w:p>
            <w:pPr>
              <w:jc w:val="right"/>
            </w:pPr>
            <w:r>
              <w:rPr>
                <w:rFonts w:asciiTheme="minorEastAsia" w:cs="宋体" w:eastAsiaTheme="minorEastAsia" w:hAnsiTheme="minorEastAsia"/>
                <w:color w:themeColor="text1" w:val="000000"/>
                <w:kern w:val="0"/>
                <w:sz w:val="21"/>
              </w:rPr>
              <w:t>3.99</w:t>
            </w:r>
          </w:p>
        </w:tc>
      </w:tr>
      <w:tr>
        <w:tc>
          <w:tcPr>
            <w:vAlign w:val="center"/>
          </w:tcPr>
          <w:p>
            <w:pPr>
              <w:jc w:val="center"/>
            </w:pPr>
            <w:r>
              <w:rPr>
                <w:rFonts w:asciiTheme="minorEastAsia" w:cs="宋体" w:eastAsiaTheme="minorEastAsia" w:hAnsiTheme="minorEastAsia"/>
                <w:color w:themeColor="text1" w:val="000000"/>
                <w:kern w:val="0"/>
                <w:sz w:val="21"/>
              </w:rPr>
              <w:t>9</w:t>
            </w:r>
          </w:p>
        </w:tc>
        <w:tc>
          <w:tcPr>
            <w:vAlign w:val="center"/>
          </w:tcPr>
          <w:p>
            <w:pPr>
              <w:jc w:val="center"/>
            </w:pPr>
            <w:r>
              <w:rPr>
                <w:rFonts w:asciiTheme="minorEastAsia" w:cs="宋体" w:eastAsiaTheme="minorEastAsia" w:hAnsiTheme="minorEastAsia"/>
                <w:color w:themeColor="text1" w:val="000000"/>
                <w:kern w:val="0"/>
                <w:sz w:val="21"/>
              </w:rPr>
              <w:t>000661</w:t>
            </w:r>
          </w:p>
        </w:tc>
        <w:tc>
          <w:tcPr>
            <w:vAlign w:val="center"/>
          </w:tcPr>
          <w:p>
            <w:pPr>
              <w:jc w:val="center"/>
            </w:pPr>
            <w:r>
              <w:rPr>
                <w:rFonts w:asciiTheme="minorEastAsia" w:cs="宋体" w:eastAsiaTheme="minorEastAsia" w:hAnsiTheme="minorEastAsia"/>
                <w:color w:themeColor="text1" w:val="000000"/>
                <w:kern w:val="0"/>
                <w:sz w:val="21"/>
              </w:rPr>
              <w:t>长春高新</w:t>
            </w:r>
          </w:p>
        </w:tc>
        <w:tc>
          <w:tcPr>
            <w:vAlign w:val="center"/>
          </w:tcPr>
          <w:p>
            <w:pPr>
              <w:jc w:val="right"/>
            </w:pPr>
            <w:r>
              <w:rPr>
                <w:rFonts w:asciiTheme="minorEastAsia" w:cs="宋体" w:eastAsiaTheme="minorEastAsia" w:hAnsiTheme="minorEastAsia"/>
                <w:color w:themeColor="text1" w:val="000000"/>
                <w:kern w:val="0"/>
                <w:sz w:val="21"/>
              </w:rPr>
              <w:t>165,764</w:t>
            </w:r>
          </w:p>
        </w:tc>
        <w:tc>
          <w:tcPr>
            <w:vAlign w:val="center"/>
          </w:tcPr>
          <w:p>
            <w:pPr>
              <w:jc w:val="right"/>
            </w:pPr>
            <w:r>
              <w:rPr>
                <w:rFonts w:asciiTheme="minorEastAsia" w:cs="宋体" w:eastAsiaTheme="minorEastAsia" w:hAnsiTheme="minorEastAsia"/>
                <w:color w:themeColor="text1" w:val="000000"/>
                <w:kern w:val="0"/>
                <w:sz w:val="21"/>
              </w:rPr>
              <w:t>90,838,672.00</w:t>
            </w:r>
          </w:p>
        </w:tc>
        <w:tc>
          <w:tcPr>
            <w:vAlign w:val="center"/>
          </w:tcPr>
          <w:p>
            <w:pPr>
              <w:jc w:val="right"/>
            </w:pPr>
            <w:r>
              <w:rPr>
                <w:rFonts w:asciiTheme="minorEastAsia" w:cs="宋体" w:eastAsiaTheme="minorEastAsia" w:hAnsiTheme="minorEastAsia"/>
                <w:color w:themeColor="text1" w:val="000000"/>
                <w:kern w:val="0"/>
                <w:sz w:val="21"/>
              </w:rPr>
              <w:t>3.96</w:t>
            </w:r>
          </w:p>
        </w:tc>
      </w:tr>
      <w:tr>
        <w:tc>
          <w:tcPr>
            <w:vAlign w:val="center"/>
          </w:tcPr>
          <w:p>
            <w:pPr>
              <w:jc w:val="center"/>
            </w:pPr>
            <w:r>
              <w:rPr>
                <w:rFonts w:asciiTheme="minorEastAsia" w:cs="宋体" w:eastAsiaTheme="minorEastAsia" w:hAnsiTheme="minorEastAsia"/>
                <w:color w:themeColor="text1" w:val="000000"/>
                <w:kern w:val="0"/>
                <w:sz w:val="21"/>
              </w:rPr>
              <w:t>10</w:t>
            </w:r>
          </w:p>
        </w:tc>
        <w:tc>
          <w:tcPr>
            <w:vAlign w:val="center"/>
          </w:tcPr>
          <w:p>
            <w:pPr>
              <w:jc w:val="center"/>
            </w:pPr>
            <w:r>
              <w:rPr>
                <w:rFonts w:asciiTheme="minorEastAsia" w:cs="宋体" w:eastAsiaTheme="minorEastAsia" w:hAnsiTheme="minorEastAsia"/>
                <w:color w:themeColor="text1" w:val="000000"/>
                <w:kern w:val="0"/>
                <w:sz w:val="21"/>
              </w:rPr>
              <w:t>600030</w:t>
            </w:r>
          </w:p>
        </w:tc>
        <w:tc>
          <w:tcPr>
            <w:vAlign w:val="center"/>
          </w:tcPr>
          <w:p>
            <w:pPr>
              <w:jc w:val="center"/>
            </w:pPr>
            <w:r>
              <w:rPr>
                <w:rFonts w:asciiTheme="minorEastAsia" w:cs="宋体" w:eastAsiaTheme="minorEastAsia" w:hAnsiTheme="minorEastAsia"/>
                <w:color w:themeColor="text1" w:val="000000"/>
                <w:kern w:val="0"/>
                <w:sz w:val="21"/>
              </w:rPr>
              <w:t>中信证券</w:t>
            </w:r>
          </w:p>
        </w:tc>
        <w:tc>
          <w:tcPr>
            <w:vAlign w:val="center"/>
          </w:tcPr>
          <w:p>
            <w:pPr>
              <w:jc w:val="right"/>
            </w:pPr>
            <w:r>
              <w:rPr>
                <w:rFonts w:asciiTheme="minorEastAsia" w:cs="宋体" w:eastAsiaTheme="minorEastAsia" w:hAnsiTheme="minorEastAsia"/>
                <w:color w:themeColor="text1" w:val="000000"/>
                <w:kern w:val="0"/>
                <w:sz w:val="21"/>
              </w:rPr>
              <w:t>3,647,090</w:t>
            </w:r>
          </w:p>
        </w:tc>
        <w:tc>
          <w:tcPr>
            <w:vAlign w:val="center"/>
          </w:tcPr>
          <w:p>
            <w:pPr>
              <w:jc w:val="right"/>
            </w:pPr>
            <w:r>
              <w:rPr>
                <w:rFonts w:asciiTheme="minorEastAsia" w:cs="宋体" w:eastAsiaTheme="minorEastAsia" w:hAnsiTheme="minorEastAsia"/>
                <w:color w:themeColor="text1" w:val="000000"/>
                <w:kern w:val="0"/>
                <w:sz w:val="21"/>
              </w:rPr>
              <w:t>80,819,514.40</w:t>
            </w:r>
          </w:p>
        </w:tc>
        <w:tc>
          <w:tcPr>
            <w:vAlign w:val="center"/>
          </w:tcPr>
          <w:p>
            <w:pPr>
              <w:jc w:val="right"/>
            </w:pPr>
            <w:r>
              <w:rPr>
                <w:rFonts w:asciiTheme="minorEastAsia" w:cs="宋体" w:eastAsiaTheme="minorEastAsia" w:hAnsiTheme="minorEastAsia"/>
                <w:color w:themeColor="text1" w:val="000000"/>
                <w:kern w:val="0"/>
                <w:sz w:val="21"/>
              </w:rPr>
              <w:t>3.53</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本基金本报告期末未持有债券。</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本基金本报告期末未持有债券。</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本基金本报告期末未持有资产支持证券。</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5.7 报告期末按公允价值占基金资产净值比例大小排序的前五名贵金属投资明细</w:t>
      </w:r>
    </w:p>
    <w:p>
      <w:pPr>
        <w:widowControl/>
        <w:spacing w:line="360" w:lineRule="auto"/>
        <w:jc w:val="left"/>
        <w:rPr>
          <w:rFonts w:ascii="宋体" w:hAnsi="宋体"/>
          <w:color w:themeColor="text1" w:val="000000"/>
        </w:rPr>
      </w:pPr>
      <w:r>
        <w:rPr>
          <w:rFonts w:ascii="宋体" w:hAnsi="宋体"/>
          <w:color w:themeColor="text1" w:val="000000"/>
        </w:rPr>
        <w:t>本基金本报告期末未持有贵金属。</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本基金本报告期末未持有权证。</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5.9 报告期末本基金投资的股指期货交易情况说明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本基金本报告期末未持有股指期货。</w:t>
      </w:r>
    </w:p>
    <w:p>
      <w:pPr>
        <w:adjustRightInd w:val="0"/>
        <w:snapToGrid w:val="0"/>
        <w:spacing w:line="360" w:lineRule="exac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5.10报告期末本基金投资的国债期货交易情况说明</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本基金本报告期末未持有国债期货。</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31"/>
        <w:tblW w:type="dxa" w:w="8513"/>
        <w:tblInd w:type="dxa" w:w="1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235"/>
        <w:gridCol w:w="2470"/>
        <w:gridCol w:w="4808"/>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2470"/>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名称</w:t>
            </w:r>
          </w:p>
        </w:tc>
        <w:tc>
          <w:tcPr>
            <w:tcW w:type="dxa" w:w="4808"/>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金额(元)</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存出保证金</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773,863.54</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应收证券清算款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11,490,298.78</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3</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应收股利</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4</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应收利息</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51,763.59</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5</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应收申购款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1,415,287.79</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6</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其他应收款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7</w:t>
            </w:r>
          </w:p>
        </w:tc>
        <w:tc>
          <w:tcPr>
            <w:tcW w:type="dxa" w:w="2470"/>
            <w:vAlign w:val="center"/>
          </w:tcPr>
          <w:p>
            <w:pPr>
              <w:autoSpaceDE w:val="0"/>
              <w:autoSpaceDN w:val="0"/>
              <w:adjustRightInd w:val="0"/>
              <w:spacing w:before="29" w:line="360" w:lineRule="auto"/>
              <w:ind w:left="15"/>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待摊费用</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8</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9</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13,731,213.70</w:t>
            </w:r>
          </w:p>
        </w:tc>
      </w:tr>
    </w:tbl>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本基金本报告期末未持有处于转股期的可转换债券。</w:t>
      </w:r>
    </w:p>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本基金本报告期末前十名股票中不存在流通受限情况。</w:t>
      </w:r>
    </w:p>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因四舍五入原因，投资组合报告中分项之和与合计可能存在尾差。</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Style w:val="30"/>
        <w:tblW w:type="dxa" w:w="8634"/>
        <w:tblInd w:type="dxa" w:w="-106"/>
        <w:tblLayout w:type="fixed"/>
        <w:tblCellMar>
          <w:top w:type="dxa" w:w="0"/>
          <w:left w:type="dxa" w:w="108"/>
          <w:bottom w:type="dxa" w:w="0"/>
          <w:right w:type="dxa" w:w="108"/>
        </w:tblCellMar>
      </w:tblPr>
      <w:tblGrid>
        <w:gridCol w:w="4609"/>
        <w:gridCol w:w="4025"/>
      </w:tblGrid>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1,915,230,935.14</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85,535,083.28</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634,256,507.87</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1,366,509,510.55</w:t>
            </w:r>
          </w:p>
        </w:tc>
      </w:tr>
    </w:tbl>
    <w:p>
      <w:pPr>
        <w:pStyle w:val="2"/>
        <w:tabs>
          <w:tab w:pos="4156" w:val="center"/>
          <w:tab w:pos="8312" w:val="right"/>
        </w:tabs>
        <w:spacing w:afterLines="100"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基金管理人运用固有资金投资本基金情况</w:t>
      </w:r>
    </w:p>
    <w:p>
      <w:pPr>
        <w:spacing w:line="360" w:lineRule="auto"/>
        <w:jc w:val="left"/>
        <w:rPr>
          <w:color w:themeColor="text1" w:val="000000"/>
          <w:sz w:val="24"/>
          <w:szCs w:val="24"/>
        </w:rPr>
      </w:pPr>
      <w:r>
        <w:rPr>
          <w:b/>
          <w:color w:themeColor="text1" w:val="000000"/>
          <w:sz w:val="24"/>
        </w:rPr>
        <w:t xml:space="preserve">7.1 </w:t>
      </w:r>
      <w:r>
        <w:rPr>
          <w:rFonts w:hint="eastAsia"/>
          <w:b/>
          <w:color w:themeColor="text1" w:val="000000"/>
          <w:sz w:val="24"/>
        </w:rPr>
        <w:t>基金管理人持有本基金份额变动情况</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无。</w:t>
      </w:r>
    </w:p>
    <w:p>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 中国证监会批准上投摩根核心成长股票型证券投资基金设立的文件；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 《上投摩根核心成长股票型证券投资基金基金合同》；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 《上投摩根核心成长股票型证券投资基金基金托管协议》；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 《上投摩根基金管理有限公司开放式基金业务规则》；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 基金管理人业务资格批件、营业执照；</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6. 基金托管人业务资格批件和营业执照。</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基金管理人或基金托管人住所。</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投资者可在营业时间免费查阅，也可按工本费购买复印件。</w:t>
      </w: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上投摩根基金管理有限公司</w:t>
      </w: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二〇二〇年四月二十二日</w:t>
      </w:r>
    </w:p>
    <w:p>
      <w:pPr>
        <w:spacing w:line="360" w:lineRule="auto"/>
        <w:ind w:left="840"/>
        <w:jc w:val="right"/>
        <w:rPr>
          <w:rFonts w:asciiTheme="minorEastAsia" w:eastAsiaTheme="minorEastAsia" w:hAnsiTheme="minorEastAsia"/>
          <w:b/>
          <w:bCs/>
          <w:color w:themeColor="text1" w:val="000000"/>
          <w:sz w:val="24"/>
          <w:szCs w:val="24"/>
        </w:rPr>
      </w:pPr>
    </w:p>
    <w:p>
      <w:pPr>
        <w:rPr>
          <w:rFonts w:asciiTheme="minorEastAsia" w:eastAsiaTheme="minorEastAsia" w:hAnsiTheme="minorEastAsia"/>
          <w:color w:themeColor="text1" w:val="000000"/>
          <w:sz w:val="24"/>
          <w:szCs w:val="24"/>
        </w:rPr>
      </w:pPr>
    </w:p>
    <w:sectPr>
      <w:footerReference r:id="rId5" w:type="default"/>
      <w:pgSz w:h="16838" w:w="11906"/>
      <w:pgMar w:bottom="1440" w:footer="992" w:gutter="0" w:header="851" w:left="1797" w:right="1797" w:top="1440"/>
      <w:cols w:num="1" w:space="425"/>
      <w:docGrid w:charSpace="0"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framePr w:hAnchor="margin" w:vAnchor="text" w:wrap="around" w:xAlign="center" w:y="1"/>
      <w:rPr>
        <w:rStyle w:val="25"/>
      </w:rPr>
    </w:pPr>
    <w:r>
      <w:rPr>
        <w:rStyle w:val="25"/>
      </w:rPr>
      <w:fldChar w:fldCharType="begin"/>
    </w:r>
    <w:r>
      <w:rPr>
        <w:rStyle w:val="25"/>
      </w:rPr>
      <w:instrText xml:space="preserve">PAGE  </w:instrText>
    </w:r>
    <w:r>
      <w:rPr>
        <w:rStyle w:val="25"/>
      </w:rPr>
      <w:fldChar w:fldCharType="separate"/>
    </w:r>
    <w:r>
      <w:rPr>
        <w:rStyle w:val="25"/>
      </w:rPr>
      <w:t>24</w:t>
    </w:r>
    <w:r>
      <w:rPr>
        <w:rStyle w:val="25"/>
      </w:rPr>
      <w:fldChar w:fldCharType="end"/>
    </w:r>
  </w:p>
  <w:p>
    <w:pPr>
      <w:pStyle w:val="15"/>
    </w:pPr>
  </w:p>
</w:ftr>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6"/>
      <w:pBdr>
        <w:bottom w:color="auto" w:space="0" w:sz="6" w:val="single"/>
      </w:pBdr>
      <w:jc w:val="right"/>
    </w:pPr>
    <w:r>
      <w:rPr>
        <w:rFonts w:hint="eastAsia"/>
      </w:rPr>
      <w:t/>
    </w:r>
    <w:r>
      <w:t/>
    </w:r>
    <w:r>
      <w:rPr>
        <w:rFonts w:hint="eastAsia"/>
      </w:rPr>
      <w:t/>
    </w:r>
    <w:r>
      <w:t/>
    </w:r>
    <w:r>
      <w:rPr>
        <w:rFonts w:hint="eastAsia"/>
      </w:rPr>
      <w:t>上投摩根核心成长股票型证券投资基金2020年第1季度报告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val="1"/>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docDefaults>
    <w:rPrDefault>
      <w:rPr>
        <w:rFonts w:asciiTheme="minorHAnsi" w:cstheme="minorBidi" w:eastAsiaTheme="minorEastAsia" w:hAnsiTheme="minorHAnsi"/>
      </w:rPr>
    </w:rPrDefault>
  </w:docDefaults>
  <w:latentStyles w:count="260" w:defLockedState="0" w:defQFormat="0" w:defSemiHidden="1" w:defUIPriority="99" w:defUnhideWhenUsed="1">
    <w:lsdException w:name="Normal" w:qFormat="1" w:semiHidden="0" w:uiPriority="0" w:unhideWhenUsed="0"/>
    <w:lsdException w:name="heading 1" w:qFormat="1" w:semiHidden="0" w:uiPriority="99" w:unhideWhenUsed="0"/>
    <w:lsdException w:name="heading 2" w:qFormat="1" w:semiHidden="0" w:uiPriority="99" w:unhideWhenUsed="0"/>
    <w:lsdException w:name="heading 3" w:qFormat="1" w:semiHidden="0" w:uiPriority="99" w:unhideWhenUsed="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index 1" w:qFormat="1" w:uiPriority="99" w:unhideWhenUsed="0"/>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99" w:unhideWhenUsed="0"/>
    <w:lsdException w:name="footnote text" w:semiHidden="0" w:uiPriority="0" w:unhideWhenUsed="0"/>
    <w:lsdException w:name="annotation text" w:qFormat="1" w:uiPriority="99" w:unhideWhenUsed="0"/>
    <w:lsdException w:name="header" w:semiHidden="0" w:uiPriority="99" w:unhideWhenUsed="0"/>
    <w:lsdException w:name="footer" w:qFormat="1" w:semiHidden="0" w:uiPriority="99" w:unhideWhenUsed="0"/>
    <w:lsdException w:name="index heading" w:uiPriority="99"/>
    <w:lsdException w:name="caption" w:qFormat="1" w:uiPriority="35"/>
    <w:lsdException w:name="table of figures" w:uiPriority="99"/>
    <w:lsdException w:name="envelope address" w:uiPriority="99"/>
    <w:lsdException w:name="envelope return" w:uiPriority="99"/>
    <w:lsdException w:name="footnote reference" w:semiHidden="0" w:uiPriority="0" w:unhideWhenUsed="0"/>
    <w:lsdException w:name="annotation reference" w:qFormat="1" w:uiPriority="99" w:unhideWhenUsed="0"/>
    <w:lsdException w:name="line number" w:uiPriority="99"/>
    <w:lsdException w:name="page number" w:semiHidden="0" w:uiPriority="99" w:unhideWhenUsed="0"/>
    <w:lsdException w:name="endnote reference" w:uiPriority="99"/>
    <w:lsdException w:name="endnote text" w:uiPriority="99"/>
    <w:lsdException w:name="table of authorities" w:uiPriority="99"/>
    <w:lsdException w:name="macro" w:uiPriority="99"/>
    <w:lsdException w:name="toa heading" w:uiPriority="99"/>
    <w:lsdException w:name="List" w:semiHidden="0" w:uiPriority="99"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semiHidden="0" w:uiPriority="99" w:unhideWhenUsed="0"/>
    <w:lsdException w:name="Closing" w:uiPriority="99"/>
    <w:lsdException w:name="Signature" w:uiPriority="99"/>
    <w:lsdException w:name="Default Paragraph Font" w:qFormat="1" w:uiPriority="1"/>
    <w:lsdException w:name="Body Text" w:qFormat="1" w:semiHidden="0" w:uiPriority="99" w:unhideWhenUsed="0"/>
    <w:lsdException w:name="Body Text Indent" w:semiHidden="0" w:uiPriority="99" w:unhideWhenUsed="0"/>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semiHidden="0" w:uiPriority="11" w:unhideWhenUsed="0"/>
    <w:lsdException w:name="Salutation" w:uiPriority="99"/>
    <w:lsdException w:name="Date" w:qFormat="1" w:semiHidden="0" w:uiPriority="0" w:unhideWhenUsed="0"/>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qFormat="1" w:semiHidden="0" w:uiPriority="99" w:unhideWhenUsed="0"/>
    <w:lsdException w:name="Body Text Indent 3" w:semiHidden="0" w:uiPriority="99" w:unhideWhenUsed="0"/>
    <w:lsdException w:name="Block Text" w:uiPriority="99"/>
    <w:lsdException w:name="Hyperlink" w:semiHidden="0" w:uiPriority="99" w:unhideWhenUsed="0"/>
    <w:lsdException w:name="FollowedHyperlink" w:qFormat="1" w:semiHidden="0" w:uiPriority="99" w:unhideWhenUsed="0"/>
    <w:lsdException w:name="Strong" w:qFormat="1" w:semiHidden="0" w:uiPriority="22" w:unhideWhenUsed="0"/>
    <w:lsdException w:name="Emphasis" w:qFormat="1" w:semiHidden="0" w:uiPriority="20" w:unhideWhenUsed="0"/>
    <w:lsdException w:name="Document Map" w:uiPriority="99" w:unhideWhenUsed="0"/>
    <w:lsdException w:name="Plain Text" w:semiHidden="0" w:uiPriority="99" w:unhideWhenUsed="0"/>
    <w:lsdException w:name="E-mail Signature" w:uiPriority="99"/>
    <w:lsdException w:name="Normal (Web)" w:semiHidden="0" w:uiPriority="99" w:unhideWhenUsed="0"/>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qFormat="1" w:uiPriority="99"/>
    <w:lsdException w:name="annotation subject" w:qFormat="1" w:uiPriority="99" w:unhideWhenUsed="0"/>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uiPriority="99" w:unhideWhenUsed="0"/>
    <w:lsdException w:name="Table Grid" w:semiHidden="0" w:uiPriority="99" w:unhideWhenUsed="0"/>
    <w:lsdException w:name="Table Theme"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default="1" w:styleId="1" w:type="paragraph">
    <w:name w:val="Normal"/>
    <w:qFormat/>
    <w:uiPriority w:val="0"/>
    <w:pPr>
      <w:widowControl w:val="0"/>
      <w:jc w:val="both"/>
    </w:pPr>
    <w:rPr>
      <w:rFonts w:ascii="Times New Roman" w:cs="Times New Roman" w:eastAsia="宋体" w:hAnsi="Times New Roman"/>
      <w:kern w:val="2"/>
      <w:sz w:val="21"/>
      <w:szCs w:val="21"/>
      <w:lang w:bidi="ar-SA" w:eastAsia="zh-CN" w:val="en-US"/>
    </w:rPr>
  </w:style>
  <w:style w:styleId="2" w:type="paragraph">
    <w:name w:val="heading 1"/>
    <w:basedOn w:val="1"/>
    <w:next w:val="1"/>
    <w:link w:val="32"/>
    <w:qFormat/>
    <w:uiPriority w:val="99"/>
    <w:pPr>
      <w:keepNext/>
      <w:keepLines/>
      <w:spacing w:after="330" w:before="340" w:line="578" w:lineRule="auto"/>
      <w:outlineLvl w:val="0"/>
    </w:pPr>
    <w:rPr>
      <w:b/>
      <w:bCs/>
      <w:kern w:val="44"/>
      <w:sz w:val="44"/>
      <w:szCs w:val="44"/>
    </w:rPr>
  </w:style>
  <w:style w:styleId="3" w:type="paragraph">
    <w:name w:val="heading 2"/>
    <w:basedOn w:val="1"/>
    <w:next w:val="4"/>
    <w:link w:val="33"/>
    <w:qFormat/>
    <w:uiPriority w:val="99"/>
    <w:pPr>
      <w:keepNext/>
      <w:keepLines/>
      <w:spacing w:after="260" w:before="260" w:line="360" w:lineRule="auto"/>
      <w:outlineLvl w:val="1"/>
    </w:pPr>
    <w:rPr>
      <w:rFonts w:ascii="Arial" w:cs="Arial" w:hAnsi="Arial"/>
      <w:b/>
      <w:bCs/>
      <w:sz w:val="24"/>
      <w:szCs w:val="24"/>
    </w:rPr>
  </w:style>
  <w:style w:styleId="5" w:type="paragraph">
    <w:name w:val="heading 3"/>
    <w:basedOn w:val="1"/>
    <w:next w:val="1"/>
    <w:link w:val="34"/>
    <w:qFormat/>
    <w:uiPriority w:val="99"/>
    <w:pPr>
      <w:keepNext/>
      <w:keepLines/>
      <w:spacing w:after="260" w:before="260" w:line="416" w:lineRule="auto"/>
      <w:outlineLvl w:val="2"/>
    </w:pPr>
    <w:rPr>
      <w:b/>
      <w:bCs/>
      <w:sz w:val="32"/>
      <w:szCs w:val="32"/>
    </w:rPr>
  </w:style>
  <w:style w:default="1" w:styleId="23" w:type="character">
    <w:name w:val="Default Paragraph Font"/>
    <w:unhideWhenUsed/>
    <w:qFormat/>
    <w:uiPriority w:val="1"/>
  </w:style>
  <w:style w:default="1" w:styleId="30" w:type="table">
    <w:name w:val="Normal Table"/>
    <w:unhideWhenUsed/>
    <w:qFormat/>
    <w:uiPriority w:val="99"/>
    <w:tblPr>
      <w:tblLayout w:type="fixed"/>
      <w:tblCellMar>
        <w:top w:type="dxa" w:w="0"/>
        <w:left w:type="dxa" w:w="108"/>
        <w:bottom w:type="dxa" w:w="0"/>
        <w:right w:type="dxa" w:w="108"/>
      </w:tblCellMar>
    </w:tblPr>
  </w:style>
  <w:style w:styleId="4" w:type="paragraph">
    <w:name w:val="Normal Indent"/>
    <w:basedOn w:val="1"/>
    <w:uiPriority w:val="99"/>
    <w:pPr>
      <w:ind w:firstLine="420" w:firstLineChars="200"/>
    </w:pPr>
  </w:style>
  <w:style w:styleId="6" w:type="paragraph">
    <w:name w:val="annotation subject"/>
    <w:basedOn w:val="7"/>
    <w:next w:val="7"/>
    <w:link w:val="62"/>
    <w:semiHidden/>
    <w:qFormat/>
    <w:uiPriority w:val="99"/>
    <w:rPr>
      <w:b/>
      <w:bCs/>
    </w:rPr>
  </w:style>
  <w:style w:styleId="7" w:type="paragraph">
    <w:name w:val="annotation text"/>
    <w:basedOn w:val="1"/>
    <w:link w:val="61"/>
    <w:semiHidden/>
    <w:qFormat/>
    <w:uiPriority w:val="99"/>
    <w:pPr>
      <w:jc w:val="left"/>
    </w:pPr>
  </w:style>
  <w:style w:styleId="8" w:type="paragraph">
    <w:name w:val="Document Map"/>
    <w:basedOn w:val="1"/>
    <w:link w:val="64"/>
    <w:semiHidden/>
    <w:uiPriority w:val="99"/>
    <w:pPr>
      <w:shd w:color="auto" w:fill="000080" w:val="clear"/>
    </w:pPr>
  </w:style>
  <w:style w:styleId="9" w:type="paragraph">
    <w:name w:val="Body Text"/>
    <w:basedOn w:val="1"/>
    <w:link w:val="41"/>
    <w:qFormat/>
    <w:uiPriority w:val="99"/>
    <w:pPr>
      <w:spacing w:after="120"/>
    </w:pPr>
  </w:style>
  <w:style w:styleId="10" w:type="paragraph">
    <w:name w:val="Body Text Indent"/>
    <w:basedOn w:val="1"/>
    <w:link w:val="35"/>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11" w:type="paragraph">
    <w:name w:val="Plain Text"/>
    <w:basedOn w:val="1"/>
    <w:link w:val="36"/>
    <w:uiPriority w:val="99"/>
    <w:rPr>
      <w:rFonts w:ascii="宋体" w:cs="宋体" w:hAnsi="Courier New"/>
    </w:rPr>
  </w:style>
  <w:style w:styleId="12" w:type="paragraph">
    <w:name w:val="Date"/>
    <w:basedOn w:val="1"/>
    <w:next w:val="1"/>
    <w:link w:val="42"/>
    <w:qFormat/>
    <w:uiPriority w:val="0"/>
    <w:rPr>
      <w:sz w:val="24"/>
      <w:szCs w:val="24"/>
    </w:rPr>
  </w:style>
  <w:style w:styleId="13" w:type="paragraph">
    <w:name w:val="Body Text Indent 2"/>
    <w:basedOn w:val="1"/>
    <w:link w:val="37"/>
    <w:qFormat/>
    <w:uiPriority w:val="99"/>
    <w:pPr>
      <w:spacing w:line="560" w:lineRule="exact"/>
      <w:ind w:firstLine="480" w:firstLineChars="200"/>
    </w:pPr>
    <w:rPr>
      <w:rFonts w:ascii="宋体" w:cs="宋体" w:hAnsi="宋体"/>
      <w:color w:val="FF0000"/>
      <w:sz w:val="24"/>
      <w:szCs w:val="24"/>
    </w:rPr>
  </w:style>
  <w:style w:styleId="14" w:type="paragraph">
    <w:name w:val="Balloon Text"/>
    <w:basedOn w:val="1"/>
    <w:link w:val="60"/>
    <w:semiHidden/>
    <w:qFormat/>
    <w:uiPriority w:val="99"/>
    <w:rPr>
      <w:sz w:val="18"/>
      <w:szCs w:val="18"/>
    </w:rPr>
  </w:style>
  <w:style w:styleId="15" w:type="paragraph">
    <w:name w:val="footer"/>
    <w:basedOn w:val="1"/>
    <w:link w:val="38"/>
    <w:qFormat/>
    <w:uiPriority w:val="99"/>
    <w:pPr>
      <w:tabs>
        <w:tab w:pos="4153" w:val="center"/>
        <w:tab w:pos="8306" w:val="right"/>
      </w:tabs>
      <w:snapToGrid w:val="0"/>
      <w:jc w:val="left"/>
    </w:pPr>
    <w:rPr>
      <w:sz w:val="18"/>
      <w:szCs w:val="18"/>
    </w:rPr>
  </w:style>
  <w:style w:styleId="16" w:type="paragraph">
    <w:name w:val="header"/>
    <w:basedOn w:val="1"/>
    <w:link w:val="40"/>
    <w:uiPriority w:val="99"/>
    <w:pPr>
      <w:pBdr>
        <w:bottom w:color="auto" w:space="1" w:sz="6" w:val="single"/>
      </w:pBdr>
      <w:tabs>
        <w:tab w:pos="4153" w:val="center"/>
        <w:tab w:pos="8306" w:val="right"/>
      </w:tabs>
      <w:snapToGrid w:val="0"/>
      <w:jc w:val="center"/>
    </w:pPr>
    <w:rPr>
      <w:sz w:val="18"/>
      <w:szCs w:val="18"/>
    </w:rPr>
  </w:style>
  <w:style w:styleId="17" w:type="paragraph">
    <w:name w:val="List"/>
    <w:basedOn w:val="9"/>
    <w:uiPriority w:val="99"/>
    <w:pPr>
      <w:spacing w:after="220" w:line="220" w:lineRule="atLeast"/>
      <w:ind w:hanging="360" w:left="1440"/>
    </w:pPr>
  </w:style>
  <w:style w:styleId="18" w:type="paragraph">
    <w:name w:val="footnote text"/>
    <w:basedOn w:val="1"/>
    <w:link w:val="66"/>
    <w:uiPriority w:val="0"/>
    <w:pPr>
      <w:snapToGrid w:val="0"/>
      <w:jc w:val="left"/>
    </w:pPr>
    <w:rPr>
      <w:sz w:val="18"/>
      <w:szCs w:val="18"/>
    </w:rPr>
  </w:style>
  <w:style w:styleId="19" w:type="paragraph">
    <w:name w:val="Body Text Indent 3"/>
    <w:basedOn w:val="1"/>
    <w:link w:val="39"/>
    <w:uiPriority w:val="99"/>
    <w:pPr>
      <w:spacing w:line="560" w:lineRule="exact"/>
      <w:ind w:firstLine="420" w:firstLineChars="200"/>
    </w:pPr>
    <w:rPr>
      <w:rFonts w:ascii="Arial" w:cs="Arial" w:hAnsi="Arial"/>
      <w:color w:val="FF0000"/>
    </w:rPr>
  </w:style>
  <w:style w:styleId="20" w:type="paragraph">
    <w:name w:val="Normal (Web)"/>
    <w:basedOn w:val="1"/>
    <w:uiPriority w:val="99"/>
    <w:pPr>
      <w:widowControl/>
      <w:spacing w:after="100" w:afterAutospacing="1" w:before="100" w:beforeAutospacing="1"/>
      <w:jc w:val="left"/>
    </w:pPr>
    <w:rPr>
      <w:rFonts w:ascii="宋体" w:cs="宋体" w:hAnsi="宋体"/>
      <w:kern w:val="0"/>
      <w:sz w:val="24"/>
      <w:szCs w:val="24"/>
    </w:rPr>
  </w:style>
  <w:style w:styleId="21" w:type="paragraph">
    <w:name w:val="index 1"/>
    <w:basedOn w:val="1"/>
    <w:next w:val="1"/>
    <w:semiHidden/>
    <w:qFormat/>
    <w:uiPriority w:val="99"/>
    <w:pPr>
      <w:jc w:val="right"/>
    </w:pPr>
    <w:rPr>
      <w:color w:val="008000"/>
    </w:rPr>
  </w:style>
  <w:style w:styleId="22" w:type="paragraph">
    <w:name w:val="Title"/>
    <w:basedOn w:val="1"/>
    <w:next w:val="1"/>
    <w:link w:val="70"/>
    <w:qFormat/>
    <w:uiPriority w:val="99"/>
    <w:pPr>
      <w:spacing w:after="60" w:before="240"/>
      <w:jc w:val="center"/>
      <w:outlineLvl w:val="0"/>
    </w:pPr>
    <w:rPr>
      <w:rFonts w:ascii="Cambria" w:cs="Cambria" w:hAnsi="Cambria"/>
      <w:b/>
      <w:bCs/>
      <w:sz w:val="32"/>
      <w:szCs w:val="32"/>
    </w:rPr>
  </w:style>
  <w:style w:styleId="24" w:type="character">
    <w:name w:val="Strong"/>
    <w:basedOn w:val="23"/>
    <w:qFormat/>
    <w:uiPriority w:val="22"/>
    <w:rPr>
      <w:b/>
      <w:bCs/>
    </w:rPr>
  </w:style>
  <w:style w:styleId="25" w:type="character">
    <w:name w:val="page number"/>
    <w:basedOn w:val="23"/>
    <w:uiPriority w:val="99"/>
  </w:style>
  <w:style w:styleId="26" w:type="character">
    <w:name w:val="FollowedHyperlink"/>
    <w:basedOn w:val="23"/>
    <w:qFormat/>
    <w:uiPriority w:val="99"/>
    <w:rPr>
      <w:color w:val="800080"/>
      <w:u w:val="single"/>
    </w:rPr>
  </w:style>
  <w:style w:styleId="27" w:type="character">
    <w:name w:val="Hyperlink"/>
    <w:basedOn w:val="23"/>
    <w:uiPriority w:val="99"/>
    <w:rPr>
      <w:color w:val="0000FF"/>
      <w:u w:val="single"/>
    </w:rPr>
  </w:style>
  <w:style w:styleId="28" w:type="character">
    <w:name w:val="annotation reference"/>
    <w:basedOn w:val="23"/>
    <w:semiHidden/>
    <w:qFormat/>
    <w:uiPriority w:val="99"/>
    <w:rPr>
      <w:sz w:val="21"/>
      <w:szCs w:val="21"/>
    </w:rPr>
  </w:style>
  <w:style w:styleId="29" w:type="character">
    <w:name w:val="footnote reference"/>
    <w:basedOn w:val="23"/>
    <w:uiPriority w:val="0"/>
    <w:rPr>
      <w:vertAlign w:val="superscript"/>
    </w:rPr>
  </w:style>
  <w:style w:styleId="31" w:type="table">
    <w:name w:val="Table Grid"/>
    <w:basedOn w:val="30"/>
    <w:uiPriority w:val="99"/>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style>
  <w:style w:customStyle="1" w:styleId="32" w:type="character">
    <w:name w:val="标题 1 Char"/>
    <w:basedOn w:val="23"/>
    <w:link w:val="2"/>
    <w:uiPriority w:val="99"/>
    <w:rPr>
      <w:rFonts w:ascii="Times New Roman" w:cs="Times New Roman" w:eastAsia="宋体" w:hAnsi="Times New Roman"/>
      <w:b/>
      <w:bCs/>
      <w:kern w:val="44"/>
      <w:sz w:val="44"/>
      <w:szCs w:val="44"/>
    </w:rPr>
  </w:style>
  <w:style w:customStyle="1" w:styleId="33" w:type="character">
    <w:name w:val="标题 2 Char"/>
    <w:basedOn w:val="23"/>
    <w:link w:val="3"/>
    <w:uiPriority w:val="99"/>
    <w:rPr>
      <w:rFonts w:ascii="Arial" w:cs="Arial" w:eastAsia="宋体" w:hAnsi="Arial"/>
      <w:b/>
      <w:bCs/>
      <w:sz w:val="24"/>
      <w:szCs w:val="24"/>
    </w:rPr>
  </w:style>
  <w:style w:customStyle="1" w:styleId="34" w:type="character">
    <w:name w:val="标题 3 Char"/>
    <w:basedOn w:val="23"/>
    <w:link w:val="5"/>
    <w:uiPriority w:val="99"/>
    <w:rPr>
      <w:rFonts w:ascii="Times New Roman" w:cs="Times New Roman" w:eastAsia="宋体" w:hAnsi="Times New Roman"/>
      <w:b/>
      <w:bCs/>
      <w:sz w:val="32"/>
      <w:szCs w:val="32"/>
    </w:rPr>
  </w:style>
  <w:style w:customStyle="1" w:styleId="35" w:type="character">
    <w:name w:val="正文文本缩进 Char"/>
    <w:basedOn w:val="23"/>
    <w:link w:val="10"/>
    <w:uiPriority w:val="99"/>
    <w:rPr>
      <w:rFonts w:ascii="Arial Unicode MS" w:cs="Arial Unicode MS" w:eastAsia="Arial Unicode MS" w:hAnsi="Arial Unicode MS"/>
      <w:kern w:val="0"/>
      <w:sz w:val="24"/>
      <w:szCs w:val="24"/>
    </w:rPr>
  </w:style>
  <w:style w:customStyle="1" w:styleId="36" w:type="character">
    <w:name w:val="纯文本 Char"/>
    <w:basedOn w:val="23"/>
    <w:link w:val="11"/>
    <w:uiPriority w:val="99"/>
    <w:rPr>
      <w:rFonts w:ascii="宋体" w:cs="宋体" w:eastAsia="宋体" w:hAnsi="Courier New"/>
      <w:szCs w:val="21"/>
    </w:rPr>
  </w:style>
  <w:style w:customStyle="1" w:styleId="37" w:type="character">
    <w:name w:val="正文文本缩进 2 Char"/>
    <w:basedOn w:val="23"/>
    <w:link w:val="13"/>
    <w:uiPriority w:val="99"/>
    <w:rPr>
      <w:rFonts w:ascii="宋体" w:cs="宋体" w:eastAsia="宋体" w:hAnsi="宋体"/>
      <w:color w:val="FF0000"/>
      <w:sz w:val="24"/>
      <w:szCs w:val="24"/>
    </w:rPr>
  </w:style>
  <w:style w:customStyle="1" w:styleId="38" w:type="character">
    <w:name w:val="页脚 Char"/>
    <w:basedOn w:val="23"/>
    <w:link w:val="15"/>
    <w:uiPriority w:val="99"/>
    <w:rPr>
      <w:rFonts w:ascii="Times New Roman" w:cs="Times New Roman" w:eastAsia="宋体" w:hAnsi="Times New Roman"/>
      <w:sz w:val="18"/>
      <w:szCs w:val="18"/>
    </w:rPr>
  </w:style>
  <w:style w:customStyle="1" w:styleId="39" w:type="character">
    <w:name w:val="正文文本缩进 3 Char"/>
    <w:basedOn w:val="23"/>
    <w:link w:val="19"/>
    <w:uiPriority w:val="99"/>
    <w:rPr>
      <w:rFonts w:ascii="Arial" w:cs="Arial" w:eastAsia="宋体" w:hAnsi="Arial"/>
      <w:color w:val="FF0000"/>
      <w:szCs w:val="21"/>
    </w:rPr>
  </w:style>
  <w:style w:customStyle="1" w:styleId="40" w:type="character">
    <w:name w:val="页眉 Char"/>
    <w:basedOn w:val="23"/>
    <w:link w:val="16"/>
    <w:uiPriority w:val="99"/>
    <w:rPr>
      <w:rFonts w:ascii="Times New Roman" w:cs="Times New Roman" w:eastAsia="宋体" w:hAnsi="Times New Roman"/>
      <w:sz w:val="18"/>
      <w:szCs w:val="18"/>
    </w:rPr>
  </w:style>
  <w:style w:customStyle="1" w:styleId="41" w:type="character">
    <w:name w:val="正文文本 Char"/>
    <w:basedOn w:val="23"/>
    <w:link w:val="9"/>
    <w:qFormat/>
    <w:uiPriority w:val="99"/>
    <w:rPr>
      <w:rFonts w:ascii="Times New Roman" w:cs="Times New Roman" w:eastAsia="宋体" w:hAnsi="Times New Roman"/>
      <w:szCs w:val="21"/>
    </w:rPr>
  </w:style>
  <w:style w:customStyle="1" w:styleId="42" w:type="character">
    <w:name w:val="日期 Char"/>
    <w:basedOn w:val="23"/>
    <w:link w:val="12"/>
    <w:qFormat/>
    <w:uiPriority w:val="0"/>
    <w:rPr>
      <w:rFonts w:ascii="Times New Roman" w:cs="Times New Roman" w:eastAsia="宋体" w:hAnsi="Times New Roman"/>
      <w:sz w:val="24"/>
      <w:szCs w:val="24"/>
    </w:rPr>
  </w:style>
  <w:style w:customStyle="1" w:styleId="43" w:type="character">
    <w:name w:val="c1"/>
    <w:basedOn w:val="23"/>
    <w:qFormat/>
    <w:uiPriority w:val="99"/>
    <w:rPr>
      <w:color w:val="000000"/>
      <w:sz w:val="18"/>
      <w:szCs w:val="18"/>
    </w:rPr>
  </w:style>
  <w:style w:customStyle="1" w:styleId="44" w:type="paragraph">
    <w:name w:val="font5"/>
    <w:basedOn w:val="1"/>
    <w:qFormat/>
    <w:uiPriority w:val="99"/>
    <w:pPr>
      <w:widowControl/>
      <w:spacing w:after="100" w:afterAutospacing="1" w:before="100" w:beforeAutospacing="1"/>
      <w:jc w:val="left"/>
    </w:pPr>
    <w:rPr>
      <w:rFonts w:ascii="宋体" w:cs="宋体" w:hAnsi="宋体"/>
      <w:kern w:val="0"/>
      <w:sz w:val="18"/>
      <w:szCs w:val="18"/>
    </w:rPr>
  </w:style>
  <w:style w:customStyle="1" w:styleId="45" w:type="paragraph">
    <w:name w:val="xl24"/>
    <w:basedOn w:val="1"/>
    <w:qFormat/>
    <w:uiPriority w:val="99"/>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46" w:type="paragraph">
    <w:name w:val="xl2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47" w:type="paragraph">
    <w:name w:val="xl2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48" w:type="paragraph">
    <w:name w:val="xl2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49" w:type="paragraph">
    <w:name w:val="xl2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0" w:type="paragraph">
    <w:name w:val="xl29"/>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1" w:type="paragraph">
    <w:name w:val="xl30"/>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2" w:type="paragraph">
    <w:name w:val="xl31"/>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3" w:type="paragraph">
    <w:name w:val="xl32"/>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4" w:type="paragraph">
    <w:name w:val="xl33"/>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55" w:type="paragraph">
    <w:name w:val="xl34"/>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6" w:type="paragraph">
    <w:name w:val="xl3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57" w:type="paragraph">
    <w:name w:val="xl3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58" w:type="paragraph">
    <w:name w:val="xl3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59" w:type="paragraph">
    <w:name w:val="xl3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60" w:type="character">
    <w:name w:val="批注框文本 Char"/>
    <w:basedOn w:val="23"/>
    <w:link w:val="14"/>
    <w:semiHidden/>
    <w:qFormat/>
    <w:uiPriority w:val="99"/>
    <w:rPr>
      <w:rFonts w:ascii="Times New Roman" w:cs="Times New Roman" w:eastAsia="宋体" w:hAnsi="Times New Roman"/>
      <w:sz w:val="18"/>
      <w:szCs w:val="18"/>
    </w:rPr>
  </w:style>
  <w:style w:customStyle="1" w:styleId="61" w:type="character">
    <w:name w:val="批注文字 Char"/>
    <w:basedOn w:val="23"/>
    <w:link w:val="7"/>
    <w:semiHidden/>
    <w:qFormat/>
    <w:uiPriority w:val="99"/>
    <w:rPr>
      <w:rFonts w:ascii="Times New Roman" w:cs="Times New Roman" w:eastAsia="宋体" w:hAnsi="Times New Roman"/>
      <w:szCs w:val="21"/>
    </w:rPr>
  </w:style>
  <w:style w:customStyle="1" w:styleId="62" w:type="character">
    <w:name w:val="批注主题 Char"/>
    <w:basedOn w:val="61"/>
    <w:link w:val="6"/>
    <w:semiHidden/>
    <w:qFormat/>
    <w:uiPriority w:val="99"/>
    <w:rPr>
      <w:rFonts w:ascii="Times New Roman" w:cs="Times New Roman" w:eastAsia="宋体" w:hAnsi="Times New Roman"/>
      <w:b/>
      <w:bCs/>
      <w:szCs w:val="21"/>
    </w:rPr>
  </w:style>
  <w:style w:customStyle="1" w:styleId="63" w:type="paragraph">
    <w:name w:val="Char"/>
    <w:basedOn w:val="1"/>
    <w:qFormat/>
    <w:uiPriority w:val="99"/>
  </w:style>
  <w:style w:customStyle="1" w:styleId="64" w:type="character">
    <w:name w:val="文档结构图 Char"/>
    <w:basedOn w:val="23"/>
    <w:link w:val="8"/>
    <w:semiHidden/>
    <w:uiPriority w:val="99"/>
    <w:rPr>
      <w:rFonts w:ascii="Times New Roman" w:cs="Times New Roman" w:eastAsia="宋体" w:hAnsi="Times New Roman"/>
      <w:szCs w:val="21"/>
      <w:shd w:color="auto" w:fill="000080" w:val="clear"/>
    </w:rPr>
  </w:style>
  <w:style w:customStyle="1" w:styleId="65" w:type="paragraph">
    <w:name w:val="正文 + (符号) 宋体"/>
    <w:basedOn w:val="1"/>
    <w:uiPriority w:val="99"/>
    <w:pPr>
      <w:autoSpaceDE w:val="0"/>
      <w:autoSpaceDN w:val="0"/>
      <w:adjustRightInd w:val="0"/>
      <w:ind w:firstLine="1229" w:firstLineChars="512" w:right="1409" w:rightChars="671"/>
      <w:jc w:val="distribute"/>
    </w:pPr>
    <w:rPr>
      <w:sz w:val="24"/>
      <w:szCs w:val="24"/>
    </w:rPr>
  </w:style>
  <w:style w:customStyle="1" w:styleId="66" w:type="character">
    <w:name w:val="脚注文本 Char"/>
    <w:basedOn w:val="23"/>
    <w:link w:val="18"/>
    <w:uiPriority w:val="0"/>
    <w:rPr>
      <w:rFonts w:ascii="Times New Roman" w:cs="Times New Roman" w:eastAsia="宋体" w:hAnsi="Times New Roman"/>
      <w:sz w:val="18"/>
      <w:szCs w:val="18"/>
    </w:rPr>
  </w:style>
  <w:style w:customStyle="1" w:styleId="67" w:type="paragraph">
    <w:name w:val="Char1"/>
    <w:basedOn w:val="1"/>
    <w:uiPriority w:val="99"/>
  </w:style>
  <w:style w:customStyle="1" w:styleId="68" w:type="paragraph">
    <w:name w:val="Char Char Char Char Char Char1 Char Char Char"/>
    <w:basedOn w:val="1"/>
    <w:uiPriority w:val="99"/>
    <w:pPr>
      <w:autoSpaceDE w:val="0"/>
      <w:autoSpaceDN w:val="0"/>
      <w:adjustRightInd w:val="0"/>
      <w:jc w:val="left"/>
      <w:textAlignment w:val="baseline"/>
    </w:pPr>
    <w:rPr>
      <w:rFonts w:ascii="宋体" w:cs="宋体"/>
      <w:kern w:val="0"/>
      <w:sz w:val="34"/>
      <w:szCs w:val="34"/>
    </w:rPr>
  </w:style>
  <w:style w:customStyle="1" w:styleId="69" w:type="paragraph">
    <w:name w:val="Char Char Char Char Char Char1 Char Char Char2"/>
    <w:basedOn w:val="1"/>
    <w:uiPriority w:val="99"/>
    <w:pPr>
      <w:autoSpaceDE w:val="0"/>
      <w:autoSpaceDN w:val="0"/>
      <w:adjustRightInd w:val="0"/>
      <w:jc w:val="left"/>
      <w:textAlignment w:val="baseline"/>
    </w:pPr>
    <w:rPr>
      <w:rFonts w:ascii="宋体" w:cs="宋体"/>
      <w:kern w:val="0"/>
      <w:sz w:val="34"/>
      <w:szCs w:val="34"/>
    </w:rPr>
  </w:style>
  <w:style w:customStyle="1" w:styleId="70" w:type="character">
    <w:name w:val="标题 Char"/>
    <w:basedOn w:val="23"/>
    <w:link w:val="22"/>
    <w:uiPriority w:val="99"/>
    <w:rPr>
      <w:rFonts w:ascii="Cambria" w:cs="Cambria" w:eastAsia="宋体" w:hAnsi="Cambria"/>
      <w:b/>
      <w:bCs/>
      <w:sz w:val="32"/>
      <w:szCs w:val="32"/>
    </w:rPr>
  </w:style>
  <w:style w:customStyle="1" w:styleId="71" w:type="paragraph">
    <w:name w:val="Char Char Char Char Char Char1 Char Char Char1"/>
    <w:basedOn w:val="1"/>
    <w:uiPriority w:val="99"/>
    <w:pPr>
      <w:autoSpaceDE w:val="0"/>
      <w:autoSpaceDN w:val="0"/>
      <w:adjustRightInd w:val="0"/>
      <w:jc w:val="left"/>
      <w:textAlignment w:val="baseline"/>
    </w:pPr>
    <w:rPr>
      <w:rFonts w:ascii="宋体" w:cs="宋体"/>
      <w:kern w:val="0"/>
      <w:sz w:val="34"/>
      <w:szCs w:val="34"/>
    </w:rPr>
  </w:style>
  <w:style w:customStyle="1" w:styleId="72" w:type="paragraph">
    <w:name w:val="No Spacing"/>
    <w:link w:val="73"/>
    <w:qFormat/>
    <w:uiPriority w:val="1"/>
    <w:rPr>
      <w:rFonts w:ascii="Calibri" w:cs="Calibri" w:eastAsia="宋体" w:hAnsi="Calibri"/>
      <w:kern w:val="0"/>
      <w:sz w:val="22"/>
      <w:szCs w:val="22"/>
      <w:lang w:bidi="ar-SA" w:eastAsia="zh-CN" w:val="en-US"/>
    </w:rPr>
  </w:style>
  <w:style w:customStyle="1" w:styleId="73" w:type="character">
    <w:name w:val="无间隔 Char"/>
    <w:basedOn w:val="23"/>
    <w:link w:val="72"/>
    <w:locked/>
    <w:uiPriority w:val="1"/>
    <w:rPr>
      <w:rFonts w:ascii="Calibri" w:cs="Calibri" w:eastAsia="宋体" w:hAnsi="Calibri"/>
      <w:kern w:val="0"/>
      <w:sz w:val="22"/>
    </w:rPr>
  </w:style>
  <w:style w:customStyle="1" w:styleId="74" w:type="character">
    <w:name w:val="t1"/>
    <w:basedOn w:val="23"/>
    <w:uiPriority w:val="99"/>
    <w:rPr>
      <w:color w:val="auto"/>
    </w:rPr>
  </w:style>
  <w:style w:customStyle="1" w:styleId="75" w:type="paragraph">
    <w:name w:val="List Paragraph"/>
    <w:basedOn w:val="1"/>
    <w:qFormat/>
    <w:uiPriority w:val="34"/>
    <w:pPr>
      <w:ind w:firstLine="420" w:firstLineChars="200"/>
    </w:pPr>
  </w:style>
  <w:style w:customStyle="1" w:styleId="76" w:type="paragraph">
    <w:name w:val="Default"/>
    <w:uiPriority w:val="0"/>
    <w:pPr>
      <w:widowControl w:val="0"/>
      <w:autoSpaceDE w:val="0"/>
      <w:autoSpaceDN w:val="0"/>
      <w:adjustRightInd w:val="0"/>
    </w:pPr>
    <w:rPr>
      <w:rFonts w:ascii="仿宋" w:cs="仿宋" w:eastAsia="宋体" w:hAnsi="仿宋"/>
      <w:color w:val="000000"/>
      <w:kern w:val="0"/>
      <w:sz w:val="24"/>
      <w:szCs w:val="24"/>
      <w:lang w:bidi="ar-SA" w:eastAsia="zh-CN" w:val="en-US"/>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fontTable.xml" Type="http://schemas.openxmlformats.org/officeDocument/2006/relationships/fontTable"/>
<Relationship Id="rId2" Target="settings.xml" Type="http://schemas.openxmlformats.org/officeDocument/2006/relationships/settings"/>
<Relationship Id="rId3" Target="header1.xml" Type="http://schemas.openxmlformats.org/officeDocument/2006/relationships/header"/>
<Relationship Id="rId4" Target="footer1.xml" Type="http://schemas.openxmlformats.org/officeDocument/2006/relationships/footer"/>
<Relationship Id="rId5" Target="footer2.xml" Type="http://schemas.openxmlformats.org/officeDocument/2006/relationships/footer"/>
<Relationship Id="rId6" Target="theme/theme1.xml" Type="http://schemas.openxmlformats.org/officeDocument/2006/relationships/theme"/>
<Relationship Id="rId7" Target="media/image1.jpeg" Type="http://schemas.openxmlformats.org/officeDocument/2006/relationships/image"/>
<Relationship Id="rId8" Target="../customXml/item1.xml" Type="http://schemas.openxmlformats.org/officeDocument/2006/relationships/customXml"/>
<Relationship Id="rId9" Target="../customXml/item2.xml" Type="http://schemas.openxmlformats.org/officeDocument/2006/relationships/custom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3834</Words>
  <Characters>21859</Characters>
  <Lines>182</Lines>
  <Paragraphs>51</Paragraphs>
  <TotalTime>0</TotalTime>
  <ScaleCrop>false</ScaleCrop>
  <LinksUpToDate>false</LinksUpToDate>
  <CharactersWithSpaces>25642</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Administrator</cp:lastModifiedBy>
  <dcterms:modified xsi:type="dcterms:W3CDTF">2017-07-11T07:07:49Z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