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上投摩根核心成长股票型证券投资基金</w:t>
      </w:r>
    </w:p>
    <w:p w:rsidR="00D06738" w:rsidRDefault="00454D20">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2021年第1季度报告</w:t>
      </w:r>
    </w:p>
    <w:p w:rsidR="00D06738" w:rsidRDefault="00454D20">
      <w:pPr>
        <w:spacing w:line="360" w:lineRule="auto"/>
        <w:jc w:val="center"/>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t>2021年3月31日</w:t>
      </w: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bookmarkStart w:id="0" w:name="_GoBack"/>
      <w:bookmarkEnd w:id="0"/>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rPr>
          <w:rFonts w:asciiTheme="minorEastAsia" w:eastAsiaTheme="minorEastAsia" w:hAnsiTheme="minorEastAsia"/>
          <w:b/>
          <w:bCs/>
          <w:color w:val="000000" w:themeColor="text1"/>
          <w:sz w:val="24"/>
          <w:szCs w:val="24"/>
        </w:rPr>
      </w:pPr>
    </w:p>
    <w:p w:rsidR="00D06738" w:rsidRDefault="00454D20">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基金管理人：</w:t>
      </w:r>
      <w:r>
        <w:rPr>
          <w:rFonts w:asciiTheme="minorEastAsia" w:eastAsiaTheme="minorEastAsia" w:hAnsiTheme="minorEastAsia"/>
          <w:b/>
          <w:color w:val="000000" w:themeColor="text1"/>
          <w:sz w:val="24"/>
          <w:szCs w:val="24"/>
        </w:rPr>
        <w:t>上投摩根基金管理有限公司</w:t>
      </w:r>
    </w:p>
    <w:p w:rsidR="00D06738" w:rsidRDefault="00454D20">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基金托管人：</w:t>
      </w:r>
      <w:r>
        <w:rPr>
          <w:rFonts w:asciiTheme="minorEastAsia" w:eastAsiaTheme="minorEastAsia" w:hAnsiTheme="minorEastAsia"/>
          <w:b/>
          <w:color w:val="000000" w:themeColor="text1"/>
          <w:sz w:val="24"/>
          <w:szCs w:val="24"/>
        </w:rPr>
        <w:t>中国银行股份有限公司</w:t>
      </w:r>
    </w:p>
    <w:p w:rsidR="00D06738" w:rsidRDefault="00454D20">
      <w:pPr>
        <w:spacing w:line="360" w:lineRule="auto"/>
        <w:ind w:firstLineChars="900" w:firstLine="2168"/>
        <w:rPr>
          <w:rFonts w:asciiTheme="minorEastAsia" w:eastAsiaTheme="minorEastAsia" w:hAnsiTheme="minorEastAsia"/>
          <w:b/>
          <w:color w:val="000000" w:themeColor="text1"/>
          <w:sz w:val="24"/>
          <w:szCs w:val="24"/>
        </w:rPr>
        <w:sectPr w:rsidR="00D06738">
          <w:headerReference w:type="default" r:id="rId8"/>
          <w:footerReference w:type="default" r:id="rId9"/>
          <w:pgSz w:w="11926" w:h="15840"/>
          <w:pgMar w:top="1418" w:right="1418" w:bottom="851" w:left="1418" w:header="851" w:footer="992" w:gutter="0"/>
          <w:cols w:space="720"/>
        </w:sectPr>
      </w:pPr>
      <w:r>
        <w:rPr>
          <w:rFonts w:asciiTheme="minorEastAsia" w:eastAsiaTheme="minorEastAsia" w:hAnsiTheme="minorEastAsia" w:hint="eastAsia"/>
          <w:b/>
          <w:color w:val="000000" w:themeColor="text1"/>
          <w:sz w:val="24"/>
          <w:szCs w:val="24"/>
        </w:rPr>
        <w:t>报告送出日期：</w:t>
      </w:r>
      <w:r>
        <w:rPr>
          <w:rFonts w:asciiTheme="minorEastAsia" w:eastAsiaTheme="minorEastAsia" w:hAnsiTheme="minorEastAsia"/>
          <w:b/>
          <w:color w:val="000000" w:themeColor="text1"/>
          <w:sz w:val="24"/>
          <w:szCs w:val="24"/>
        </w:rPr>
        <w:t>二〇二一年四月二十二日</w:t>
      </w:r>
    </w:p>
    <w:p w:rsidR="00D06738" w:rsidRDefault="00454D20">
      <w:pPr>
        <w:pStyle w:val="1"/>
        <w:spacing w:beforeLines="100" w:before="312" w:afterLines="100" w:after="312" w:line="360" w:lineRule="auto"/>
        <w:jc w:val="center"/>
        <w:rPr>
          <w:rFonts w:asciiTheme="minorEastAsia" w:eastAsiaTheme="minorEastAsia" w:hAnsiTheme="minorEastAsia"/>
          <w:b w:val="0"/>
          <w:bCs w:val="0"/>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w:t>
      </w:r>
      <w:r>
        <w:rPr>
          <w:rFonts w:asciiTheme="minorEastAsia" w:eastAsiaTheme="minorEastAsia" w:hAnsiTheme="minorEastAsia"/>
          <w:color w:val="000000" w:themeColor="text1"/>
          <w:kern w:val="0"/>
          <w:sz w:val="24"/>
          <w:szCs w:val="24"/>
        </w:rPr>
        <w:t xml:space="preserve">1  </w:t>
      </w:r>
      <w:r>
        <w:rPr>
          <w:rFonts w:asciiTheme="minorEastAsia" w:eastAsiaTheme="minorEastAsia" w:hAnsiTheme="minorEastAsia" w:hint="eastAsia"/>
          <w:color w:val="000000" w:themeColor="text1"/>
          <w:kern w:val="0"/>
          <w:sz w:val="24"/>
          <w:szCs w:val="24"/>
        </w:rPr>
        <w:t>重要提示</w:t>
      </w:r>
    </w:p>
    <w:p w:rsidR="00A54605" w:rsidRDefault="00314AE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基金管理人的董事会及董事保证本报告所载资料不存在虚假记载、误导性陈述或重大遗漏，并对其内容的真实性、准确性和完整性承担个别及连带责任。</w:t>
      </w:r>
      <w:r>
        <w:rPr>
          <w:rFonts w:asciiTheme="minorEastAsia" w:eastAsiaTheme="minorEastAsia" w:hAnsiTheme="minorEastAsia"/>
          <w:color w:val="000000" w:themeColor="text1"/>
        </w:rPr>
        <w:t xml:space="preserve"> </w:t>
      </w:r>
    </w:p>
    <w:p w:rsidR="00A54605" w:rsidRDefault="00314AE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基金托管人中国银行股份有限公司根据本基金合同规定，于</w:t>
      </w:r>
      <w:r>
        <w:rPr>
          <w:rFonts w:asciiTheme="minorEastAsia" w:eastAsiaTheme="minorEastAsia" w:hAnsiTheme="minorEastAsia"/>
          <w:color w:val="000000" w:themeColor="text1"/>
        </w:rPr>
        <w:t>2021</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4</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21</w:t>
      </w:r>
      <w:r>
        <w:rPr>
          <w:rFonts w:asciiTheme="minorEastAsia" w:eastAsiaTheme="minorEastAsia" w:hAnsiTheme="minorEastAsia"/>
          <w:color w:val="000000" w:themeColor="text1"/>
        </w:rPr>
        <w:t>日复核了本报告中的财务指标、净值表现和投资组合报告等内容，保证复核内容不存在虚假记载、误导性陈述或者重大遗漏。</w:t>
      </w:r>
      <w:r>
        <w:rPr>
          <w:rFonts w:asciiTheme="minorEastAsia" w:eastAsiaTheme="minorEastAsia" w:hAnsiTheme="minorEastAsia"/>
          <w:color w:val="000000" w:themeColor="text1"/>
        </w:rPr>
        <w:t xml:space="preserve"> </w:t>
      </w:r>
    </w:p>
    <w:p w:rsidR="00A54605" w:rsidRDefault="00314AE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基金管理人承诺以诚实信用、勤勉尽责的原则管理和运用基金资产，但不保证基金一定盈利。</w:t>
      </w:r>
      <w:r>
        <w:rPr>
          <w:rFonts w:asciiTheme="minorEastAsia" w:eastAsiaTheme="minorEastAsia" w:hAnsiTheme="minorEastAsia"/>
          <w:color w:val="000000" w:themeColor="text1"/>
        </w:rPr>
        <w:t xml:space="preserve"> </w:t>
      </w:r>
    </w:p>
    <w:p w:rsidR="00A54605" w:rsidRDefault="00314AE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基金的过往业绩并不代表其未来表现。投资有风险，投资者在作出投资决策前应仔细阅读本基金的招募说明书。</w:t>
      </w:r>
      <w:r>
        <w:rPr>
          <w:rFonts w:asciiTheme="minorEastAsia" w:eastAsiaTheme="minorEastAsia" w:hAnsiTheme="minorEastAsia"/>
          <w:color w:val="000000" w:themeColor="text1"/>
        </w:rPr>
        <w:t xml:space="preserve"> </w:t>
      </w:r>
    </w:p>
    <w:p w:rsidR="00A54605" w:rsidRDefault="00314AE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本报告中财务资料未经审计。</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本报告期自2021年1月1日起至3月31日止。</w:t>
      </w:r>
    </w:p>
    <w:p w:rsidR="00D06738" w:rsidRDefault="00454D20">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2  </w:t>
      </w:r>
      <w:r>
        <w:rPr>
          <w:rFonts w:asciiTheme="minorEastAsia" w:eastAsiaTheme="minorEastAsia" w:hAnsiTheme="minorEastAsia" w:hint="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基金简称</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上投摩根核心成长股票</w:t>
            </w:r>
          </w:p>
        </w:tc>
      </w:tr>
      <w:tr w:rsidR="00D06738">
        <w:tc>
          <w:tcPr>
            <w:tcW w:w="2835" w:type="dxa"/>
            <w:tcBorders>
              <w:top w:val="single" w:sz="4" w:space="0" w:color="auto"/>
              <w:left w:val="single" w:sz="4" w:space="0" w:color="auto"/>
              <w:bottom w:val="single" w:sz="4" w:space="0" w:color="auto"/>
              <w:right w:val="single" w:sz="4" w:space="0" w:color="auto"/>
            </w:tcBorders>
            <w:vAlign w:val="center"/>
          </w:tcPr>
          <w:p w:rsidR="00D06738" w:rsidRDefault="00454D20">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000457</w:t>
            </w:r>
          </w:p>
        </w:tc>
      </w:tr>
      <w:tr w:rsidR="00D06738">
        <w:tc>
          <w:tcPr>
            <w:tcW w:w="2835" w:type="dxa"/>
            <w:tcBorders>
              <w:top w:val="single" w:sz="4" w:space="0" w:color="auto"/>
              <w:left w:val="single" w:sz="4" w:space="0" w:color="auto"/>
              <w:bottom w:val="single" w:sz="4" w:space="0" w:color="auto"/>
              <w:right w:val="single" w:sz="4" w:space="0" w:color="auto"/>
            </w:tcBorders>
            <w:vAlign w:val="center"/>
          </w:tcPr>
          <w:p w:rsidR="00D06738" w:rsidRDefault="00454D20">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000457</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基金运作方式</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契约型开放式</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基金合同生效日</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2014年2月10日</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报告期末基金份额总额</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597,709,135.37</w:t>
            </w:r>
            <w:r>
              <w:rPr>
                <w:rFonts w:asciiTheme="minorEastAsia" w:eastAsiaTheme="minorEastAsia" w:hAnsiTheme="minorEastAsia" w:hint="eastAsia"/>
                <w:color w:val="000000" w:themeColor="text1"/>
                <w:kern w:val="0"/>
              </w:rPr>
              <w:t>份</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投资目标</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本基金将充分利用管理人的投资研究平台，通过系统和深入的基本面研究，选择公司治理良好且具有较高增长潜力的公司进行投资，力争实现基金资产的长期稳定增值。</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投资策略</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采用“自下而上”的个股精选策略，综合运用定量分析与定性分析的手段，基于公司内部研究团队对于个股基本面的深入研究和细致的实地调研，重点投资于公司治理良好且具有较高增长潜力的公司。在行业配置层面，本</w:t>
            </w:r>
            <w:r>
              <w:rPr>
                <w:rFonts w:asciiTheme="minorEastAsia" w:eastAsiaTheme="minorEastAsia" w:hAnsiTheme="minorEastAsia"/>
                <w:color w:val="000000" w:themeColor="text1"/>
                <w:kern w:val="0"/>
              </w:rPr>
              <w:lastRenderedPageBreak/>
              <w:t>基金将对宏观经济发展状况及趋势、行业周期性及景气度、行业相对估值水平等方面进行研究，判断各个行业的相对投资价值，参考整体市场的行业资产分布比例，确定和动态调整各个行业的配置比例。在个股选择层面，本基金通过纪律化的投资约束，力争最大程度地将内部研究成果转化为投资业绩，公司研究团队负责内部研究组合的构建与维护。</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lastRenderedPageBreak/>
              <w:t>业绩比较基准</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沪深300指数收益率×85%+中债总指数收益率×15%</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风险收益特征</w:t>
            </w:r>
          </w:p>
        </w:tc>
        <w:tc>
          <w:tcPr>
            <w:tcW w:w="5479" w:type="dxa"/>
            <w:vAlign w:val="center"/>
          </w:tcPr>
          <w:p w:rsidR="00A54605" w:rsidRDefault="00314AEC">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本基金属于股票型基金产品，预期风险和收益水平高于混合型基金、债券型基金和货币市场基金</w:t>
            </w:r>
            <w:r>
              <w:rPr>
                <w:rFonts w:asciiTheme="minorEastAsia" w:eastAsiaTheme="minorEastAsia" w:hAnsiTheme="minorEastAsia"/>
                <w:color w:val="000000" w:themeColor="text1"/>
                <w:kern w:val="0"/>
              </w:rPr>
              <w:t xml:space="preserve"> </w:t>
            </w:r>
            <w:r>
              <w:rPr>
                <w:rFonts w:asciiTheme="minorEastAsia" w:eastAsiaTheme="minorEastAsia" w:hAnsiTheme="minorEastAsia"/>
                <w:color w:val="000000" w:themeColor="text1"/>
                <w:kern w:val="0"/>
              </w:rPr>
              <w:t>，属于较高风险收益水平的基金产品。</w:t>
            </w:r>
          </w:p>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根据2017年7月1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基金管理人</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上投摩根基金管理有限公司</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基金托管人</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中国银行股份有限公司</w:t>
            </w:r>
          </w:p>
        </w:tc>
      </w:tr>
    </w:tbl>
    <w:p w:rsidR="00D06738" w:rsidRDefault="00454D20">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3  </w:t>
      </w:r>
      <w:r>
        <w:rPr>
          <w:rFonts w:asciiTheme="minorEastAsia" w:eastAsiaTheme="minorEastAsia" w:hAnsiTheme="minorEastAsia" w:hint="eastAsia"/>
          <w:color w:val="000000" w:themeColor="text1"/>
          <w:kern w:val="0"/>
          <w:sz w:val="24"/>
          <w:szCs w:val="24"/>
        </w:rPr>
        <w:t>主要财务指标和基金净值表现</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3.1 </w:t>
      </w:r>
      <w:r>
        <w:rPr>
          <w:rFonts w:asciiTheme="minorEastAsia" w:eastAsiaTheme="minorEastAsia" w:hAnsiTheme="minorEastAsia" w:hint="eastAsia"/>
          <w:b/>
          <w:bCs/>
          <w:color w:val="000000" w:themeColor="text1"/>
          <w:kern w:val="0"/>
          <w:sz w:val="24"/>
          <w:szCs w:val="24"/>
        </w:rPr>
        <w:t>主要财务指标</w:t>
      </w:r>
    </w:p>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314AEC" w:rsidTr="00314AEC">
        <w:tc>
          <w:tcPr>
            <w:tcW w:w="3402" w:type="dxa"/>
            <w:vAlign w:val="center"/>
          </w:tcPr>
          <w:p w:rsidR="00D06738" w:rsidRDefault="00454D20">
            <w:pPr>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主要财务指标</w:t>
            </w:r>
          </w:p>
        </w:tc>
        <w:tc>
          <w:tcPr>
            <w:tcW w:w="4962" w:type="dxa"/>
            <w:vAlign w:val="center"/>
          </w:tcPr>
          <w:p w:rsidR="00D06738" w:rsidRDefault="00454D20">
            <w:pPr>
              <w:adjustRightInd w:val="0"/>
              <w:spacing w:before="29" w:line="360" w:lineRule="auto"/>
              <w:ind w:left="17"/>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报告期</w:t>
            </w:r>
          </w:p>
          <w:p w:rsidR="00D06738" w:rsidRDefault="00454D20">
            <w:pPr>
              <w:adjustRightInd w:val="0"/>
              <w:spacing w:before="29" w:line="360" w:lineRule="auto"/>
              <w:ind w:left="17"/>
              <w:jc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2021年1月1日-2021年3月31日</w:t>
            </w:r>
            <w:r>
              <w:rPr>
                <w:rFonts w:asciiTheme="minorEastAsia" w:eastAsiaTheme="minorEastAsia" w:hAnsiTheme="minorEastAsia" w:cs="宋体" w:hint="eastAsia"/>
                <w:color w:val="000000" w:themeColor="text1"/>
              </w:rPr>
              <w:t>)</w:t>
            </w:r>
          </w:p>
        </w:tc>
      </w:tr>
      <w:tr w:rsidR="00314AEC" w:rsidTr="00314AEC">
        <w:tc>
          <w:tcPr>
            <w:tcW w:w="3402"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1.</w:t>
            </w:r>
            <w:r>
              <w:rPr>
                <w:rFonts w:asciiTheme="minorEastAsia" w:eastAsiaTheme="minorEastAsia" w:hAnsiTheme="minorEastAsia" w:cs="宋体" w:hint="eastAsia"/>
                <w:color w:val="000000" w:themeColor="text1"/>
                <w:kern w:val="0"/>
              </w:rPr>
              <w:t>本期已实现收益</w:t>
            </w:r>
          </w:p>
        </w:tc>
        <w:tc>
          <w:tcPr>
            <w:tcW w:w="4962" w:type="dxa"/>
            <w:vAlign w:val="center"/>
          </w:tcPr>
          <w:p w:rsidR="00D06738" w:rsidRDefault="00454D20">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61,825,779.56</w:t>
            </w:r>
          </w:p>
        </w:tc>
      </w:tr>
      <w:tr w:rsidR="00314AEC" w:rsidTr="00314AEC">
        <w:tc>
          <w:tcPr>
            <w:tcW w:w="3402"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2.</w:t>
            </w:r>
            <w:r>
              <w:rPr>
                <w:rFonts w:asciiTheme="minorEastAsia" w:eastAsiaTheme="minorEastAsia" w:hAnsiTheme="minorEastAsia" w:cs="宋体" w:hint="eastAsia"/>
                <w:color w:val="000000" w:themeColor="text1"/>
                <w:kern w:val="0"/>
              </w:rPr>
              <w:t>本期利润</w:t>
            </w:r>
          </w:p>
        </w:tc>
        <w:tc>
          <w:tcPr>
            <w:tcW w:w="4962" w:type="dxa"/>
            <w:vAlign w:val="center"/>
          </w:tcPr>
          <w:p w:rsidR="00D06738" w:rsidRDefault="00454D20">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197,697,707.77</w:t>
            </w:r>
          </w:p>
        </w:tc>
      </w:tr>
      <w:tr w:rsidR="00314AEC" w:rsidTr="00314AEC">
        <w:tc>
          <w:tcPr>
            <w:tcW w:w="3402"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3.</w:t>
            </w:r>
            <w:r>
              <w:rPr>
                <w:rFonts w:asciiTheme="minorEastAsia" w:eastAsiaTheme="minorEastAsia" w:hAnsiTheme="minorEastAsia" w:cs="宋体" w:hint="eastAsia"/>
                <w:color w:val="000000" w:themeColor="text1"/>
                <w:kern w:val="0"/>
              </w:rPr>
              <w:t>加权平均基金份额本期利润</w:t>
            </w:r>
          </w:p>
        </w:tc>
        <w:tc>
          <w:tcPr>
            <w:tcW w:w="4962" w:type="dxa"/>
            <w:vAlign w:val="center"/>
          </w:tcPr>
          <w:p w:rsidR="00D06738" w:rsidRDefault="00454D20">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0.3462</w:t>
            </w:r>
          </w:p>
        </w:tc>
      </w:tr>
      <w:tr w:rsidR="00314AEC" w:rsidTr="00314AEC">
        <w:tc>
          <w:tcPr>
            <w:tcW w:w="3402"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lastRenderedPageBreak/>
              <w:t>4.</w:t>
            </w:r>
            <w:r>
              <w:rPr>
                <w:rFonts w:asciiTheme="minorEastAsia" w:eastAsiaTheme="minorEastAsia" w:hAnsiTheme="minorEastAsia" w:cs="宋体" w:hint="eastAsia"/>
                <w:color w:val="000000" w:themeColor="text1"/>
                <w:kern w:val="0"/>
              </w:rPr>
              <w:t>期末基金资产净值</w:t>
            </w:r>
          </w:p>
        </w:tc>
        <w:tc>
          <w:tcPr>
            <w:tcW w:w="4962" w:type="dxa"/>
            <w:vAlign w:val="center"/>
          </w:tcPr>
          <w:p w:rsidR="00D06738" w:rsidRDefault="00454D20">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1,706,777,974.16</w:t>
            </w:r>
          </w:p>
        </w:tc>
      </w:tr>
      <w:tr w:rsidR="00314AEC" w:rsidTr="00314AEC">
        <w:trPr>
          <w:trHeight w:val="158"/>
        </w:trPr>
        <w:tc>
          <w:tcPr>
            <w:tcW w:w="3402"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5.</w:t>
            </w:r>
            <w:r>
              <w:rPr>
                <w:rFonts w:asciiTheme="minorEastAsia" w:eastAsiaTheme="minorEastAsia" w:hAnsiTheme="minorEastAsia" w:cs="宋体" w:hint="eastAsia"/>
                <w:color w:val="000000" w:themeColor="text1"/>
                <w:kern w:val="0"/>
              </w:rPr>
              <w:t>期末基金份额净值</w:t>
            </w:r>
          </w:p>
        </w:tc>
        <w:tc>
          <w:tcPr>
            <w:tcW w:w="4962" w:type="dxa"/>
            <w:vAlign w:val="center"/>
          </w:tcPr>
          <w:p w:rsidR="00D06738" w:rsidRDefault="00454D20">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2.8555</w:t>
            </w:r>
          </w:p>
        </w:tc>
      </w:tr>
    </w:tbl>
    <w:p w:rsidR="00A54605" w:rsidRDefault="00314AE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注：本期已实现收益指基金本期利息收入、投资收益、其他收入</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不含公允价值变动收益</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扣除相关费用后的余额，本期利润为本期已实现收益加上本期公允价值变动收益。</w:t>
      </w:r>
      <w:r>
        <w:rPr>
          <w:rFonts w:asciiTheme="minorEastAsia" w:eastAsiaTheme="minorEastAsia" w:hAnsiTheme="minorEastAsia"/>
          <w:color w:val="000000" w:themeColor="text1"/>
        </w:rPr>
        <w:t xml:space="preserve"> </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 </w:t>
      </w:r>
      <w:r>
        <w:rPr>
          <w:rFonts w:asciiTheme="minorEastAsia" w:eastAsiaTheme="minorEastAsia" w:hAnsiTheme="minorEastAsia" w:hint="eastAsia"/>
          <w:b/>
          <w:bCs/>
          <w:color w:val="000000" w:themeColor="text1"/>
          <w:kern w:val="0"/>
          <w:sz w:val="24"/>
          <w:szCs w:val="24"/>
        </w:rPr>
        <w:t>基金净值表现</w:t>
      </w:r>
    </w:p>
    <w:p w:rsidR="00D06738" w:rsidRDefault="00454D20">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3.2.1 </w:t>
      </w:r>
      <w:r>
        <w:rPr>
          <w:rFonts w:asciiTheme="minorEastAsia" w:eastAsiaTheme="minorEastAsia" w:hAnsiTheme="minorEastAsia" w:cs="宋体" w:hint="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D06738">
        <w:tc>
          <w:tcPr>
            <w:tcW w:w="1395"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阶段</w:t>
            </w:r>
          </w:p>
        </w:tc>
        <w:tc>
          <w:tcPr>
            <w:tcW w:w="1092"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净值增长率①</w:t>
            </w:r>
          </w:p>
        </w:tc>
        <w:tc>
          <w:tcPr>
            <w:tcW w:w="1161"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净值增长率标准差②</w:t>
            </w:r>
          </w:p>
        </w:tc>
        <w:tc>
          <w:tcPr>
            <w:tcW w:w="1181"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业绩比较基准收益率③</w:t>
            </w:r>
          </w:p>
        </w:tc>
        <w:tc>
          <w:tcPr>
            <w:tcW w:w="1188"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业绩比较基准收益率标准差④</w:t>
            </w:r>
          </w:p>
        </w:tc>
        <w:tc>
          <w:tcPr>
            <w:tcW w:w="1199"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①</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③</w:t>
            </w:r>
          </w:p>
        </w:tc>
        <w:tc>
          <w:tcPr>
            <w:tcW w:w="1204"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②</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④</w:t>
            </w:r>
          </w:p>
        </w:tc>
      </w:tr>
      <w:tr w:rsidR="00A54605">
        <w:tc>
          <w:tcPr>
            <w:tcW w:w="1395" w:type="dxa"/>
            <w:vAlign w:val="center"/>
          </w:tcPr>
          <w:p w:rsidR="00A54605" w:rsidRDefault="00314AEC">
            <w:pPr>
              <w:jc w:val="left"/>
            </w:pPr>
            <w:r>
              <w:rPr>
                <w:rFonts w:asciiTheme="minorEastAsia" w:eastAsiaTheme="minorEastAsia" w:hAnsiTheme="minorEastAsia"/>
                <w:color w:val="000000" w:themeColor="text1"/>
                <w:kern w:val="0"/>
              </w:rPr>
              <w:t>过去三个月</w:t>
            </w:r>
          </w:p>
        </w:tc>
        <w:tc>
          <w:tcPr>
            <w:tcW w:w="1092" w:type="dxa"/>
            <w:vAlign w:val="center"/>
          </w:tcPr>
          <w:p w:rsidR="00A54605" w:rsidRDefault="00314AEC">
            <w:pPr>
              <w:jc w:val="center"/>
            </w:pPr>
            <w:r>
              <w:rPr>
                <w:rFonts w:asciiTheme="minorEastAsia" w:eastAsiaTheme="minorEastAsia" w:hAnsiTheme="minorEastAsia"/>
                <w:color w:val="000000" w:themeColor="text1"/>
                <w:kern w:val="0"/>
              </w:rPr>
              <w:t>13.65%</w:t>
            </w:r>
          </w:p>
        </w:tc>
        <w:tc>
          <w:tcPr>
            <w:tcW w:w="1161" w:type="dxa"/>
            <w:vAlign w:val="center"/>
          </w:tcPr>
          <w:p w:rsidR="00A54605" w:rsidRDefault="00314AEC">
            <w:pPr>
              <w:jc w:val="center"/>
            </w:pPr>
            <w:r>
              <w:rPr>
                <w:rFonts w:asciiTheme="minorEastAsia" w:eastAsiaTheme="minorEastAsia" w:hAnsiTheme="minorEastAsia"/>
                <w:color w:val="000000" w:themeColor="text1"/>
                <w:kern w:val="0"/>
              </w:rPr>
              <w:t>1.35%</w:t>
            </w:r>
          </w:p>
        </w:tc>
        <w:tc>
          <w:tcPr>
            <w:tcW w:w="1181" w:type="dxa"/>
            <w:vAlign w:val="center"/>
          </w:tcPr>
          <w:p w:rsidR="00A54605" w:rsidRDefault="00314AEC">
            <w:pPr>
              <w:jc w:val="center"/>
            </w:pPr>
            <w:r>
              <w:rPr>
                <w:rFonts w:asciiTheme="minorEastAsia" w:eastAsiaTheme="minorEastAsia" w:hAnsiTheme="minorEastAsia"/>
                <w:color w:val="000000" w:themeColor="text1"/>
                <w:kern w:val="0"/>
              </w:rPr>
              <w:t>-2.69%</w:t>
            </w:r>
          </w:p>
        </w:tc>
        <w:tc>
          <w:tcPr>
            <w:tcW w:w="1188" w:type="dxa"/>
            <w:vAlign w:val="center"/>
          </w:tcPr>
          <w:p w:rsidR="00A54605" w:rsidRDefault="00314AEC">
            <w:pPr>
              <w:jc w:val="center"/>
            </w:pPr>
            <w:r>
              <w:rPr>
                <w:rFonts w:asciiTheme="minorEastAsia" w:eastAsiaTheme="minorEastAsia" w:hAnsiTheme="minorEastAsia"/>
                <w:color w:val="000000" w:themeColor="text1"/>
                <w:kern w:val="0"/>
              </w:rPr>
              <w:t>1.36%</w:t>
            </w:r>
          </w:p>
        </w:tc>
        <w:tc>
          <w:tcPr>
            <w:tcW w:w="1199" w:type="dxa"/>
            <w:vAlign w:val="center"/>
          </w:tcPr>
          <w:p w:rsidR="00A54605" w:rsidRDefault="00314AEC">
            <w:pPr>
              <w:jc w:val="center"/>
            </w:pPr>
            <w:r>
              <w:rPr>
                <w:rFonts w:asciiTheme="minorEastAsia" w:eastAsiaTheme="minorEastAsia" w:hAnsiTheme="minorEastAsia"/>
                <w:color w:val="000000" w:themeColor="text1"/>
                <w:kern w:val="0"/>
              </w:rPr>
              <w:t>16.34%</w:t>
            </w:r>
          </w:p>
        </w:tc>
        <w:tc>
          <w:tcPr>
            <w:tcW w:w="1204" w:type="dxa"/>
            <w:vAlign w:val="center"/>
          </w:tcPr>
          <w:p w:rsidR="00A54605" w:rsidRDefault="00314AEC">
            <w:pPr>
              <w:jc w:val="center"/>
            </w:pPr>
            <w:r>
              <w:rPr>
                <w:rFonts w:asciiTheme="minorEastAsia" w:eastAsiaTheme="minorEastAsia" w:hAnsiTheme="minorEastAsia"/>
                <w:color w:val="000000" w:themeColor="text1"/>
                <w:kern w:val="0"/>
              </w:rPr>
              <w:t>-0.01%</w:t>
            </w:r>
          </w:p>
        </w:tc>
      </w:tr>
      <w:tr w:rsidR="00A54605">
        <w:tc>
          <w:tcPr>
            <w:tcW w:w="1395" w:type="dxa"/>
            <w:vAlign w:val="center"/>
          </w:tcPr>
          <w:p w:rsidR="00A54605" w:rsidRDefault="00314AEC">
            <w:pPr>
              <w:jc w:val="left"/>
            </w:pPr>
            <w:r>
              <w:rPr>
                <w:rFonts w:asciiTheme="minorEastAsia" w:eastAsiaTheme="minorEastAsia" w:hAnsiTheme="minorEastAsia"/>
                <w:color w:val="000000" w:themeColor="text1"/>
                <w:kern w:val="0"/>
              </w:rPr>
              <w:t>过去六个月</w:t>
            </w:r>
          </w:p>
        </w:tc>
        <w:tc>
          <w:tcPr>
            <w:tcW w:w="1092" w:type="dxa"/>
            <w:vAlign w:val="center"/>
          </w:tcPr>
          <w:p w:rsidR="00A54605" w:rsidRDefault="00314AEC">
            <w:pPr>
              <w:jc w:val="center"/>
            </w:pPr>
            <w:r>
              <w:rPr>
                <w:rFonts w:asciiTheme="minorEastAsia" w:eastAsiaTheme="minorEastAsia" w:hAnsiTheme="minorEastAsia"/>
                <w:color w:val="000000" w:themeColor="text1"/>
                <w:kern w:val="0"/>
              </w:rPr>
              <w:t>18.90%</w:t>
            </w:r>
          </w:p>
        </w:tc>
        <w:tc>
          <w:tcPr>
            <w:tcW w:w="1161" w:type="dxa"/>
            <w:vAlign w:val="center"/>
          </w:tcPr>
          <w:p w:rsidR="00A54605" w:rsidRDefault="00314AEC">
            <w:pPr>
              <w:jc w:val="center"/>
            </w:pPr>
            <w:r>
              <w:rPr>
                <w:rFonts w:asciiTheme="minorEastAsia" w:eastAsiaTheme="minorEastAsia" w:hAnsiTheme="minorEastAsia"/>
                <w:color w:val="000000" w:themeColor="text1"/>
                <w:kern w:val="0"/>
              </w:rPr>
              <w:t>1.21%</w:t>
            </w:r>
          </w:p>
        </w:tc>
        <w:tc>
          <w:tcPr>
            <w:tcW w:w="1181" w:type="dxa"/>
            <w:vAlign w:val="center"/>
          </w:tcPr>
          <w:p w:rsidR="00A54605" w:rsidRDefault="00314AEC">
            <w:pPr>
              <w:jc w:val="center"/>
            </w:pPr>
            <w:r>
              <w:rPr>
                <w:rFonts w:asciiTheme="minorEastAsia" w:eastAsiaTheme="minorEastAsia" w:hAnsiTheme="minorEastAsia"/>
                <w:color w:val="000000" w:themeColor="text1"/>
                <w:kern w:val="0"/>
              </w:rPr>
              <w:t>8.66%</w:t>
            </w:r>
          </w:p>
        </w:tc>
        <w:tc>
          <w:tcPr>
            <w:tcW w:w="1188" w:type="dxa"/>
            <w:vAlign w:val="center"/>
          </w:tcPr>
          <w:p w:rsidR="00A54605" w:rsidRDefault="00314AEC">
            <w:pPr>
              <w:jc w:val="center"/>
            </w:pPr>
            <w:r>
              <w:rPr>
                <w:rFonts w:asciiTheme="minorEastAsia" w:eastAsiaTheme="minorEastAsia" w:hAnsiTheme="minorEastAsia"/>
                <w:color w:val="000000" w:themeColor="text1"/>
                <w:kern w:val="0"/>
              </w:rPr>
              <w:t>1.13%</w:t>
            </w:r>
          </w:p>
        </w:tc>
        <w:tc>
          <w:tcPr>
            <w:tcW w:w="1199" w:type="dxa"/>
            <w:vAlign w:val="center"/>
          </w:tcPr>
          <w:p w:rsidR="00A54605" w:rsidRDefault="00314AEC">
            <w:pPr>
              <w:jc w:val="center"/>
            </w:pPr>
            <w:r>
              <w:rPr>
                <w:rFonts w:asciiTheme="minorEastAsia" w:eastAsiaTheme="minorEastAsia" w:hAnsiTheme="minorEastAsia"/>
                <w:color w:val="000000" w:themeColor="text1"/>
                <w:kern w:val="0"/>
              </w:rPr>
              <w:t>10.24%</w:t>
            </w:r>
          </w:p>
        </w:tc>
        <w:tc>
          <w:tcPr>
            <w:tcW w:w="1204" w:type="dxa"/>
            <w:vAlign w:val="center"/>
          </w:tcPr>
          <w:p w:rsidR="00A54605" w:rsidRDefault="00314AEC">
            <w:pPr>
              <w:jc w:val="center"/>
            </w:pPr>
            <w:r>
              <w:rPr>
                <w:rFonts w:asciiTheme="minorEastAsia" w:eastAsiaTheme="minorEastAsia" w:hAnsiTheme="minorEastAsia"/>
                <w:color w:val="000000" w:themeColor="text1"/>
                <w:kern w:val="0"/>
              </w:rPr>
              <w:t>0.08%</w:t>
            </w:r>
          </w:p>
        </w:tc>
      </w:tr>
      <w:tr w:rsidR="00A54605">
        <w:tc>
          <w:tcPr>
            <w:tcW w:w="1395" w:type="dxa"/>
            <w:vAlign w:val="center"/>
          </w:tcPr>
          <w:p w:rsidR="00A54605" w:rsidRDefault="00314AEC">
            <w:pPr>
              <w:jc w:val="left"/>
            </w:pPr>
            <w:r>
              <w:rPr>
                <w:rFonts w:asciiTheme="minorEastAsia" w:eastAsiaTheme="minorEastAsia" w:hAnsiTheme="minorEastAsia"/>
                <w:color w:val="000000" w:themeColor="text1"/>
                <w:kern w:val="0"/>
              </w:rPr>
              <w:t>过去一年</w:t>
            </w:r>
          </w:p>
        </w:tc>
        <w:tc>
          <w:tcPr>
            <w:tcW w:w="1092" w:type="dxa"/>
            <w:vAlign w:val="center"/>
          </w:tcPr>
          <w:p w:rsidR="00A54605" w:rsidRDefault="00314AEC">
            <w:pPr>
              <w:jc w:val="center"/>
            </w:pPr>
            <w:r>
              <w:rPr>
                <w:rFonts w:asciiTheme="minorEastAsia" w:eastAsiaTheme="minorEastAsia" w:hAnsiTheme="minorEastAsia"/>
                <w:color w:val="000000" w:themeColor="text1"/>
                <w:kern w:val="0"/>
              </w:rPr>
              <w:t>70.27%</w:t>
            </w:r>
          </w:p>
        </w:tc>
        <w:tc>
          <w:tcPr>
            <w:tcW w:w="1161" w:type="dxa"/>
            <w:vAlign w:val="center"/>
          </w:tcPr>
          <w:p w:rsidR="00A54605" w:rsidRDefault="00314AEC">
            <w:pPr>
              <w:jc w:val="center"/>
            </w:pPr>
            <w:r>
              <w:rPr>
                <w:rFonts w:asciiTheme="minorEastAsia" w:eastAsiaTheme="minorEastAsia" w:hAnsiTheme="minorEastAsia"/>
                <w:color w:val="000000" w:themeColor="text1"/>
                <w:kern w:val="0"/>
              </w:rPr>
              <w:t>1.31%</w:t>
            </w:r>
          </w:p>
        </w:tc>
        <w:tc>
          <w:tcPr>
            <w:tcW w:w="1181" w:type="dxa"/>
            <w:vAlign w:val="center"/>
          </w:tcPr>
          <w:p w:rsidR="00A54605" w:rsidRDefault="00314AEC">
            <w:pPr>
              <w:jc w:val="center"/>
            </w:pPr>
            <w:r>
              <w:rPr>
                <w:rFonts w:asciiTheme="minorEastAsia" w:eastAsiaTheme="minorEastAsia" w:hAnsiTheme="minorEastAsia"/>
                <w:color w:val="000000" w:themeColor="text1"/>
                <w:kern w:val="0"/>
              </w:rPr>
              <w:t>30.98%</w:t>
            </w:r>
          </w:p>
        </w:tc>
        <w:tc>
          <w:tcPr>
            <w:tcW w:w="1188" w:type="dxa"/>
            <w:vAlign w:val="center"/>
          </w:tcPr>
          <w:p w:rsidR="00A54605" w:rsidRDefault="00314AEC">
            <w:pPr>
              <w:jc w:val="center"/>
            </w:pPr>
            <w:r>
              <w:rPr>
                <w:rFonts w:asciiTheme="minorEastAsia" w:eastAsiaTheme="minorEastAsia" w:hAnsiTheme="minorEastAsia"/>
                <w:color w:val="000000" w:themeColor="text1"/>
                <w:kern w:val="0"/>
              </w:rPr>
              <w:t>1.12%</w:t>
            </w:r>
          </w:p>
        </w:tc>
        <w:tc>
          <w:tcPr>
            <w:tcW w:w="1199" w:type="dxa"/>
            <w:vAlign w:val="center"/>
          </w:tcPr>
          <w:p w:rsidR="00A54605" w:rsidRDefault="00314AEC">
            <w:pPr>
              <w:jc w:val="center"/>
            </w:pPr>
            <w:r>
              <w:rPr>
                <w:rFonts w:asciiTheme="minorEastAsia" w:eastAsiaTheme="minorEastAsia" w:hAnsiTheme="minorEastAsia"/>
                <w:color w:val="000000" w:themeColor="text1"/>
                <w:kern w:val="0"/>
              </w:rPr>
              <w:t>39.29%</w:t>
            </w:r>
          </w:p>
        </w:tc>
        <w:tc>
          <w:tcPr>
            <w:tcW w:w="1204" w:type="dxa"/>
            <w:vAlign w:val="center"/>
          </w:tcPr>
          <w:p w:rsidR="00A54605" w:rsidRDefault="00314AEC">
            <w:pPr>
              <w:jc w:val="center"/>
            </w:pPr>
            <w:r>
              <w:rPr>
                <w:rFonts w:asciiTheme="minorEastAsia" w:eastAsiaTheme="minorEastAsia" w:hAnsiTheme="minorEastAsia"/>
                <w:color w:val="000000" w:themeColor="text1"/>
                <w:kern w:val="0"/>
              </w:rPr>
              <w:t>0.19%</w:t>
            </w:r>
          </w:p>
        </w:tc>
      </w:tr>
      <w:tr w:rsidR="00A54605">
        <w:tc>
          <w:tcPr>
            <w:tcW w:w="1395" w:type="dxa"/>
            <w:vAlign w:val="center"/>
          </w:tcPr>
          <w:p w:rsidR="00A54605" w:rsidRDefault="00314AEC">
            <w:pPr>
              <w:jc w:val="left"/>
            </w:pPr>
            <w:r>
              <w:rPr>
                <w:rFonts w:asciiTheme="minorEastAsia" w:eastAsiaTheme="minorEastAsia" w:hAnsiTheme="minorEastAsia"/>
                <w:color w:val="000000" w:themeColor="text1"/>
                <w:kern w:val="0"/>
              </w:rPr>
              <w:t>过去三年</w:t>
            </w:r>
          </w:p>
        </w:tc>
        <w:tc>
          <w:tcPr>
            <w:tcW w:w="1092" w:type="dxa"/>
            <w:vAlign w:val="center"/>
          </w:tcPr>
          <w:p w:rsidR="00A54605" w:rsidRDefault="00314AEC">
            <w:pPr>
              <w:jc w:val="center"/>
            </w:pPr>
            <w:r>
              <w:rPr>
                <w:rFonts w:asciiTheme="minorEastAsia" w:eastAsiaTheme="minorEastAsia" w:hAnsiTheme="minorEastAsia"/>
                <w:color w:val="000000" w:themeColor="text1"/>
                <w:kern w:val="0"/>
              </w:rPr>
              <w:t>38.08%</w:t>
            </w:r>
          </w:p>
        </w:tc>
        <w:tc>
          <w:tcPr>
            <w:tcW w:w="1161" w:type="dxa"/>
            <w:vAlign w:val="center"/>
          </w:tcPr>
          <w:p w:rsidR="00A54605" w:rsidRDefault="00314AEC">
            <w:pPr>
              <w:jc w:val="center"/>
            </w:pPr>
            <w:r>
              <w:rPr>
                <w:rFonts w:asciiTheme="minorEastAsia" w:eastAsiaTheme="minorEastAsia" w:hAnsiTheme="minorEastAsia"/>
                <w:color w:val="000000" w:themeColor="text1"/>
                <w:kern w:val="0"/>
              </w:rPr>
              <w:t>1.47%</w:t>
            </w:r>
          </w:p>
        </w:tc>
        <w:tc>
          <w:tcPr>
            <w:tcW w:w="1181" w:type="dxa"/>
            <w:vAlign w:val="center"/>
          </w:tcPr>
          <w:p w:rsidR="00A54605" w:rsidRDefault="00314AEC">
            <w:pPr>
              <w:jc w:val="center"/>
            </w:pPr>
            <w:r>
              <w:rPr>
                <w:rFonts w:asciiTheme="minorEastAsia" w:eastAsiaTheme="minorEastAsia" w:hAnsiTheme="minorEastAsia"/>
                <w:color w:val="000000" w:themeColor="text1"/>
                <w:kern w:val="0"/>
              </w:rPr>
              <w:t>25.92%</w:t>
            </w:r>
          </w:p>
        </w:tc>
        <w:tc>
          <w:tcPr>
            <w:tcW w:w="1188" w:type="dxa"/>
            <w:vAlign w:val="center"/>
          </w:tcPr>
          <w:p w:rsidR="00A54605" w:rsidRDefault="00314AEC">
            <w:pPr>
              <w:jc w:val="center"/>
            </w:pPr>
            <w:r>
              <w:rPr>
                <w:rFonts w:asciiTheme="minorEastAsia" w:eastAsiaTheme="minorEastAsia" w:hAnsiTheme="minorEastAsia"/>
                <w:color w:val="000000" w:themeColor="text1"/>
                <w:kern w:val="0"/>
              </w:rPr>
              <w:t>1.17%</w:t>
            </w:r>
          </w:p>
        </w:tc>
        <w:tc>
          <w:tcPr>
            <w:tcW w:w="1199" w:type="dxa"/>
            <w:vAlign w:val="center"/>
          </w:tcPr>
          <w:p w:rsidR="00A54605" w:rsidRDefault="00314AEC">
            <w:pPr>
              <w:jc w:val="center"/>
            </w:pPr>
            <w:r>
              <w:rPr>
                <w:rFonts w:asciiTheme="minorEastAsia" w:eastAsiaTheme="minorEastAsia" w:hAnsiTheme="minorEastAsia"/>
                <w:color w:val="000000" w:themeColor="text1"/>
                <w:kern w:val="0"/>
              </w:rPr>
              <w:t>12.16%</w:t>
            </w:r>
          </w:p>
        </w:tc>
        <w:tc>
          <w:tcPr>
            <w:tcW w:w="1204" w:type="dxa"/>
            <w:vAlign w:val="center"/>
          </w:tcPr>
          <w:p w:rsidR="00A54605" w:rsidRDefault="00314AEC">
            <w:pPr>
              <w:jc w:val="center"/>
            </w:pPr>
            <w:r>
              <w:rPr>
                <w:rFonts w:asciiTheme="minorEastAsia" w:eastAsiaTheme="minorEastAsia" w:hAnsiTheme="minorEastAsia"/>
                <w:color w:val="000000" w:themeColor="text1"/>
                <w:kern w:val="0"/>
              </w:rPr>
              <w:t>0.30%</w:t>
            </w:r>
          </w:p>
        </w:tc>
      </w:tr>
      <w:tr w:rsidR="00A54605">
        <w:tc>
          <w:tcPr>
            <w:tcW w:w="1395" w:type="dxa"/>
            <w:vAlign w:val="center"/>
          </w:tcPr>
          <w:p w:rsidR="00A54605" w:rsidRDefault="00314AEC">
            <w:pPr>
              <w:jc w:val="left"/>
            </w:pPr>
            <w:r>
              <w:rPr>
                <w:rFonts w:asciiTheme="minorEastAsia" w:eastAsiaTheme="minorEastAsia" w:hAnsiTheme="minorEastAsia"/>
                <w:color w:val="000000" w:themeColor="text1"/>
                <w:kern w:val="0"/>
              </w:rPr>
              <w:t>过去五年</w:t>
            </w:r>
          </w:p>
        </w:tc>
        <w:tc>
          <w:tcPr>
            <w:tcW w:w="1092" w:type="dxa"/>
            <w:vAlign w:val="center"/>
          </w:tcPr>
          <w:p w:rsidR="00A54605" w:rsidRDefault="00314AEC">
            <w:pPr>
              <w:jc w:val="center"/>
            </w:pPr>
            <w:r>
              <w:rPr>
                <w:rFonts w:asciiTheme="minorEastAsia" w:eastAsiaTheme="minorEastAsia" w:hAnsiTheme="minorEastAsia"/>
                <w:color w:val="000000" w:themeColor="text1"/>
                <w:kern w:val="0"/>
              </w:rPr>
              <w:t>114.59%</w:t>
            </w:r>
          </w:p>
        </w:tc>
        <w:tc>
          <w:tcPr>
            <w:tcW w:w="1161" w:type="dxa"/>
            <w:vAlign w:val="center"/>
          </w:tcPr>
          <w:p w:rsidR="00A54605" w:rsidRDefault="00314AEC">
            <w:pPr>
              <w:jc w:val="center"/>
            </w:pPr>
            <w:r>
              <w:rPr>
                <w:rFonts w:asciiTheme="minorEastAsia" w:eastAsiaTheme="minorEastAsia" w:hAnsiTheme="minorEastAsia"/>
                <w:color w:val="000000" w:themeColor="text1"/>
                <w:kern w:val="0"/>
              </w:rPr>
              <w:t>1.33%</w:t>
            </w:r>
          </w:p>
        </w:tc>
        <w:tc>
          <w:tcPr>
            <w:tcW w:w="1181" w:type="dxa"/>
            <w:vAlign w:val="center"/>
          </w:tcPr>
          <w:p w:rsidR="00A54605" w:rsidRDefault="00314AEC">
            <w:pPr>
              <w:jc w:val="center"/>
            </w:pPr>
            <w:r>
              <w:rPr>
                <w:rFonts w:asciiTheme="minorEastAsia" w:eastAsiaTheme="minorEastAsia" w:hAnsiTheme="minorEastAsia"/>
                <w:color w:val="000000" w:themeColor="text1"/>
                <w:kern w:val="0"/>
              </w:rPr>
              <w:t>48.38%</w:t>
            </w:r>
          </w:p>
        </w:tc>
        <w:tc>
          <w:tcPr>
            <w:tcW w:w="1188" w:type="dxa"/>
            <w:vAlign w:val="center"/>
          </w:tcPr>
          <w:p w:rsidR="00A54605" w:rsidRDefault="00314AEC">
            <w:pPr>
              <w:jc w:val="center"/>
            </w:pPr>
            <w:r>
              <w:rPr>
                <w:rFonts w:asciiTheme="minorEastAsia" w:eastAsiaTheme="minorEastAsia" w:hAnsiTheme="minorEastAsia"/>
                <w:color w:val="000000" w:themeColor="text1"/>
                <w:kern w:val="0"/>
              </w:rPr>
              <w:t>1.00%</w:t>
            </w:r>
          </w:p>
        </w:tc>
        <w:tc>
          <w:tcPr>
            <w:tcW w:w="1199" w:type="dxa"/>
            <w:vAlign w:val="center"/>
          </w:tcPr>
          <w:p w:rsidR="00A54605" w:rsidRDefault="00314AEC">
            <w:pPr>
              <w:jc w:val="center"/>
            </w:pPr>
            <w:r>
              <w:rPr>
                <w:rFonts w:asciiTheme="minorEastAsia" w:eastAsiaTheme="minorEastAsia" w:hAnsiTheme="minorEastAsia"/>
                <w:color w:val="000000" w:themeColor="text1"/>
                <w:kern w:val="0"/>
              </w:rPr>
              <w:t>66.21%</w:t>
            </w:r>
          </w:p>
        </w:tc>
        <w:tc>
          <w:tcPr>
            <w:tcW w:w="1204" w:type="dxa"/>
            <w:vAlign w:val="center"/>
          </w:tcPr>
          <w:p w:rsidR="00A54605" w:rsidRDefault="00314AEC">
            <w:pPr>
              <w:jc w:val="center"/>
            </w:pPr>
            <w:r>
              <w:rPr>
                <w:rFonts w:asciiTheme="minorEastAsia" w:eastAsiaTheme="minorEastAsia" w:hAnsiTheme="minorEastAsia"/>
                <w:color w:val="000000" w:themeColor="text1"/>
                <w:kern w:val="0"/>
              </w:rPr>
              <w:t>0.33%</w:t>
            </w:r>
          </w:p>
        </w:tc>
      </w:tr>
      <w:tr w:rsidR="00A54605">
        <w:tc>
          <w:tcPr>
            <w:tcW w:w="1395" w:type="dxa"/>
            <w:vAlign w:val="center"/>
          </w:tcPr>
          <w:p w:rsidR="00A54605" w:rsidRDefault="00314AEC">
            <w:pPr>
              <w:jc w:val="left"/>
            </w:pPr>
            <w:r>
              <w:rPr>
                <w:rFonts w:asciiTheme="minorEastAsia" w:eastAsiaTheme="minorEastAsia" w:hAnsiTheme="minorEastAsia"/>
                <w:color w:val="000000" w:themeColor="text1"/>
                <w:kern w:val="0"/>
              </w:rPr>
              <w:t>自基金合同生效起至今</w:t>
            </w:r>
          </w:p>
        </w:tc>
        <w:tc>
          <w:tcPr>
            <w:tcW w:w="1092" w:type="dxa"/>
            <w:vAlign w:val="center"/>
          </w:tcPr>
          <w:p w:rsidR="00A54605" w:rsidRDefault="00314AEC">
            <w:pPr>
              <w:jc w:val="center"/>
            </w:pPr>
            <w:r>
              <w:rPr>
                <w:rFonts w:asciiTheme="minorEastAsia" w:eastAsiaTheme="minorEastAsia" w:hAnsiTheme="minorEastAsia"/>
                <w:color w:val="000000" w:themeColor="text1"/>
                <w:kern w:val="0"/>
              </w:rPr>
              <w:t>232.84%</w:t>
            </w:r>
          </w:p>
        </w:tc>
        <w:tc>
          <w:tcPr>
            <w:tcW w:w="1161" w:type="dxa"/>
            <w:vAlign w:val="center"/>
          </w:tcPr>
          <w:p w:rsidR="00A54605" w:rsidRDefault="00314AEC">
            <w:pPr>
              <w:jc w:val="center"/>
            </w:pPr>
            <w:r>
              <w:rPr>
                <w:rFonts w:asciiTheme="minorEastAsia" w:eastAsiaTheme="minorEastAsia" w:hAnsiTheme="minorEastAsia"/>
                <w:color w:val="000000" w:themeColor="text1"/>
                <w:kern w:val="0"/>
              </w:rPr>
              <w:t>1.67%</w:t>
            </w:r>
          </w:p>
        </w:tc>
        <w:tc>
          <w:tcPr>
            <w:tcW w:w="1181" w:type="dxa"/>
            <w:vAlign w:val="center"/>
          </w:tcPr>
          <w:p w:rsidR="00A54605" w:rsidRDefault="00314AEC">
            <w:pPr>
              <w:jc w:val="center"/>
            </w:pPr>
            <w:r>
              <w:rPr>
                <w:rFonts w:asciiTheme="minorEastAsia" w:eastAsiaTheme="minorEastAsia" w:hAnsiTheme="minorEastAsia"/>
                <w:color w:val="000000" w:themeColor="text1"/>
                <w:kern w:val="0"/>
              </w:rPr>
              <w:t>110.71%</w:t>
            </w:r>
          </w:p>
        </w:tc>
        <w:tc>
          <w:tcPr>
            <w:tcW w:w="1188" w:type="dxa"/>
            <w:vAlign w:val="center"/>
          </w:tcPr>
          <w:p w:rsidR="00A54605" w:rsidRDefault="00314AEC">
            <w:pPr>
              <w:jc w:val="center"/>
            </w:pPr>
            <w:r>
              <w:rPr>
                <w:rFonts w:asciiTheme="minorEastAsia" w:eastAsiaTheme="minorEastAsia" w:hAnsiTheme="minorEastAsia"/>
                <w:color w:val="000000" w:themeColor="text1"/>
                <w:kern w:val="0"/>
              </w:rPr>
              <w:t>1.27%</w:t>
            </w:r>
          </w:p>
        </w:tc>
        <w:tc>
          <w:tcPr>
            <w:tcW w:w="1199" w:type="dxa"/>
            <w:vAlign w:val="center"/>
          </w:tcPr>
          <w:p w:rsidR="00A54605" w:rsidRDefault="00314AEC">
            <w:pPr>
              <w:jc w:val="center"/>
            </w:pPr>
            <w:r>
              <w:rPr>
                <w:rFonts w:asciiTheme="minorEastAsia" w:eastAsiaTheme="minorEastAsia" w:hAnsiTheme="minorEastAsia"/>
                <w:color w:val="000000" w:themeColor="text1"/>
                <w:kern w:val="0"/>
              </w:rPr>
              <w:t>122.13%</w:t>
            </w:r>
          </w:p>
        </w:tc>
        <w:tc>
          <w:tcPr>
            <w:tcW w:w="1204" w:type="dxa"/>
            <w:vAlign w:val="center"/>
          </w:tcPr>
          <w:p w:rsidR="00A54605" w:rsidRDefault="00314AEC">
            <w:pPr>
              <w:jc w:val="center"/>
            </w:pPr>
            <w:r>
              <w:rPr>
                <w:rFonts w:asciiTheme="minorEastAsia" w:eastAsiaTheme="minorEastAsia" w:hAnsiTheme="minorEastAsia"/>
                <w:color w:val="000000" w:themeColor="text1"/>
                <w:kern w:val="0"/>
              </w:rPr>
              <w:t>0.40%</w:t>
            </w:r>
          </w:p>
        </w:tc>
      </w:tr>
    </w:tbl>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3.2.2</w:t>
      </w:r>
      <w:r>
        <w:rPr>
          <w:rStyle w:val="afe"/>
          <w:rFonts w:hint="eastAsia"/>
          <w:color w:val="000000" w:themeColor="text1"/>
          <w:sz w:val="24"/>
          <w:szCs w:val="24"/>
          <w:shd w:val="clear" w:color="auto" w:fill="FFFFFF"/>
        </w:rPr>
        <w:t>自基金合同生效以来</w:t>
      </w:r>
      <w:r>
        <w:rPr>
          <w:rFonts w:asciiTheme="minorEastAsia" w:eastAsiaTheme="minorEastAsia" w:hAnsiTheme="minorEastAsia" w:hint="eastAsia"/>
          <w:b/>
          <w:bCs/>
          <w:color w:val="000000" w:themeColor="text1"/>
          <w:kern w:val="0"/>
          <w:sz w:val="24"/>
          <w:szCs w:val="24"/>
        </w:rPr>
        <w:t>基金累计净值增长率变动及其与同期业绩比较基准收益率变动的比较</w:t>
      </w:r>
    </w:p>
    <w:p w:rsidR="00D06738" w:rsidRDefault="00454D20">
      <w:pPr>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上投摩根核心成长股票型证券投资基金</w:t>
      </w:r>
    </w:p>
    <w:p w:rsidR="00D06738" w:rsidRDefault="00454D20">
      <w:pPr>
        <w:pStyle w:val="ae"/>
        <w:snapToGrid w:val="0"/>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累计净值增长率与业绩比较基准收益率历史走势对比图</w:t>
      </w:r>
    </w:p>
    <w:p w:rsidR="00D06738" w:rsidRDefault="00454D20">
      <w:pPr>
        <w:pStyle w:val="ae"/>
        <w:snapToGrid w:val="0"/>
        <w:spacing w:line="360" w:lineRule="auto"/>
        <w:ind w:firstLine="48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2014年2月10日</w:t>
      </w:r>
      <w:r>
        <w:rPr>
          <w:rFonts w:asciiTheme="minorEastAsia" w:eastAsiaTheme="minorEastAsia" w:hAnsiTheme="minorEastAsia" w:hint="eastAsia"/>
          <w:color w:val="000000" w:themeColor="text1"/>
        </w:rPr>
        <w:t>至2021年3月31日)</w:t>
      </w:r>
    </w:p>
    <w:p w:rsidR="00D06738" w:rsidRDefault="00454D20">
      <w:pPr>
        <w:pStyle w:val="ae"/>
        <w:snapToGrid w:val="0"/>
        <w:spacing w:before="120"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noProof/>
          <w:color w:val="000000" w:themeColor="text1"/>
          <w:sz w:val="24"/>
          <w:szCs w:val="24"/>
        </w:rPr>
        <w:lastRenderedPageBreak/>
        <w:drawing>
          <wp:inline distT="0" distB="0" distL="0" distR="0" wp14:anchorId="41E8FF0D" wp14:editId="228D69F2">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A54605" w:rsidRDefault="00314AE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注：本基金合同生效日为</w:t>
      </w:r>
      <w:r>
        <w:rPr>
          <w:rFonts w:asciiTheme="minorEastAsia" w:eastAsiaTheme="minorEastAsia" w:hAnsiTheme="minorEastAsia"/>
          <w:color w:val="000000" w:themeColor="text1"/>
        </w:rPr>
        <w:t>2014</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日，图示的时间段为合同生效日至本报告期末。</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本基金建仓期为本基金合同生效日起 6 个月，建仓期结束时资产配置比例符合本基金基金合同规定。</w:t>
      </w:r>
    </w:p>
    <w:p w:rsidR="00D06738" w:rsidRDefault="00D06738">
      <w:pPr>
        <w:tabs>
          <w:tab w:val="left" w:pos="1800"/>
        </w:tabs>
        <w:spacing w:line="360" w:lineRule="auto"/>
        <w:rPr>
          <w:rFonts w:asciiTheme="minorEastAsia" w:eastAsiaTheme="minorEastAsia" w:hAnsiTheme="minorEastAsia"/>
          <w:color w:val="000000" w:themeColor="text1"/>
          <w:sz w:val="24"/>
          <w:szCs w:val="24"/>
        </w:rPr>
      </w:pPr>
    </w:p>
    <w:p w:rsidR="00D06738" w:rsidRDefault="00D06738">
      <w:pPr>
        <w:tabs>
          <w:tab w:val="left" w:pos="1800"/>
        </w:tabs>
        <w:spacing w:line="288" w:lineRule="auto"/>
        <w:rPr>
          <w:rFonts w:asciiTheme="minorEastAsia" w:eastAsiaTheme="minorEastAsia" w:hAnsiTheme="minorEastAsia"/>
          <w:color w:val="000000" w:themeColor="text1"/>
          <w:sz w:val="24"/>
          <w:szCs w:val="24"/>
        </w:rPr>
      </w:pPr>
    </w:p>
    <w:p w:rsidR="00D06738" w:rsidRDefault="00454D20">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4  </w:t>
      </w:r>
      <w:r>
        <w:rPr>
          <w:rFonts w:asciiTheme="minorEastAsia" w:eastAsiaTheme="minorEastAsia" w:hAnsiTheme="minorEastAsia" w:hint="eastAsia"/>
          <w:color w:val="000000" w:themeColor="text1"/>
          <w:kern w:val="0"/>
          <w:sz w:val="24"/>
          <w:szCs w:val="24"/>
        </w:rPr>
        <w:t>管理人报告</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4.1 </w:t>
      </w:r>
      <w:r>
        <w:rPr>
          <w:rFonts w:asciiTheme="minorEastAsia" w:eastAsiaTheme="minorEastAsia" w:hAnsiTheme="minorEastAsia" w:hint="eastAsia"/>
          <w:b/>
          <w:bCs/>
          <w:color w:val="000000" w:themeColor="text1"/>
          <w:kern w:val="0"/>
          <w:sz w:val="24"/>
          <w:szCs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D06738">
        <w:trPr>
          <w:cantSplit/>
          <w:trHeight w:val="292"/>
        </w:trPr>
        <w:tc>
          <w:tcPr>
            <w:tcW w:w="851" w:type="dxa"/>
            <w:vMerge w:val="restart"/>
            <w:vAlign w:val="center"/>
          </w:tcPr>
          <w:p w:rsidR="00D06738" w:rsidRDefault="00454D20">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姓名</w:t>
            </w:r>
          </w:p>
        </w:tc>
        <w:tc>
          <w:tcPr>
            <w:tcW w:w="850" w:type="dxa"/>
            <w:vMerge w:val="restart"/>
            <w:vAlign w:val="center"/>
          </w:tcPr>
          <w:p w:rsidR="00D06738" w:rsidRDefault="00454D20">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职务</w:t>
            </w:r>
          </w:p>
        </w:tc>
        <w:tc>
          <w:tcPr>
            <w:tcW w:w="3119" w:type="dxa"/>
            <w:gridSpan w:val="2"/>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任本基金的基金经理期限</w:t>
            </w:r>
          </w:p>
        </w:tc>
        <w:tc>
          <w:tcPr>
            <w:tcW w:w="1417" w:type="dxa"/>
            <w:vMerge w:val="restart"/>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证券从业年限</w:t>
            </w:r>
          </w:p>
        </w:tc>
        <w:tc>
          <w:tcPr>
            <w:tcW w:w="2694" w:type="dxa"/>
            <w:vMerge w:val="restart"/>
            <w:vAlign w:val="center"/>
          </w:tcPr>
          <w:p w:rsidR="00D06738" w:rsidRDefault="00454D20">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说明</w:t>
            </w:r>
          </w:p>
        </w:tc>
      </w:tr>
      <w:tr w:rsidR="00D06738">
        <w:trPr>
          <w:cantSplit/>
        </w:trPr>
        <w:tc>
          <w:tcPr>
            <w:tcW w:w="851" w:type="dxa"/>
            <w:vMerge/>
            <w:vAlign w:val="center"/>
          </w:tcPr>
          <w:p w:rsidR="00D06738" w:rsidRDefault="00D06738">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D06738" w:rsidRDefault="00D06738">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任职日期</w:t>
            </w:r>
          </w:p>
        </w:tc>
        <w:tc>
          <w:tcPr>
            <w:tcW w:w="1559"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离任日期</w:t>
            </w:r>
          </w:p>
        </w:tc>
        <w:tc>
          <w:tcPr>
            <w:tcW w:w="1417" w:type="dxa"/>
            <w:vMerge/>
            <w:vAlign w:val="center"/>
          </w:tcPr>
          <w:p w:rsidR="00D06738" w:rsidRDefault="00D06738">
            <w:pPr>
              <w:widowControl/>
              <w:spacing w:line="360" w:lineRule="auto"/>
              <w:jc w:val="left"/>
              <w:rPr>
                <w:rFonts w:asciiTheme="minorEastAsia" w:eastAsiaTheme="minorEastAsia" w:hAnsiTheme="minorEastAsia"/>
                <w:color w:val="000000" w:themeColor="text1"/>
                <w:kern w:val="0"/>
              </w:rPr>
            </w:pPr>
          </w:p>
        </w:tc>
        <w:tc>
          <w:tcPr>
            <w:tcW w:w="2694" w:type="dxa"/>
            <w:vMerge/>
            <w:vAlign w:val="center"/>
          </w:tcPr>
          <w:p w:rsidR="00D06738" w:rsidRDefault="00D06738">
            <w:pPr>
              <w:widowControl/>
              <w:spacing w:line="360" w:lineRule="auto"/>
              <w:jc w:val="left"/>
              <w:rPr>
                <w:rFonts w:asciiTheme="minorEastAsia" w:eastAsiaTheme="minorEastAsia" w:hAnsiTheme="minorEastAsia"/>
                <w:color w:val="000000" w:themeColor="text1"/>
                <w:kern w:val="0"/>
              </w:rPr>
            </w:pPr>
          </w:p>
        </w:tc>
      </w:tr>
      <w:tr w:rsidR="00A54605">
        <w:tc>
          <w:tcPr>
            <w:tcW w:w="851" w:type="dxa"/>
            <w:vAlign w:val="center"/>
          </w:tcPr>
          <w:p w:rsidR="00A54605" w:rsidRDefault="00314AEC">
            <w:pPr>
              <w:jc w:val="center"/>
            </w:pPr>
            <w:r>
              <w:rPr>
                <w:rFonts w:asciiTheme="minorEastAsia" w:eastAsiaTheme="minorEastAsia" w:hAnsiTheme="minorEastAsia"/>
                <w:color w:val="000000" w:themeColor="text1"/>
              </w:rPr>
              <w:t>李博</w:t>
            </w:r>
          </w:p>
        </w:tc>
        <w:tc>
          <w:tcPr>
            <w:tcW w:w="850" w:type="dxa"/>
            <w:vAlign w:val="center"/>
          </w:tcPr>
          <w:p w:rsidR="00A54605" w:rsidRDefault="00314AEC">
            <w:pPr>
              <w:jc w:val="center"/>
            </w:pPr>
            <w:r>
              <w:rPr>
                <w:rFonts w:asciiTheme="minorEastAsia" w:eastAsiaTheme="minorEastAsia" w:hAnsiTheme="minorEastAsia"/>
                <w:color w:val="000000" w:themeColor="text1"/>
              </w:rPr>
              <w:t>本基金基金经理</w:t>
            </w:r>
          </w:p>
        </w:tc>
        <w:tc>
          <w:tcPr>
            <w:tcW w:w="1560" w:type="dxa"/>
            <w:vAlign w:val="center"/>
          </w:tcPr>
          <w:p w:rsidR="00A54605" w:rsidRDefault="00314AEC">
            <w:pPr>
              <w:jc w:val="center"/>
            </w:pPr>
            <w:r>
              <w:rPr>
                <w:rFonts w:asciiTheme="minorEastAsia" w:eastAsiaTheme="minorEastAsia" w:hAnsiTheme="minorEastAsia"/>
                <w:color w:val="000000" w:themeColor="text1"/>
              </w:rPr>
              <w:t>2014-12-31</w:t>
            </w:r>
          </w:p>
        </w:tc>
        <w:tc>
          <w:tcPr>
            <w:tcW w:w="1559" w:type="dxa"/>
            <w:vAlign w:val="center"/>
          </w:tcPr>
          <w:p w:rsidR="00A54605" w:rsidRDefault="00314AEC">
            <w:pPr>
              <w:jc w:val="center"/>
            </w:pPr>
            <w:r>
              <w:rPr>
                <w:rFonts w:asciiTheme="minorEastAsia" w:eastAsiaTheme="minorEastAsia" w:hAnsiTheme="minorEastAsia"/>
                <w:color w:val="000000" w:themeColor="text1"/>
              </w:rPr>
              <w:t>-</w:t>
            </w:r>
          </w:p>
        </w:tc>
        <w:tc>
          <w:tcPr>
            <w:tcW w:w="1417" w:type="dxa"/>
            <w:vAlign w:val="center"/>
          </w:tcPr>
          <w:p w:rsidR="00A54605" w:rsidRDefault="00314AEC">
            <w:pPr>
              <w:jc w:val="center"/>
            </w:pP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年</w:t>
            </w:r>
          </w:p>
        </w:tc>
        <w:tc>
          <w:tcPr>
            <w:tcW w:w="2694" w:type="dxa"/>
            <w:vAlign w:val="center"/>
          </w:tcPr>
          <w:p w:rsidR="00A54605" w:rsidRDefault="00314AEC">
            <w:r>
              <w:rPr>
                <w:rFonts w:asciiTheme="minorEastAsia" w:eastAsiaTheme="minorEastAsia" w:hAnsiTheme="minorEastAsia"/>
                <w:color w:val="000000" w:themeColor="text1"/>
              </w:rPr>
              <w:t>李博先生，上海交通大学硕士，自</w:t>
            </w:r>
            <w:r>
              <w:rPr>
                <w:rFonts w:asciiTheme="minorEastAsia" w:eastAsiaTheme="minorEastAsia" w:hAnsiTheme="minorEastAsia"/>
                <w:color w:val="000000" w:themeColor="text1"/>
              </w:rPr>
              <w:t>2009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2010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月在中银国际证券有限公司担任研究员，负责研究方面的工作。自</w:t>
            </w:r>
            <w:r>
              <w:rPr>
                <w:rFonts w:asciiTheme="minorEastAsia" w:eastAsiaTheme="minorEastAsia" w:hAnsiTheme="minorEastAsia"/>
                <w:color w:val="000000" w:themeColor="text1"/>
              </w:rPr>
              <w:t>2010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11</w:t>
            </w:r>
            <w:r>
              <w:rPr>
                <w:rFonts w:asciiTheme="minorEastAsia" w:eastAsiaTheme="minorEastAsia" w:hAnsiTheme="minorEastAsia"/>
                <w:color w:val="000000" w:themeColor="text1"/>
              </w:rPr>
              <w:t>月起加入上投摩根基金管理有限公司，先后担任行业专家、基金经理、资深基金经理、国内权益投资部价值成长组组长兼资深基金经理，自</w:t>
            </w:r>
            <w:r>
              <w:rPr>
                <w:rFonts w:asciiTheme="minorEastAsia" w:eastAsiaTheme="minorEastAsia" w:hAnsiTheme="minorEastAsia"/>
                <w:color w:val="000000" w:themeColor="text1"/>
              </w:rPr>
              <w:t>2014</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月起担任上投摩根核心成长股票型证券投资基金基金经理，</w:t>
            </w:r>
            <w:r>
              <w:rPr>
                <w:rFonts w:asciiTheme="minorEastAsia" w:eastAsiaTheme="minorEastAsia" w:hAnsiTheme="minorEastAsia"/>
                <w:color w:val="000000" w:themeColor="text1"/>
              </w:rPr>
              <w:lastRenderedPageBreak/>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2016</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11</w:t>
            </w:r>
            <w:r>
              <w:rPr>
                <w:rFonts w:asciiTheme="minorEastAsia" w:eastAsiaTheme="minorEastAsia" w:hAnsiTheme="minorEastAsia"/>
                <w:color w:val="000000" w:themeColor="text1"/>
              </w:rPr>
              <w:t>月同时担任上投摩根科技前沿灵活配置混合型证券投资基金基金经理，自</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月起同时担任上投摩根阿尔法混合型证券投资基金基金经理，自</w:t>
            </w:r>
            <w:r>
              <w:rPr>
                <w:rFonts w:asciiTheme="minorEastAsia" w:eastAsiaTheme="minorEastAsia" w:hAnsiTheme="minorEastAsia"/>
                <w:color w:val="000000" w:themeColor="text1"/>
              </w:rPr>
              <w:t>2016</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月起同时担任上投</w:t>
            </w:r>
            <w:r>
              <w:rPr>
                <w:rFonts w:asciiTheme="minorEastAsia" w:eastAsiaTheme="minorEastAsia" w:hAnsiTheme="minorEastAsia"/>
                <w:color w:val="000000" w:themeColor="text1"/>
              </w:rPr>
              <w:t>摩根双息平衡混合型证券投资基金基金经理，自</w:t>
            </w:r>
            <w:r>
              <w:rPr>
                <w:rFonts w:asciiTheme="minorEastAsia" w:eastAsiaTheme="minorEastAsia" w:hAnsiTheme="minorEastAsia"/>
                <w:color w:val="000000" w:themeColor="text1"/>
              </w:rPr>
              <w:t>2018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11</w:t>
            </w:r>
            <w:r>
              <w:rPr>
                <w:rFonts w:asciiTheme="minorEastAsia" w:eastAsiaTheme="minorEastAsia" w:hAnsiTheme="minorEastAsia"/>
                <w:color w:val="000000" w:themeColor="text1"/>
              </w:rPr>
              <w:t>月起同时担任上投摩根核心精选股票型证券投资基金基金经理。</w:t>
            </w:r>
          </w:p>
        </w:tc>
      </w:tr>
    </w:tbl>
    <w:p w:rsidR="00A54605" w:rsidRDefault="00314AE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lastRenderedPageBreak/>
        <w:t>注：</w:t>
      </w:r>
      <w:r>
        <w:rPr>
          <w:rFonts w:asciiTheme="minorEastAsia" w:eastAsiaTheme="minorEastAsia" w:hAnsiTheme="minorEastAsia"/>
          <w:color w:val="000000" w:themeColor="text1"/>
        </w:rPr>
        <w:t xml:space="preserve">1. </w:t>
      </w:r>
      <w:r>
        <w:rPr>
          <w:rFonts w:asciiTheme="minorEastAsia" w:eastAsiaTheme="minorEastAsia" w:hAnsiTheme="minorEastAsia"/>
          <w:color w:val="000000" w:themeColor="text1"/>
        </w:rPr>
        <w:t>任职日期和离任日期均指根据公司决定确定的聘任日期和解聘日期。</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2. 证券从业的含义遵从行业协会《证券业从业人员资格管理办法》的相关规定。</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4.2 </w:t>
      </w:r>
      <w:r>
        <w:rPr>
          <w:rFonts w:asciiTheme="minorEastAsia" w:eastAsiaTheme="minorEastAsia" w:hAnsiTheme="minorEastAsia" w:hint="eastAsia"/>
          <w:b/>
          <w:bCs/>
          <w:color w:val="000000" w:themeColor="text1"/>
          <w:kern w:val="0"/>
          <w:sz w:val="24"/>
          <w:szCs w:val="24"/>
        </w:rPr>
        <w:t>管理人对报告期内本基金运作遵规守信情况的说明</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核心成长股票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4.3 </w:t>
      </w:r>
      <w:r>
        <w:rPr>
          <w:rFonts w:asciiTheme="minorEastAsia" w:eastAsiaTheme="minorEastAsia" w:hAnsiTheme="minorEastAsia" w:hint="eastAsia"/>
          <w:b/>
          <w:bCs/>
          <w:color w:val="000000" w:themeColor="text1"/>
          <w:kern w:val="0"/>
          <w:sz w:val="24"/>
          <w:szCs w:val="24"/>
        </w:rPr>
        <w:t>公平交易专项说明</w:t>
      </w: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4.3.1 </w:t>
      </w:r>
      <w:r>
        <w:rPr>
          <w:rFonts w:asciiTheme="minorEastAsia" w:eastAsiaTheme="minorEastAsia" w:hAnsiTheme="minorEastAsia" w:hint="eastAsia"/>
          <w:color w:val="000000" w:themeColor="text1"/>
          <w:sz w:val="24"/>
          <w:szCs w:val="24"/>
        </w:rPr>
        <w:t>公平交易制度的执行情况</w:t>
      </w:r>
    </w:p>
    <w:p w:rsidR="00A54605" w:rsidRDefault="00314AE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报告期内，本公司继</w:t>
      </w:r>
      <w:r>
        <w:rPr>
          <w:rFonts w:asciiTheme="minorEastAsia" w:eastAsiaTheme="minorEastAsia" w:hAnsiTheme="minorEastAsia"/>
          <w:color w:val="000000" w:themeColor="text1"/>
        </w:rPr>
        <w:t>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A54605" w:rsidRDefault="00314AE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对于交易所市场投资活动，本公司执行集中交易制度，确保不同投资组合在买卖同一证券时，按照时间优先、比例分配的原则在各投资组合间公平分配交易量；对于银行间市场投资活动，本公司通过对手库</w:t>
      </w:r>
      <w:r>
        <w:rPr>
          <w:rFonts w:asciiTheme="minorEastAsia" w:eastAsiaTheme="minorEastAsia" w:hAnsiTheme="minorEastAsia"/>
          <w:color w:val="000000" w:themeColor="text1"/>
        </w:rPr>
        <w:t>控制和交易室询价机制，严格防范对手风险并检查价格公允性；对于申购投资行为，本公司遵循价格优先、比例分配的原则，根据事前独立申报的价格和数</w:t>
      </w:r>
      <w:r>
        <w:rPr>
          <w:rFonts w:asciiTheme="minorEastAsia" w:eastAsiaTheme="minorEastAsia" w:hAnsiTheme="minorEastAsia"/>
          <w:color w:val="000000" w:themeColor="text1"/>
        </w:rPr>
        <w:lastRenderedPageBreak/>
        <w:t>量对交易结果进行公平分配。</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报告期内，通过对不同投资组合之间的收益率差异比较、对同向交易和反向交易的交易时机和交易价差监控分析，未发现整体公平交易执行出现异常的情况。</w:t>
      </w: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4.3.2 </w:t>
      </w:r>
      <w:r>
        <w:rPr>
          <w:rFonts w:asciiTheme="minorEastAsia" w:eastAsiaTheme="minorEastAsia" w:hAnsiTheme="minorEastAsia" w:hint="eastAsia"/>
          <w:color w:val="000000" w:themeColor="text1"/>
          <w:sz w:val="24"/>
          <w:szCs w:val="24"/>
        </w:rPr>
        <w:t>异常交易行为的专项说明</w:t>
      </w:r>
    </w:p>
    <w:p w:rsidR="00A54605" w:rsidRDefault="00314AE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报告期内，通过对交易价格、交易时间、交易方向等的分析，未发现有可能导致不公平交易和利益输送的异常交易行为。</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所有投资组合参与的交易所公开竞价同日反向交易成交较少的单边交易量超过该证券当日成交量的5%的情形：无。</w:t>
      </w:r>
    </w:p>
    <w:p w:rsidR="00D06738" w:rsidRDefault="00D06738">
      <w:pPr>
        <w:spacing w:line="360" w:lineRule="auto"/>
        <w:ind w:firstLineChars="200" w:firstLine="480"/>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4.4 </w:t>
      </w:r>
      <w:r>
        <w:rPr>
          <w:rFonts w:asciiTheme="minorEastAsia" w:eastAsiaTheme="minorEastAsia" w:hAnsiTheme="minorEastAsia" w:hint="eastAsia"/>
          <w:b/>
          <w:bCs/>
          <w:color w:val="000000" w:themeColor="text1"/>
          <w:kern w:val="0"/>
          <w:sz w:val="24"/>
          <w:szCs w:val="24"/>
        </w:rPr>
        <w:t>报告期内基金的投资策略和业绩表现说明</w:t>
      </w: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4.4.1</w:t>
      </w:r>
      <w:r>
        <w:rPr>
          <w:rFonts w:asciiTheme="minorEastAsia" w:eastAsiaTheme="minorEastAsia" w:hAnsiTheme="minorEastAsia" w:cs="宋体" w:hint="eastAsia"/>
          <w:color w:val="000000" w:themeColor="text1"/>
          <w:sz w:val="24"/>
          <w:szCs w:val="24"/>
        </w:rPr>
        <w:t>报告期内基金投资策略和运作分析</w:t>
      </w:r>
    </w:p>
    <w:p w:rsidR="00A54605" w:rsidRDefault="00314AE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一季度，市场冲高回落，沪深</w:t>
      </w:r>
      <w:r>
        <w:rPr>
          <w:rFonts w:asciiTheme="minorEastAsia" w:eastAsiaTheme="minorEastAsia" w:hAnsiTheme="minorEastAsia"/>
          <w:color w:val="000000" w:themeColor="text1"/>
        </w:rPr>
        <w:t>300</w:t>
      </w:r>
      <w:r>
        <w:rPr>
          <w:rFonts w:asciiTheme="minorEastAsia" w:eastAsiaTheme="minorEastAsia" w:hAnsiTheme="minorEastAsia"/>
          <w:color w:val="000000" w:themeColor="text1"/>
        </w:rPr>
        <w:t>下跌</w:t>
      </w:r>
      <w:r>
        <w:rPr>
          <w:rFonts w:asciiTheme="minorEastAsia" w:eastAsiaTheme="minorEastAsia" w:hAnsiTheme="minorEastAsia"/>
          <w:color w:val="000000" w:themeColor="text1"/>
        </w:rPr>
        <w:t>3.1%</w:t>
      </w:r>
      <w:r>
        <w:rPr>
          <w:rFonts w:asciiTheme="minorEastAsia" w:eastAsiaTheme="minorEastAsia" w:hAnsiTheme="minorEastAsia"/>
          <w:color w:val="000000" w:themeColor="text1"/>
        </w:rPr>
        <w:t>，创业板下跌</w:t>
      </w:r>
      <w:r>
        <w:rPr>
          <w:rFonts w:asciiTheme="minorEastAsia" w:eastAsiaTheme="minorEastAsia" w:hAnsiTheme="minorEastAsia"/>
          <w:color w:val="000000" w:themeColor="text1"/>
        </w:rPr>
        <w:t>7.0%</w:t>
      </w:r>
      <w:r>
        <w:rPr>
          <w:rFonts w:asciiTheme="minorEastAsia" w:eastAsiaTheme="minorEastAsia" w:hAnsiTheme="minorEastAsia"/>
          <w:color w:val="000000" w:themeColor="text1"/>
        </w:rPr>
        <w:t>。板块方面，钢铁、公用事业和银行领涨，国防军工、非银金融和通信领跌。今年前</w:t>
      </w: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个月，受去年疫情低基数影响，我国主要经济指标同比呈现大幅增长，如规模以上工业增加值同比增长</w:t>
      </w:r>
      <w:r>
        <w:rPr>
          <w:rFonts w:asciiTheme="minorEastAsia" w:eastAsiaTheme="minorEastAsia" w:hAnsiTheme="minorEastAsia"/>
          <w:color w:val="000000" w:themeColor="text1"/>
        </w:rPr>
        <w:t>35.1%</w:t>
      </w:r>
      <w:r>
        <w:rPr>
          <w:rFonts w:asciiTheme="minorEastAsia" w:eastAsiaTheme="minorEastAsia" w:hAnsiTheme="minorEastAsia"/>
          <w:color w:val="000000" w:themeColor="text1"/>
        </w:rPr>
        <w:t>，固定资产投资同比增长</w:t>
      </w:r>
      <w:r>
        <w:rPr>
          <w:rFonts w:asciiTheme="minorEastAsia" w:eastAsiaTheme="minorEastAsia" w:hAnsiTheme="minorEastAsia"/>
          <w:color w:val="000000" w:themeColor="text1"/>
        </w:rPr>
        <w:t>35.0%</w:t>
      </w:r>
      <w:r>
        <w:rPr>
          <w:rFonts w:asciiTheme="minorEastAsia" w:eastAsiaTheme="minorEastAsia" w:hAnsiTheme="minorEastAsia"/>
          <w:color w:val="000000" w:themeColor="text1"/>
        </w:rPr>
        <w:t>等。伴随着经济回暖，企业盈利增速延续了去年下半年的向好趋势。本基金重点配置了估值和成长相匹配的个股，此外，本季度还减持了部分前期超额收益较多个股，增持了部分市场关注度不高的成长股。</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进入二季度，我们判断市场机会将大于风险，A股有望呈现结构性的投资机会。过去2年股价的上涨更多来源于估值的上升，站在目前的时点，我们认为未来公司估值继续提升的可能性大幅降低，我们将更看重公司业绩的增长。我们将继续以精选个股作为首要方向。首先，重点关注成长股，尤其是近两年涨幅不大但业绩稳定增长的个股，这些个股伴随业绩兑现全年有望获得超额收益；其次，关注大消费领域，居民可支配收入仍处于稳步提升阶段，和居民消费相关的领域存在投资机会；最后，关注经济转型带来的投资机会。</w:t>
      </w: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4.4.2</w:t>
      </w:r>
      <w:r>
        <w:rPr>
          <w:rFonts w:asciiTheme="minorEastAsia" w:eastAsiaTheme="minorEastAsia" w:hAnsiTheme="minorEastAsia" w:cs="宋体" w:hint="eastAsia"/>
          <w:color w:val="000000" w:themeColor="text1"/>
          <w:sz w:val="24"/>
          <w:szCs w:val="24"/>
        </w:rPr>
        <w:t>报告期内基金的业绩表现</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本报告期上投摩根核心成长股票份额净值增长率为:13.65%，同期业绩比较基准收益率为:-2.69%。</w:t>
      </w:r>
    </w:p>
    <w:p w:rsidR="00D06738" w:rsidRDefault="00D06738">
      <w:pPr>
        <w:spacing w:line="360" w:lineRule="auto"/>
        <w:ind w:firstLineChars="200" w:firstLine="480"/>
        <w:rPr>
          <w:rFonts w:asciiTheme="minorEastAsia" w:eastAsiaTheme="minorEastAsia" w:hAnsiTheme="minorEastAsia"/>
          <w:color w:val="000000" w:themeColor="text1"/>
          <w:sz w:val="24"/>
          <w:szCs w:val="24"/>
        </w:rPr>
      </w:pP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b/>
          <w:color w:val="000000" w:themeColor="text1"/>
          <w:kern w:val="0"/>
          <w:sz w:val="24"/>
          <w:szCs w:val="24"/>
        </w:rPr>
        <w:t>4</w:t>
      </w:r>
      <w:r>
        <w:rPr>
          <w:rFonts w:asciiTheme="minorEastAsia" w:eastAsiaTheme="minorEastAsia" w:hAnsiTheme="minorEastAsia" w:hint="eastAsia"/>
          <w:b/>
          <w:color w:val="000000" w:themeColor="text1"/>
          <w:kern w:val="0"/>
          <w:sz w:val="24"/>
          <w:szCs w:val="24"/>
        </w:rPr>
        <w:t>.5报告期内基金持有人数或基金资产净值预警说明</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无。</w:t>
      </w:r>
    </w:p>
    <w:p w:rsidR="00D06738" w:rsidRDefault="00454D20">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§5</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投资组合报告</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5.1 </w:t>
      </w:r>
      <w:r>
        <w:rPr>
          <w:rFonts w:asciiTheme="minorEastAsia" w:eastAsiaTheme="minorEastAsia" w:hAnsiTheme="minorEastAsia" w:hint="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序号</w:t>
            </w:r>
          </w:p>
        </w:tc>
        <w:tc>
          <w:tcPr>
            <w:tcW w:w="3357"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项目</w:t>
            </w:r>
          </w:p>
        </w:tc>
        <w:tc>
          <w:tcPr>
            <w:tcW w:w="2977"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金额(元)</w:t>
            </w:r>
          </w:p>
        </w:tc>
        <w:tc>
          <w:tcPr>
            <w:tcW w:w="1843"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占基金总资产的比例(</w:t>
            </w:r>
            <w:r>
              <w:rPr>
                <w:rFonts w:asciiTheme="minorEastAsia" w:eastAsiaTheme="minorEastAsia" w:hAnsiTheme="minorEastAsia"/>
                <w:color w:val="000000" w:themeColor="text1"/>
                <w:kern w:val="0"/>
              </w:rPr>
              <w:t>%</w:t>
            </w:r>
            <w:r>
              <w:rPr>
                <w:rFonts w:asciiTheme="minorEastAsia" w:eastAsiaTheme="minorEastAsia" w:hAnsiTheme="minorEastAsia" w:hint="eastAsia"/>
                <w:color w:val="000000" w:themeColor="text1"/>
                <w:kern w:val="0"/>
              </w:rPr>
              <w:t>)</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权益投资</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1,513,972,644.57</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86.42</w:t>
            </w:r>
          </w:p>
        </w:tc>
      </w:tr>
      <w:tr w:rsidR="00D06738">
        <w:trPr>
          <w:jc w:val="center"/>
        </w:trPr>
        <w:tc>
          <w:tcPr>
            <w:tcW w:w="720" w:type="dxa"/>
            <w:vAlign w:val="center"/>
          </w:tcPr>
          <w:p w:rsidR="00D06738" w:rsidRDefault="00D06738">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其中：股票</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1,513,972,644.57</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86.42</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固定收益投资</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vAlign w:val="center"/>
          </w:tcPr>
          <w:p w:rsidR="00D06738" w:rsidRDefault="00D06738">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其中：债券</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vAlign w:val="center"/>
          </w:tcPr>
          <w:p w:rsidR="00D06738" w:rsidRDefault="00D06738">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D06738" w:rsidRDefault="00454D20">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资产支持证券</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357" w:type="dxa"/>
          </w:tcPr>
          <w:p w:rsidR="00D06738" w:rsidRDefault="00454D20">
            <w:pPr>
              <w:spacing w:before="29" w:line="360" w:lineRule="auto"/>
              <w:ind w:leftChars="50" w:left="10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贵金属投资</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357" w:type="dxa"/>
            <w:vAlign w:val="center"/>
          </w:tcPr>
          <w:p w:rsidR="00D06738" w:rsidRDefault="00454D20">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金融衍生品投资</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5</w:t>
            </w: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买入返售金融资产</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vAlign w:val="center"/>
          </w:tcPr>
          <w:p w:rsidR="00D06738" w:rsidRDefault="00D06738">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其中：买断式回购的买入返售金融资产</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6</w:t>
            </w: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银行存款和结算备付金合计</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215,810,468.19</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12.32</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7</w:t>
            </w:r>
          </w:p>
        </w:tc>
        <w:tc>
          <w:tcPr>
            <w:tcW w:w="3357" w:type="dxa"/>
            <w:vAlign w:val="center"/>
          </w:tcPr>
          <w:p w:rsidR="00D06738" w:rsidRDefault="00454D20">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其他各项资产</w:t>
            </w:r>
          </w:p>
        </w:tc>
        <w:tc>
          <w:tcPr>
            <w:tcW w:w="2977" w:type="dxa"/>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22,005,895.61</w:t>
            </w:r>
          </w:p>
        </w:tc>
        <w:tc>
          <w:tcPr>
            <w:tcW w:w="1843" w:type="dxa"/>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1.26</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8</w:t>
            </w:r>
          </w:p>
        </w:tc>
        <w:tc>
          <w:tcPr>
            <w:tcW w:w="3357" w:type="dxa"/>
            <w:vAlign w:val="center"/>
          </w:tcPr>
          <w:p w:rsidR="00D06738" w:rsidRDefault="00454D20">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2977" w:type="dxa"/>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1,751,789,008.37</w:t>
            </w:r>
          </w:p>
        </w:tc>
        <w:tc>
          <w:tcPr>
            <w:tcW w:w="1843" w:type="dxa"/>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100.00</w:t>
            </w:r>
          </w:p>
        </w:tc>
      </w:tr>
    </w:tbl>
    <w:p w:rsidR="00D06738" w:rsidRDefault="00D06738">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5.2 </w:t>
      </w:r>
      <w:r>
        <w:rPr>
          <w:rFonts w:asciiTheme="minorEastAsia" w:eastAsiaTheme="minorEastAsia" w:hAnsiTheme="minorEastAsia" w:hint="eastAsia"/>
          <w:b/>
          <w:bCs/>
          <w:color w:val="000000" w:themeColor="text1"/>
          <w:kern w:val="0"/>
          <w:sz w:val="24"/>
          <w:szCs w:val="24"/>
        </w:rPr>
        <w:t>报告期末按行业分类的股票投资组合</w:t>
      </w:r>
    </w:p>
    <w:p w:rsidR="00D06738" w:rsidRDefault="00454D20">
      <w:pPr>
        <w:rPr>
          <w:b/>
        </w:rPr>
      </w:pPr>
      <w:r>
        <w:rPr>
          <w:rFonts w:eastAsiaTheme="minorEastAsia" w:hint="eastAsia"/>
          <w:b/>
          <w:color w:val="000000" w:themeColor="text1"/>
          <w:kern w:val="0"/>
        </w:rPr>
        <w:t>5.2.1</w:t>
      </w:r>
      <w:r>
        <w:rPr>
          <w:rFonts w:eastAsiaTheme="minorEastAsia" w:hint="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D06738">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占基金资产净值比例（％）</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p w:rsidR="00D06738" w:rsidRDefault="00D06738">
            <w:pPr>
              <w:jc w:val="right"/>
              <w:rPr>
                <w:rFonts w:asciiTheme="minorEastAsia" w:eastAsiaTheme="minorEastAsia" w:hAnsiTheme="minorEastAsia" w:cs="宋体"/>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p w:rsidR="00D06738" w:rsidRDefault="00D06738">
            <w:pPr>
              <w:jc w:val="right"/>
              <w:rPr>
                <w:rFonts w:asciiTheme="minorEastAsia" w:eastAsiaTheme="minorEastAsia" w:hAnsiTheme="minorEastAsia" w:cs="宋体"/>
                <w:color w:val="000000" w:themeColor="text1"/>
                <w:kern w:val="0"/>
              </w:rPr>
            </w:pP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1,254,453,705.01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73.50</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67,750.68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0.00</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12,146,098.00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0.71</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4,395,637.99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0.26</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lastRenderedPageBreak/>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22,876,293.00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1.34</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36,013,045.11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2.11</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87,848,647.46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5.15</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10,200.30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0.00</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6,917,408.00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0.41</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746,708.98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0.04</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635,250.00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0.04</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87,861,900.04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5.15</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D06738">
            <w:pPr>
              <w:adjustRightInd w:val="0"/>
              <w:snapToGrid w:val="0"/>
              <w:spacing w:line="400" w:lineRule="exact"/>
              <w:jc w:val="center"/>
              <w:rPr>
                <w:rFonts w:asciiTheme="minorEastAsia" w:eastAsiaTheme="minorEastAsia" w:hAnsiTheme="minorEastAsia" w:cs="宋体"/>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1,513,972,644.57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88.70</w:t>
            </w:r>
          </w:p>
        </w:tc>
      </w:tr>
    </w:tbl>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5.3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tbl>
      <w:tblPr>
        <w:tblStyle w:val="aff4"/>
        <w:tblW w:w="8528" w:type="dxa"/>
        <w:tblLayout w:type="fixed"/>
        <w:tblLook w:val="04A0" w:firstRow="1" w:lastRow="0" w:firstColumn="1" w:lastColumn="0" w:noHBand="0" w:noVBand="1"/>
      </w:tblPr>
      <w:tblGrid>
        <w:gridCol w:w="817"/>
        <w:gridCol w:w="1276"/>
        <w:gridCol w:w="1701"/>
        <w:gridCol w:w="1276"/>
        <w:gridCol w:w="1842"/>
        <w:gridCol w:w="1616"/>
      </w:tblGrid>
      <w:tr w:rsidR="00D06738">
        <w:tc>
          <w:tcPr>
            <w:tcW w:w="817"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276"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股票代码</w:t>
            </w:r>
          </w:p>
        </w:tc>
        <w:tc>
          <w:tcPr>
            <w:tcW w:w="1701"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股票名称</w:t>
            </w:r>
          </w:p>
        </w:tc>
        <w:tc>
          <w:tcPr>
            <w:tcW w:w="1276"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数量(股)</w:t>
            </w:r>
          </w:p>
        </w:tc>
        <w:tc>
          <w:tcPr>
            <w:tcW w:w="1842"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6"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p>
        </w:tc>
      </w:tr>
      <w:tr w:rsidR="00A54605">
        <w:tc>
          <w:tcPr>
            <w:tcW w:w="817" w:type="dxa"/>
            <w:vAlign w:val="center"/>
          </w:tcPr>
          <w:p w:rsidR="00A54605" w:rsidRDefault="00314AEC">
            <w:pPr>
              <w:jc w:val="center"/>
            </w:pPr>
            <w:r>
              <w:rPr>
                <w:rFonts w:asciiTheme="minorEastAsia" w:eastAsiaTheme="minorEastAsia" w:hAnsiTheme="minorEastAsia" w:cs="宋体"/>
                <w:color w:val="000000" w:themeColor="text1"/>
                <w:kern w:val="0"/>
              </w:rPr>
              <w:t>1</w:t>
            </w:r>
          </w:p>
        </w:tc>
        <w:tc>
          <w:tcPr>
            <w:tcW w:w="1276" w:type="dxa"/>
            <w:vAlign w:val="center"/>
          </w:tcPr>
          <w:p w:rsidR="00A54605" w:rsidRDefault="00314AEC">
            <w:pPr>
              <w:jc w:val="center"/>
            </w:pPr>
            <w:r>
              <w:rPr>
                <w:rFonts w:asciiTheme="minorEastAsia" w:eastAsiaTheme="minorEastAsia" w:hAnsiTheme="minorEastAsia" w:cs="宋体"/>
                <w:color w:val="000000" w:themeColor="text1"/>
                <w:kern w:val="0"/>
              </w:rPr>
              <w:t>603008</w:t>
            </w:r>
          </w:p>
        </w:tc>
        <w:tc>
          <w:tcPr>
            <w:tcW w:w="1701" w:type="dxa"/>
            <w:vAlign w:val="center"/>
          </w:tcPr>
          <w:p w:rsidR="00A54605" w:rsidRDefault="00314AEC">
            <w:pPr>
              <w:jc w:val="center"/>
            </w:pPr>
            <w:r>
              <w:rPr>
                <w:rFonts w:asciiTheme="minorEastAsia" w:eastAsiaTheme="minorEastAsia" w:hAnsiTheme="minorEastAsia" w:cs="宋体"/>
                <w:color w:val="000000" w:themeColor="text1"/>
                <w:kern w:val="0"/>
              </w:rPr>
              <w:t>喜临门</w:t>
            </w:r>
          </w:p>
        </w:tc>
        <w:tc>
          <w:tcPr>
            <w:tcW w:w="1276" w:type="dxa"/>
            <w:vAlign w:val="center"/>
          </w:tcPr>
          <w:p w:rsidR="00A54605" w:rsidRDefault="00314AEC">
            <w:pPr>
              <w:jc w:val="right"/>
            </w:pPr>
            <w:r>
              <w:rPr>
                <w:rFonts w:asciiTheme="minorEastAsia" w:eastAsiaTheme="minorEastAsia" w:hAnsiTheme="minorEastAsia" w:cs="宋体"/>
                <w:color w:val="000000" w:themeColor="text1"/>
                <w:kern w:val="0"/>
              </w:rPr>
              <w:t>6,423,291</w:t>
            </w:r>
          </w:p>
        </w:tc>
        <w:tc>
          <w:tcPr>
            <w:tcW w:w="1842" w:type="dxa"/>
            <w:vAlign w:val="center"/>
          </w:tcPr>
          <w:p w:rsidR="00A54605" w:rsidRDefault="00314AEC">
            <w:pPr>
              <w:jc w:val="right"/>
            </w:pPr>
            <w:r>
              <w:rPr>
                <w:rFonts w:asciiTheme="minorEastAsia" w:eastAsiaTheme="minorEastAsia" w:hAnsiTheme="minorEastAsia" w:cs="宋体"/>
                <w:color w:val="000000" w:themeColor="text1"/>
                <w:kern w:val="0"/>
              </w:rPr>
              <w:t>169,639,115.31</w:t>
            </w:r>
          </w:p>
        </w:tc>
        <w:tc>
          <w:tcPr>
            <w:tcW w:w="1616" w:type="dxa"/>
            <w:vAlign w:val="center"/>
          </w:tcPr>
          <w:p w:rsidR="00A54605" w:rsidRDefault="00314AEC">
            <w:pPr>
              <w:jc w:val="right"/>
            </w:pPr>
            <w:r>
              <w:rPr>
                <w:rFonts w:asciiTheme="minorEastAsia" w:eastAsiaTheme="minorEastAsia" w:hAnsiTheme="minorEastAsia" w:cs="宋体"/>
                <w:color w:val="000000" w:themeColor="text1"/>
                <w:kern w:val="0"/>
              </w:rPr>
              <w:t>9.94</w:t>
            </w:r>
          </w:p>
        </w:tc>
      </w:tr>
      <w:tr w:rsidR="00A54605">
        <w:tc>
          <w:tcPr>
            <w:tcW w:w="817" w:type="dxa"/>
            <w:vAlign w:val="center"/>
          </w:tcPr>
          <w:p w:rsidR="00A54605" w:rsidRDefault="00314AEC">
            <w:pPr>
              <w:jc w:val="center"/>
            </w:pPr>
            <w:r>
              <w:rPr>
                <w:rFonts w:asciiTheme="minorEastAsia" w:eastAsiaTheme="minorEastAsia" w:hAnsiTheme="minorEastAsia" w:cs="宋体"/>
                <w:color w:val="000000" w:themeColor="text1"/>
                <w:kern w:val="0"/>
              </w:rPr>
              <w:t>2</w:t>
            </w:r>
          </w:p>
        </w:tc>
        <w:tc>
          <w:tcPr>
            <w:tcW w:w="1276" w:type="dxa"/>
            <w:vAlign w:val="center"/>
          </w:tcPr>
          <w:p w:rsidR="00A54605" w:rsidRDefault="00314AEC">
            <w:pPr>
              <w:jc w:val="center"/>
            </w:pPr>
            <w:r>
              <w:rPr>
                <w:rFonts w:asciiTheme="minorEastAsia" w:eastAsiaTheme="minorEastAsia" w:hAnsiTheme="minorEastAsia" w:cs="宋体"/>
                <w:color w:val="000000" w:themeColor="text1"/>
                <w:kern w:val="0"/>
              </w:rPr>
              <w:t>002236</w:t>
            </w:r>
          </w:p>
        </w:tc>
        <w:tc>
          <w:tcPr>
            <w:tcW w:w="1701" w:type="dxa"/>
            <w:vAlign w:val="center"/>
          </w:tcPr>
          <w:p w:rsidR="00A54605" w:rsidRDefault="00314AEC">
            <w:pPr>
              <w:jc w:val="center"/>
            </w:pPr>
            <w:r>
              <w:rPr>
                <w:rFonts w:asciiTheme="minorEastAsia" w:eastAsiaTheme="minorEastAsia" w:hAnsiTheme="minorEastAsia" w:cs="宋体"/>
                <w:color w:val="000000" w:themeColor="text1"/>
                <w:kern w:val="0"/>
              </w:rPr>
              <w:t>大华股份</w:t>
            </w:r>
          </w:p>
        </w:tc>
        <w:tc>
          <w:tcPr>
            <w:tcW w:w="1276" w:type="dxa"/>
            <w:vAlign w:val="center"/>
          </w:tcPr>
          <w:p w:rsidR="00A54605" w:rsidRDefault="00314AEC">
            <w:pPr>
              <w:jc w:val="right"/>
            </w:pPr>
            <w:r>
              <w:rPr>
                <w:rFonts w:asciiTheme="minorEastAsia" w:eastAsiaTheme="minorEastAsia" w:hAnsiTheme="minorEastAsia" w:cs="宋体"/>
                <w:color w:val="000000" w:themeColor="text1"/>
                <w:kern w:val="0"/>
              </w:rPr>
              <w:t>5,618,235</w:t>
            </w:r>
          </w:p>
        </w:tc>
        <w:tc>
          <w:tcPr>
            <w:tcW w:w="1842" w:type="dxa"/>
            <w:vAlign w:val="center"/>
          </w:tcPr>
          <w:p w:rsidR="00A54605" w:rsidRDefault="00314AEC">
            <w:pPr>
              <w:jc w:val="right"/>
            </w:pPr>
            <w:r>
              <w:rPr>
                <w:rFonts w:asciiTheme="minorEastAsia" w:eastAsiaTheme="minorEastAsia" w:hAnsiTheme="minorEastAsia" w:cs="宋体"/>
                <w:color w:val="000000" w:themeColor="text1"/>
                <w:kern w:val="0"/>
              </w:rPr>
              <w:t>138,601,857.45</w:t>
            </w:r>
          </w:p>
        </w:tc>
        <w:tc>
          <w:tcPr>
            <w:tcW w:w="1616" w:type="dxa"/>
            <w:vAlign w:val="center"/>
          </w:tcPr>
          <w:p w:rsidR="00A54605" w:rsidRDefault="00314AEC">
            <w:pPr>
              <w:jc w:val="right"/>
            </w:pPr>
            <w:r>
              <w:rPr>
                <w:rFonts w:asciiTheme="minorEastAsia" w:eastAsiaTheme="minorEastAsia" w:hAnsiTheme="minorEastAsia" w:cs="宋体"/>
                <w:color w:val="000000" w:themeColor="text1"/>
                <w:kern w:val="0"/>
              </w:rPr>
              <w:t>8.12</w:t>
            </w:r>
          </w:p>
        </w:tc>
      </w:tr>
      <w:tr w:rsidR="00A54605">
        <w:tc>
          <w:tcPr>
            <w:tcW w:w="817" w:type="dxa"/>
            <w:vAlign w:val="center"/>
          </w:tcPr>
          <w:p w:rsidR="00A54605" w:rsidRDefault="00314AEC">
            <w:pPr>
              <w:jc w:val="center"/>
            </w:pPr>
            <w:r>
              <w:rPr>
                <w:rFonts w:asciiTheme="minorEastAsia" w:eastAsiaTheme="minorEastAsia" w:hAnsiTheme="minorEastAsia" w:cs="宋体"/>
                <w:color w:val="000000" w:themeColor="text1"/>
                <w:kern w:val="0"/>
              </w:rPr>
              <w:t>3</w:t>
            </w:r>
          </w:p>
        </w:tc>
        <w:tc>
          <w:tcPr>
            <w:tcW w:w="1276" w:type="dxa"/>
            <w:vAlign w:val="center"/>
          </w:tcPr>
          <w:p w:rsidR="00A54605" w:rsidRDefault="00314AEC">
            <w:pPr>
              <w:jc w:val="center"/>
            </w:pPr>
            <w:r>
              <w:rPr>
                <w:rFonts w:asciiTheme="minorEastAsia" w:eastAsiaTheme="minorEastAsia" w:hAnsiTheme="minorEastAsia" w:cs="宋体"/>
                <w:color w:val="000000" w:themeColor="text1"/>
                <w:kern w:val="0"/>
              </w:rPr>
              <w:t>002043</w:t>
            </w:r>
          </w:p>
        </w:tc>
        <w:tc>
          <w:tcPr>
            <w:tcW w:w="1701" w:type="dxa"/>
            <w:vAlign w:val="center"/>
          </w:tcPr>
          <w:p w:rsidR="00A54605" w:rsidRDefault="00314AEC">
            <w:pPr>
              <w:jc w:val="center"/>
            </w:pPr>
            <w:r>
              <w:rPr>
                <w:rFonts w:asciiTheme="minorEastAsia" w:eastAsiaTheme="minorEastAsia" w:hAnsiTheme="minorEastAsia" w:cs="宋体"/>
                <w:color w:val="000000" w:themeColor="text1"/>
                <w:kern w:val="0"/>
              </w:rPr>
              <w:t>兔</w:t>
            </w:r>
            <w:r>
              <w:rPr>
                <w:rFonts w:asciiTheme="minorEastAsia" w:eastAsiaTheme="minorEastAsia" w:hAnsiTheme="minorEastAsia" w:cs="宋体"/>
                <w:color w:val="000000" w:themeColor="text1"/>
                <w:kern w:val="0"/>
              </w:rPr>
              <w:t xml:space="preserve"> </w:t>
            </w:r>
            <w:r>
              <w:rPr>
                <w:rFonts w:asciiTheme="minorEastAsia" w:eastAsiaTheme="minorEastAsia" w:hAnsiTheme="minorEastAsia" w:cs="宋体"/>
                <w:color w:val="000000" w:themeColor="text1"/>
                <w:kern w:val="0"/>
              </w:rPr>
              <w:t>宝</w:t>
            </w:r>
            <w:r>
              <w:rPr>
                <w:rFonts w:asciiTheme="minorEastAsia" w:eastAsiaTheme="minorEastAsia" w:hAnsiTheme="minorEastAsia" w:cs="宋体"/>
                <w:color w:val="000000" w:themeColor="text1"/>
                <w:kern w:val="0"/>
              </w:rPr>
              <w:t xml:space="preserve"> </w:t>
            </w:r>
            <w:r>
              <w:rPr>
                <w:rFonts w:asciiTheme="minorEastAsia" w:eastAsiaTheme="minorEastAsia" w:hAnsiTheme="minorEastAsia" w:cs="宋体"/>
                <w:color w:val="000000" w:themeColor="text1"/>
                <w:kern w:val="0"/>
              </w:rPr>
              <w:t>宝</w:t>
            </w:r>
          </w:p>
        </w:tc>
        <w:tc>
          <w:tcPr>
            <w:tcW w:w="1276" w:type="dxa"/>
            <w:vAlign w:val="center"/>
          </w:tcPr>
          <w:p w:rsidR="00A54605" w:rsidRDefault="00314AEC">
            <w:pPr>
              <w:jc w:val="right"/>
            </w:pPr>
            <w:r>
              <w:rPr>
                <w:rFonts w:asciiTheme="minorEastAsia" w:eastAsiaTheme="minorEastAsia" w:hAnsiTheme="minorEastAsia" w:cs="宋体"/>
                <w:color w:val="000000" w:themeColor="text1"/>
                <w:kern w:val="0"/>
              </w:rPr>
              <w:t>12,579,835</w:t>
            </w:r>
          </w:p>
        </w:tc>
        <w:tc>
          <w:tcPr>
            <w:tcW w:w="1842" w:type="dxa"/>
            <w:vAlign w:val="center"/>
          </w:tcPr>
          <w:p w:rsidR="00A54605" w:rsidRDefault="00314AEC">
            <w:pPr>
              <w:jc w:val="right"/>
            </w:pPr>
            <w:r>
              <w:rPr>
                <w:rFonts w:asciiTheme="minorEastAsia" w:eastAsiaTheme="minorEastAsia" w:hAnsiTheme="minorEastAsia" w:cs="宋体"/>
                <w:color w:val="000000" w:themeColor="text1"/>
                <w:kern w:val="0"/>
              </w:rPr>
              <w:t>136,113,814.70</w:t>
            </w:r>
          </w:p>
        </w:tc>
        <w:tc>
          <w:tcPr>
            <w:tcW w:w="1616" w:type="dxa"/>
            <w:vAlign w:val="center"/>
          </w:tcPr>
          <w:p w:rsidR="00A54605" w:rsidRDefault="00314AEC">
            <w:pPr>
              <w:jc w:val="right"/>
            </w:pPr>
            <w:r>
              <w:rPr>
                <w:rFonts w:asciiTheme="minorEastAsia" w:eastAsiaTheme="minorEastAsia" w:hAnsiTheme="minorEastAsia" w:cs="宋体"/>
                <w:color w:val="000000" w:themeColor="text1"/>
                <w:kern w:val="0"/>
              </w:rPr>
              <w:t>7.97</w:t>
            </w:r>
          </w:p>
        </w:tc>
      </w:tr>
      <w:tr w:rsidR="00A54605">
        <w:tc>
          <w:tcPr>
            <w:tcW w:w="817" w:type="dxa"/>
            <w:vAlign w:val="center"/>
          </w:tcPr>
          <w:p w:rsidR="00A54605" w:rsidRDefault="00314AEC">
            <w:pPr>
              <w:jc w:val="center"/>
            </w:pPr>
            <w:r>
              <w:rPr>
                <w:rFonts w:asciiTheme="minorEastAsia" w:eastAsiaTheme="minorEastAsia" w:hAnsiTheme="minorEastAsia" w:cs="宋体"/>
                <w:color w:val="000000" w:themeColor="text1"/>
                <w:kern w:val="0"/>
              </w:rPr>
              <w:t>4</w:t>
            </w:r>
          </w:p>
        </w:tc>
        <w:tc>
          <w:tcPr>
            <w:tcW w:w="1276" w:type="dxa"/>
            <w:vAlign w:val="center"/>
          </w:tcPr>
          <w:p w:rsidR="00A54605" w:rsidRDefault="00314AEC">
            <w:pPr>
              <w:jc w:val="center"/>
            </w:pPr>
            <w:r>
              <w:rPr>
                <w:rFonts w:asciiTheme="minorEastAsia" w:eastAsiaTheme="minorEastAsia" w:hAnsiTheme="minorEastAsia" w:cs="宋体"/>
                <w:color w:val="000000" w:themeColor="text1"/>
                <w:kern w:val="0"/>
              </w:rPr>
              <w:t>002572</w:t>
            </w:r>
          </w:p>
        </w:tc>
        <w:tc>
          <w:tcPr>
            <w:tcW w:w="1701" w:type="dxa"/>
            <w:vAlign w:val="center"/>
          </w:tcPr>
          <w:p w:rsidR="00A54605" w:rsidRDefault="00314AEC">
            <w:pPr>
              <w:jc w:val="center"/>
            </w:pPr>
            <w:r>
              <w:rPr>
                <w:rFonts w:asciiTheme="minorEastAsia" w:eastAsiaTheme="minorEastAsia" w:hAnsiTheme="minorEastAsia" w:cs="宋体"/>
                <w:color w:val="000000" w:themeColor="text1"/>
                <w:kern w:val="0"/>
              </w:rPr>
              <w:t>索菲亚</w:t>
            </w:r>
          </w:p>
        </w:tc>
        <w:tc>
          <w:tcPr>
            <w:tcW w:w="1276" w:type="dxa"/>
            <w:vAlign w:val="center"/>
          </w:tcPr>
          <w:p w:rsidR="00A54605" w:rsidRDefault="00314AEC">
            <w:pPr>
              <w:jc w:val="right"/>
            </w:pPr>
            <w:r>
              <w:rPr>
                <w:rFonts w:asciiTheme="minorEastAsia" w:eastAsiaTheme="minorEastAsia" w:hAnsiTheme="minorEastAsia" w:cs="宋体"/>
                <w:color w:val="000000" w:themeColor="text1"/>
                <w:kern w:val="0"/>
              </w:rPr>
              <w:t>3,952,202</w:t>
            </w:r>
          </w:p>
        </w:tc>
        <w:tc>
          <w:tcPr>
            <w:tcW w:w="1842" w:type="dxa"/>
            <w:vAlign w:val="center"/>
          </w:tcPr>
          <w:p w:rsidR="00A54605" w:rsidRDefault="00314AEC">
            <w:pPr>
              <w:jc w:val="right"/>
            </w:pPr>
            <w:r>
              <w:rPr>
                <w:rFonts w:asciiTheme="minorEastAsia" w:eastAsiaTheme="minorEastAsia" w:hAnsiTheme="minorEastAsia" w:cs="宋体"/>
                <w:color w:val="000000" w:themeColor="text1"/>
                <w:kern w:val="0"/>
              </w:rPr>
              <w:t>130,146,011.86</w:t>
            </w:r>
          </w:p>
        </w:tc>
        <w:tc>
          <w:tcPr>
            <w:tcW w:w="1616" w:type="dxa"/>
            <w:vAlign w:val="center"/>
          </w:tcPr>
          <w:p w:rsidR="00A54605" w:rsidRDefault="00314AEC">
            <w:pPr>
              <w:jc w:val="right"/>
            </w:pPr>
            <w:r>
              <w:rPr>
                <w:rFonts w:asciiTheme="minorEastAsia" w:eastAsiaTheme="minorEastAsia" w:hAnsiTheme="minorEastAsia" w:cs="宋体"/>
                <w:color w:val="000000" w:themeColor="text1"/>
                <w:kern w:val="0"/>
              </w:rPr>
              <w:t>7.63</w:t>
            </w:r>
          </w:p>
        </w:tc>
      </w:tr>
      <w:tr w:rsidR="00A54605">
        <w:tc>
          <w:tcPr>
            <w:tcW w:w="817" w:type="dxa"/>
            <w:vAlign w:val="center"/>
          </w:tcPr>
          <w:p w:rsidR="00A54605" w:rsidRDefault="00314AEC">
            <w:pPr>
              <w:jc w:val="center"/>
            </w:pPr>
            <w:r>
              <w:rPr>
                <w:rFonts w:asciiTheme="minorEastAsia" w:eastAsiaTheme="minorEastAsia" w:hAnsiTheme="minorEastAsia" w:cs="宋体"/>
                <w:color w:val="000000" w:themeColor="text1"/>
                <w:kern w:val="0"/>
              </w:rPr>
              <w:t>5</w:t>
            </w:r>
          </w:p>
        </w:tc>
        <w:tc>
          <w:tcPr>
            <w:tcW w:w="1276" w:type="dxa"/>
            <w:vAlign w:val="center"/>
          </w:tcPr>
          <w:p w:rsidR="00A54605" w:rsidRDefault="00314AEC">
            <w:pPr>
              <w:jc w:val="center"/>
            </w:pPr>
            <w:r>
              <w:rPr>
                <w:rFonts w:asciiTheme="minorEastAsia" w:eastAsiaTheme="minorEastAsia" w:hAnsiTheme="minorEastAsia" w:cs="宋体"/>
                <w:color w:val="000000" w:themeColor="text1"/>
                <w:kern w:val="0"/>
              </w:rPr>
              <w:t>002614</w:t>
            </w:r>
          </w:p>
        </w:tc>
        <w:tc>
          <w:tcPr>
            <w:tcW w:w="1701" w:type="dxa"/>
            <w:vAlign w:val="center"/>
          </w:tcPr>
          <w:p w:rsidR="00A54605" w:rsidRDefault="00314AEC">
            <w:pPr>
              <w:jc w:val="center"/>
            </w:pPr>
            <w:r>
              <w:rPr>
                <w:rFonts w:asciiTheme="minorEastAsia" w:eastAsiaTheme="minorEastAsia" w:hAnsiTheme="minorEastAsia" w:cs="宋体"/>
                <w:color w:val="000000" w:themeColor="text1"/>
                <w:kern w:val="0"/>
              </w:rPr>
              <w:t>奥佳华</w:t>
            </w:r>
          </w:p>
        </w:tc>
        <w:tc>
          <w:tcPr>
            <w:tcW w:w="1276" w:type="dxa"/>
            <w:vAlign w:val="center"/>
          </w:tcPr>
          <w:p w:rsidR="00A54605" w:rsidRDefault="00314AEC">
            <w:pPr>
              <w:jc w:val="right"/>
            </w:pPr>
            <w:r>
              <w:rPr>
                <w:rFonts w:asciiTheme="minorEastAsia" w:eastAsiaTheme="minorEastAsia" w:hAnsiTheme="minorEastAsia" w:cs="宋体"/>
                <w:color w:val="000000" w:themeColor="text1"/>
                <w:kern w:val="0"/>
              </w:rPr>
              <w:t>5,647,996</w:t>
            </w:r>
          </w:p>
        </w:tc>
        <w:tc>
          <w:tcPr>
            <w:tcW w:w="1842" w:type="dxa"/>
            <w:vAlign w:val="center"/>
          </w:tcPr>
          <w:p w:rsidR="00A54605" w:rsidRDefault="00314AEC">
            <w:pPr>
              <w:jc w:val="right"/>
            </w:pPr>
            <w:r>
              <w:rPr>
                <w:rFonts w:asciiTheme="minorEastAsia" w:eastAsiaTheme="minorEastAsia" w:hAnsiTheme="minorEastAsia" w:cs="宋体"/>
                <w:color w:val="000000" w:themeColor="text1"/>
                <w:kern w:val="0"/>
              </w:rPr>
              <w:t>97,427,931.00</w:t>
            </w:r>
          </w:p>
        </w:tc>
        <w:tc>
          <w:tcPr>
            <w:tcW w:w="1616" w:type="dxa"/>
            <w:vAlign w:val="center"/>
          </w:tcPr>
          <w:p w:rsidR="00A54605" w:rsidRDefault="00314AEC">
            <w:pPr>
              <w:jc w:val="right"/>
            </w:pPr>
            <w:r>
              <w:rPr>
                <w:rFonts w:asciiTheme="minorEastAsia" w:eastAsiaTheme="minorEastAsia" w:hAnsiTheme="minorEastAsia" w:cs="宋体"/>
                <w:color w:val="000000" w:themeColor="text1"/>
                <w:kern w:val="0"/>
              </w:rPr>
              <w:t>5.71</w:t>
            </w:r>
          </w:p>
        </w:tc>
      </w:tr>
      <w:tr w:rsidR="00A54605">
        <w:tc>
          <w:tcPr>
            <w:tcW w:w="817" w:type="dxa"/>
            <w:vAlign w:val="center"/>
          </w:tcPr>
          <w:p w:rsidR="00A54605" w:rsidRDefault="00314AEC">
            <w:pPr>
              <w:jc w:val="center"/>
            </w:pPr>
            <w:r>
              <w:rPr>
                <w:rFonts w:asciiTheme="minorEastAsia" w:eastAsiaTheme="minorEastAsia" w:hAnsiTheme="minorEastAsia" w:cs="宋体"/>
                <w:color w:val="000000" w:themeColor="text1"/>
                <w:kern w:val="0"/>
              </w:rPr>
              <w:t>6</w:t>
            </w:r>
          </w:p>
        </w:tc>
        <w:tc>
          <w:tcPr>
            <w:tcW w:w="1276" w:type="dxa"/>
            <w:vAlign w:val="center"/>
          </w:tcPr>
          <w:p w:rsidR="00A54605" w:rsidRDefault="00314AEC">
            <w:pPr>
              <w:jc w:val="center"/>
            </w:pPr>
            <w:r>
              <w:rPr>
                <w:rFonts w:asciiTheme="minorEastAsia" w:eastAsiaTheme="minorEastAsia" w:hAnsiTheme="minorEastAsia" w:cs="宋体"/>
                <w:color w:val="000000" w:themeColor="text1"/>
                <w:kern w:val="0"/>
              </w:rPr>
              <w:t>300433</w:t>
            </w:r>
          </w:p>
        </w:tc>
        <w:tc>
          <w:tcPr>
            <w:tcW w:w="1701" w:type="dxa"/>
            <w:vAlign w:val="center"/>
          </w:tcPr>
          <w:p w:rsidR="00A54605" w:rsidRDefault="00314AEC">
            <w:pPr>
              <w:jc w:val="center"/>
            </w:pPr>
            <w:r>
              <w:rPr>
                <w:rFonts w:asciiTheme="minorEastAsia" w:eastAsiaTheme="minorEastAsia" w:hAnsiTheme="minorEastAsia" w:cs="宋体"/>
                <w:color w:val="000000" w:themeColor="text1"/>
                <w:kern w:val="0"/>
              </w:rPr>
              <w:t>蓝思科技</w:t>
            </w:r>
          </w:p>
        </w:tc>
        <w:tc>
          <w:tcPr>
            <w:tcW w:w="1276" w:type="dxa"/>
            <w:vAlign w:val="center"/>
          </w:tcPr>
          <w:p w:rsidR="00A54605" w:rsidRDefault="00314AEC">
            <w:pPr>
              <w:jc w:val="right"/>
            </w:pPr>
            <w:r>
              <w:rPr>
                <w:rFonts w:asciiTheme="minorEastAsia" w:eastAsiaTheme="minorEastAsia" w:hAnsiTheme="minorEastAsia" w:cs="宋体"/>
                <w:color w:val="000000" w:themeColor="text1"/>
                <w:kern w:val="0"/>
              </w:rPr>
              <w:t>1,969,243</w:t>
            </w:r>
          </w:p>
        </w:tc>
        <w:tc>
          <w:tcPr>
            <w:tcW w:w="1842" w:type="dxa"/>
            <w:vAlign w:val="center"/>
          </w:tcPr>
          <w:p w:rsidR="00A54605" w:rsidRDefault="00314AEC">
            <w:pPr>
              <w:jc w:val="right"/>
            </w:pPr>
            <w:r>
              <w:rPr>
                <w:rFonts w:asciiTheme="minorEastAsia" w:eastAsiaTheme="minorEastAsia" w:hAnsiTheme="minorEastAsia" w:cs="宋体"/>
                <w:color w:val="000000" w:themeColor="text1"/>
                <w:kern w:val="0"/>
              </w:rPr>
              <w:t>51,456,319.59</w:t>
            </w:r>
          </w:p>
        </w:tc>
        <w:tc>
          <w:tcPr>
            <w:tcW w:w="1616" w:type="dxa"/>
            <w:vAlign w:val="center"/>
          </w:tcPr>
          <w:p w:rsidR="00A54605" w:rsidRDefault="00314AEC">
            <w:pPr>
              <w:jc w:val="right"/>
            </w:pPr>
            <w:r>
              <w:rPr>
                <w:rFonts w:asciiTheme="minorEastAsia" w:eastAsiaTheme="minorEastAsia" w:hAnsiTheme="minorEastAsia" w:cs="宋体"/>
                <w:color w:val="000000" w:themeColor="text1"/>
                <w:kern w:val="0"/>
              </w:rPr>
              <w:t>3.01</w:t>
            </w:r>
          </w:p>
        </w:tc>
      </w:tr>
      <w:tr w:rsidR="00A54605">
        <w:tc>
          <w:tcPr>
            <w:tcW w:w="817" w:type="dxa"/>
            <w:vAlign w:val="center"/>
          </w:tcPr>
          <w:p w:rsidR="00A54605" w:rsidRDefault="00314AEC">
            <w:pPr>
              <w:jc w:val="center"/>
            </w:pPr>
            <w:r>
              <w:rPr>
                <w:rFonts w:asciiTheme="minorEastAsia" w:eastAsiaTheme="minorEastAsia" w:hAnsiTheme="minorEastAsia" w:cs="宋体"/>
                <w:color w:val="000000" w:themeColor="text1"/>
                <w:kern w:val="0"/>
              </w:rPr>
              <w:t>7</w:t>
            </w:r>
          </w:p>
        </w:tc>
        <w:tc>
          <w:tcPr>
            <w:tcW w:w="1276" w:type="dxa"/>
            <w:vAlign w:val="center"/>
          </w:tcPr>
          <w:p w:rsidR="00A54605" w:rsidRDefault="00314AEC">
            <w:pPr>
              <w:jc w:val="center"/>
            </w:pPr>
            <w:r>
              <w:rPr>
                <w:rFonts w:asciiTheme="minorEastAsia" w:eastAsiaTheme="minorEastAsia" w:hAnsiTheme="minorEastAsia" w:cs="宋体"/>
                <w:color w:val="000000" w:themeColor="text1"/>
                <w:kern w:val="0"/>
              </w:rPr>
              <w:t>002739</w:t>
            </w:r>
          </w:p>
        </w:tc>
        <w:tc>
          <w:tcPr>
            <w:tcW w:w="1701" w:type="dxa"/>
            <w:vAlign w:val="center"/>
          </w:tcPr>
          <w:p w:rsidR="00A54605" w:rsidRDefault="00314AEC">
            <w:pPr>
              <w:jc w:val="center"/>
            </w:pPr>
            <w:r>
              <w:rPr>
                <w:rFonts w:asciiTheme="minorEastAsia" w:eastAsiaTheme="minorEastAsia" w:hAnsiTheme="minorEastAsia" w:cs="宋体"/>
                <w:color w:val="000000" w:themeColor="text1"/>
                <w:kern w:val="0"/>
              </w:rPr>
              <w:t>万达电影</w:t>
            </w:r>
          </w:p>
        </w:tc>
        <w:tc>
          <w:tcPr>
            <w:tcW w:w="1276" w:type="dxa"/>
            <w:vAlign w:val="center"/>
          </w:tcPr>
          <w:p w:rsidR="00A54605" w:rsidRDefault="00314AEC">
            <w:pPr>
              <w:jc w:val="right"/>
            </w:pPr>
            <w:r>
              <w:rPr>
                <w:rFonts w:asciiTheme="minorEastAsia" w:eastAsiaTheme="minorEastAsia" w:hAnsiTheme="minorEastAsia" w:cs="宋体"/>
                <w:color w:val="000000" w:themeColor="text1"/>
                <w:kern w:val="0"/>
              </w:rPr>
              <w:t>2,782,804</w:t>
            </w:r>
          </w:p>
        </w:tc>
        <w:tc>
          <w:tcPr>
            <w:tcW w:w="1842" w:type="dxa"/>
            <w:vAlign w:val="center"/>
          </w:tcPr>
          <w:p w:rsidR="00A54605" w:rsidRDefault="00314AEC">
            <w:pPr>
              <w:jc w:val="right"/>
            </w:pPr>
            <w:r>
              <w:rPr>
                <w:rFonts w:asciiTheme="minorEastAsia" w:eastAsiaTheme="minorEastAsia" w:hAnsiTheme="minorEastAsia" w:cs="宋体"/>
                <w:color w:val="000000" w:themeColor="text1"/>
                <w:kern w:val="0"/>
              </w:rPr>
              <w:t>50,758,344.96</w:t>
            </w:r>
          </w:p>
        </w:tc>
        <w:tc>
          <w:tcPr>
            <w:tcW w:w="1616" w:type="dxa"/>
            <w:vAlign w:val="center"/>
          </w:tcPr>
          <w:p w:rsidR="00A54605" w:rsidRDefault="00314AEC">
            <w:pPr>
              <w:jc w:val="right"/>
            </w:pPr>
            <w:r>
              <w:rPr>
                <w:rFonts w:asciiTheme="minorEastAsia" w:eastAsiaTheme="minorEastAsia" w:hAnsiTheme="minorEastAsia" w:cs="宋体"/>
                <w:color w:val="000000" w:themeColor="text1"/>
                <w:kern w:val="0"/>
              </w:rPr>
              <w:t>2.97</w:t>
            </w:r>
          </w:p>
        </w:tc>
      </w:tr>
      <w:tr w:rsidR="00A54605">
        <w:tc>
          <w:tcPr>
            <w:tcW w:w="817" w:type="dxa"/>
            <w:vAlign w:val="center"/>
          </w:tcPr>
          <w:p w:rsidR="00A54605" w:rsidRDefault="00314AEC">
            <w:pPr>
              <w:jc w:val="center"/>
            </w:pPr>
            <w:r>
              <w:rPr>
                <w:rFonts w:asciiTheme="minorEastAsia" w:eastAsiaTheme="minorEastAsia" w:hAnsiTheme="minorEastAsia" w:cs="宋体"/>
                <w:color w:val="000000" w:themeColor="text1"/>
                <w:kern w:val="0"/>
              </w:rPr>
              <w:t>8</w:t>
            </w:r>
          </w:p>
        </w:tc>
        <w:tc>
          <w:tcPr>
            <w:tcW w:w="1276" w:type="dxa"/>
            <w:vAlign w:val="center"/>
          </w:tcPr>
          <w:p w:rsidR="00A54605" w:rsidRDefault="00314AEC">
            <w:pPr>
              <w:jc w:val="center"/>
            </w:pPr>
            <w:r>
              <w:rPr>
                <w:rFonts w:asciiTheme="minorEastAsia" w:eastAsiaTheme="minorEastAsia" w:hAnsiTheme="minorEastAsia" w:cs="宋体"/>
                <w:color w:val="000000" w:themeColor="text1"/>
                <w:kern w:val="0"/>
              </w:rPr>
              <w:t>002384</w:t>
            </w:r>
          </w:p>
        </w:tc>
        <w:tc>
          <w:tcPr>
            <w:tcW w:w="1701" w:type="dxa"/>
            <w:vAlign w:val="center"/>
          </w:tcPr>
          <w:p w:rsidR="00A54605" w:rsidRDefault="00314AEC">
            <w:pPr>
              <w:jc w:val="center"/>
            </w:pPr>
            <w:r>
              <w:rPr>
                <w:rFonts w:asciiTheme="minorEastAsia" w:eastAsiaTheme="minorEastAsia" w:hAnsiTheme="minorEastAsia" w:cs="宋体"/>
                <w:color w:val="000000" w:themeColor="text1"/>
                <w:kern w:val="0"/>
              </w:rPr>
              <w:t>东山精密</w:t>
            </w:r>
          </w:p>
        </w:tc>
        <w:tc>
          <w:tcPr>
            <w:tcW w:w="1276" w:type="dxa"/>
            <w:vAlign w:val="center"/>
          </w:tcPr>
          <w:p w:rsidR="00A54605" w:rsidRDefault="00314AEC">
            <w:pPr>
              <w:jc w:val="right"/>
            </w:pPr>
            <w:r>
              <w:rPr>
                <w:rFonts w:asciiTheme="minorEastAsia" w:eastAsiaTheme="minorEastAsia" w:hAnsiTheme="minorEastAsia" w:cs="宋体"/>
                <w:color w:val="000000" w:themeColor="text1"/>
                <w:kern w:val="0"/>
              </w:rPr>
              <w:t>2,032,462</w:t>
            </w:r>
          </w:p>
        </w:tc>
        <w:tc>
          <w:tcPr>
            <w:tcW w:w="1842" w:type="dxa"/>
            <w:vAlign w:val="center"/>
          </w:tcPr>
          <w:p w:rsidR="00A54605" w:rsidRDefault="00314AEC">
            <w:pPr>
              <w:jc w:val="right"/>
            </w:pPr>
            <w:r>
              <w:rPr>
                <w:rFonts w:asciiTheme="minorEastAsia" w:eastAsiaTheme="minorEastAsia" w:hAnsiTheme="minorEastAsia" w:cs="宋体"/>
                <w:color w:val="000000" w:themeColor="text1"/>
                <w:kern w:val="0"/>
              </w:rPr>
              <w:t>37,234,703.84</w:t>
            </w:r>
          </w:p>
        </w:tc>
        <w:tc>
          <w:tcPr>
            <w:tcW w:w="1616" w:type="dxa"/>
            <w:vAlign w:val="center"/>
          </w:tcPr>
          <w:p w:rsidR="00A54605" w:rsidRDefault="00314AEC">
            <w:pPr>
              <w:jc w:val="right"/>
            </w:pPr>
            <w:r>
              <w:rPr>
                <w:rFonts w:asciiTheme="minorEastAsia" w:eastAsiaTheme="minorEastAsia" w:hAnsiTheme="minorEastAsia" w:cs="宋体"/>
                <w:color w:val="000000" w:themeColor="text1"/>
                <w:kern w:val="0"/>
              </w:rPr>
              <w:t>2.18</w:t>
            </w:r>
          </w:p>
        </w:tc>
      </w:tr>
      <w:tr w:rsidR="00A54605">
        <w:tc>
          <w:tcPr>
            <w:tcW w:w="817" w:type="dxa"/>
            <w:vAlign w:val="center"/>
          </w:tcPr>
          <w:p w:rsidR="00A54605" w:rsidRDefault="00314AEC">
            <w:pPr>
              <w:jc w:val="center"/>
            </w:pPr>
            <w:r>
              <w:rPr>
                <w:rFonts w:asciiTheme="minorEastAsia" w:eastAsiaTheme="minorEastAsia" w:hAnsiTheme="minorEastAsia" w:cs="宋体"/>
                <w:color w:val="000000" w:themeColor="text1"/>
                <w:kern w:val="0"/>
              </w:rPr>
              <w:t>9</w:t>
            </w:r>
          </w:p>
        </w:tc>
        <w:tc>
          <w:tcPr>
            <w:tcW w:w="1276" w:type="dxa"/>
            <w:vAlign w:val="center"/>
          </w:tcPr>
          <w:p w:rsidR="00A54605" w:rsidRDefault="00314AEC">
            <w:pPr>
              <w:jc w:val="center"/>
            </w:pPr>
            <w:r>
              <w:rPr>
                <w:rFonts w:asciiTheme="minorEastAsia" w:eastAsiaTheme="minorEastAsia" w:hAnsiTheme="minorEastAsia" w:cs="宋体"/>
                <w:color w:val="000000" w:themeColor="text1"/>
                <w:kern w:val="0"/>
              </w:rPr>
              <w:t>603606</w:t>
            </w:r>
          </w:p>
        </w:tc>
        <w:tc>
          <w:tcPr>
            <w:tcW w:w="1701" w:type="dxa"/>
            <w:vAlign w:val="center"/>
          </w:tcPr>
          <w:p w:rsidR="00A54605" w:rsidRDefault="00314AEC">
            <w:pPr>
              <w:jc w:val="center"/>
            </w:pPr>
            <w:r>
              <w:rPr>
                <w:rFonts w:asciiTheme="minorEastAsia" w:eastAsiaTheme="minorEastAsia" w:hAnsiTheme="minorEastAsia" w:cs="宋体"/>
                <w:color w:val="000000" w:themeColor="text1"/>
                <w:kern w:val="0"/>
              </w:rPr>
              <w:t>东方电缆</w:t>
            </w:r>
          </w:p>
        </w:tc>
        <w:tc>
          <w:tcPr>
            <w:tcW w:w="1276" w:type="dxa"/>
            <w:vAlign w:val="center"/>
          </w:tcPr>
          <w:p w:rsidR="00A54605" w:rsidRDefault="00314AEC">
            <w:pPr>
              <w:jc w:val="right"/>
            </w:pPr>
            <w:r>
              <w:rPr>
                <w:rFonts w:asciiTheme="minorEastAsia" w:eastAsiaTheme="minorEastAsia" w:hAnsiTheme="minorEastAsia" w:cs="宋体"/>
                <w:color w:val="000000" w:themeColor="text1"/>
                <w:kern w:val="0"/>
              </w:rPr>
              <w:t>1,545,969</w:t>
            </w:r>
          </w:p>
        </w:tc>
        <w:tc>
          <w:tcPr>
            <w:tcW w:w="1842" w:type="dxa"/>
            <w:vAlign w:val="center"/>
          </w:tcPr>
          <w:p w:rsidR="00A54605" w:rsidRDefault="00314AEC">
            <w:pPr>
              <w:jc w:val="right"/>
            </w:pPr>
            <w:r>
              <w:rPr>
                <w:rFonts w:asciiTheme="minorEastAsia" w:eastAsiaTheme="minorEastAsia" w:hAnsiTheme="minorEastAsia" w:cs="宋体"/>
                <w:color w:val="000000" w:themeColor="text1"/>
                <w:kern w:val="0"/>
              </w:rPr>
              <w:t>36,283,892.43</w:t>
            </w:r>
          </w:p>
        </w:tc>
        <w:tc>
          <w:tcPr>
            <w:tcW w:w="1616" w:type="dxa"/>
            <w:vAlign w:val="center"/>
          </w:tcPr>
          <w:p w:rsidR="00A54605" w:rsidRDefault="00314AEC">
            <w:pPr>
              <w:jc w:val="right"/>
            </w:pPr>
            <w:r>
              <w:rPr>
                <w:rFonts w:asciiTheme="minorEastAsia" w:eastAsiaTheme="minorEastAsia" w:hAnsiTheme="minorEastAsia" w:cs="宋体"/>
                <w:color w:val="000000" w:themeColor="text1"/>
                <w:kern w:val="0"/>
              </w:rPr>
              <w:t>2.13</w:t>
            </w:r>
          </w:p>
        </w:tc>
      </w:tr>
      <w:tr w:rsidR="00A54605">
        <w:tc>
          <w:tcPr>
            <w:tcW w:w="817" w:type="dxa"/>
            <w:vAlign w:val="center"/>
          </w:tcPr>
          <w:p w:rsidR="00A54605" w:rsidRDefault="00314AEC">
            <w:pPr>
              <w:jc w:val="center"/>
            </w:pPr>
            <w:r>
              <w:rPr>
                <w:rFonts w:asciiTheme="minorEastAsia" w:eastAsiaTheme="minorEastAsia" w:hAnsiTheme="minorEastAsia" w:cs="宋体"/>
                <w:color w:val="000000" w:themeColor="text1"/>
                <w:kern w:val="0"/>
              </w:rPr>
              <w:t>10</w:t>
            </w:r>
          </w:p>
        </w:tc>
        <w:tc>
          <w:tcPr>
            <w:tcW w:w="1276" w:type="dxa"/>
            <w:vAlign w:val="center"/>
          </w:tcPr>
          <w:p w:rsidR="00A54605" w:rsidRDefault="00314AEC">
            <w:pPr>
              <w:jc w:val="center"/>
            </w:pPr>
            <w:r>
              <w:rPr>
                <w:rFonts w:asciiTheme="minorEastAsia" w:eastAsiaTheme="minorEastAsia" w:hAnsiTheme="minorEastAsia" w:cs="宋体"/>
                <w:color w:val="000000" w:themeColor="text1"/>
                <w:kern w:val="0"/>
              </w:rPr>
              <w:t>002293</w:t>
            </w:r>
          </w:p>
        </w:tc>
        <w:tc>
          <w:tcPr>
            <w:tcW w:w="1701" w:type="dxa"/>
            <w:vAlign w:val="center"/>
          </w:tcPr>
          <w:p w:rsidR="00A54605" w:rsidRDefault="00314AEC">
            <w:pPr>
              <w:jc w:val="center"/>
            </w:pPr>
            <w:r>
              <w:rPr>
                <w:rFonts w:asciiTheme="minorEastAsia" w:eastAsiaTheme="minorEastAsia" w:hAnsiTheme="minorEastAsia" w:cs="宋体"/>
                <w:color w:val="000000" w:themeColor="text1"/>
                <w:kern w:val="0"/>
              </w:rPr>
              <w:t>罗莱生活</w:t>
            </w:r>
          </w:p>
        </w:tc>
        <w:tc>
          <w:tcPr>
            <w:tcW w:w="1276" w:type="dxa"/>
            <w:vAlign w:val="center"/>
          </w:tcPr>
          <w:p w:rsidR="00A54605" w:rsidRDefault="00314AEC">
            <w:pPr>
              <w:jc w:val="right"/>
            </w:pPr>
            <w:r>
              <w:rPr>
                <w:rFonts w:asciiTheme="minorEastAsia" w:eastAsiaTheme="minorEastAsia" w:hAnsiTheme="minorEastAsia" w:cs="宋体"/>
                <w:color w:val="000000" w:themeColor="text1"/>
                <w:kern w:val="0"/>
              </w:rPr>
              <w:t>2,672,313</w:t>
            </w:r>
          </w:p>
        </w:tc>
        <w:tc>
          <w:tcPr>
            <w:tcW w:w="1842" w:type="dxa"/>
            <w:vAlign w:val="center"/>
          </w:tcPr>
          <w:p w:rsidR="00A54605" w:rsidRDefault="00314AEC">
            <w:pPr>
              <w:jc w:val="right"/>
            </w:pPr>
            <w:r>
              <w:rPr>
                <w:rFonts w:asciiTheme="minorEastAsia" w:eastAsiaTheme="minorEastAsia" w:hAnsiTheme="minorEastAsia" w:cs="宋体"/>
                <w:color w:val="000000" w:themeColor="text1"/>
                <w:kern w:val="0"/>
              </w:rPr>
              <w:t>36,156,394.89</w:t>
            </w:r>
          </w:p>
        </w:tc>
        <w:tc>
          <w:tcPr>
            <w:tcW w:w="1616" w:type="dxa"/>
            <w:vAlign w:val="center"/>
          </w:tcPr>
          <w:p w:rsidR="00A54605" w:rsidRDefault="00314AEC">
            <w:pPr>
              <w:jc w:val="right"/>
            </w:pPr>
            <w:r>
              <w:rPr>
                <w:rFonts w:asciiTheme="minorEastAsia" w:eastAsiaTheme="minorEastAsia" w:hAnsiTheme="minorEastAsia" w:cs="宋体"/>
                <w:color w:val="000000" w:themeColor="text1"/>
                <w:kern w:val="0"/>
              </w:rPr>
              <w:t>2.12</w:t>
            </w:r>
          </w:p>
        </w:tc>
      </w:tr>
    </w:tbl>
    <w:p w:rsidR="00D06738" w:rsidRDefault="00D06738">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5.4 </w:t>
      </w:r>
      <w:r>
        <w:rPr>
          <w:rFonts w:asciiTheme="minorEastAsia" w:eastAsiaTheme="minorEastAsia" w:hAnsiTheme="minorEastAsia" w:hint="eastAsia"/>
          <w:b/>
          <w:bCs/>
          <w:color w:val="000000" w:themeColor="text1"/>
          <w:kern w:val="0"/>
          <w:sz w:val="24"/>
          <w:szCs w:val="24"/>
        </w:rPr>
        <w:t>报告期末按债券品种分类的债券投资组合</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5.5 </w:t>
      </w:r>
      <w:r>
        <w:rPr>
          <w:rFonts w:asciiTheme="minorEastAsia" w:eastAsiaTheme="minorEastAsia" w:hAnsiTheme="minorEastAsia" w:hint="eastAsia"/>
          <w:b/>
          <w:bCs/>
          <w:color w:val="000000" w:themeColor="text1"/>
          <w:kern w:val="0"/>
          <w:sz w:val="24"/>
          <w:szCs w:val="24"/>
        </w:rPr>
        <w:t>报告期末按公允价值占基金资产净值比例大小排序的前五名债券投资明细</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D06738" w:rsidRDefault="00D06738">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5.6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报告期末按公允价值占基金资产净值比例大小排序的前十名资产支持证券投资明细</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本基金本报告期末未持有资产支持证券。</w:t>
      </w: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5.7 报告期末按公允价值占基金资产净值比例大小排序的前五名贵金属投资明细</w:t>
      </w:r>
    </w:p>
    <w:p w:rsidR="00D06738" w:rsidRDefault="00454D20">
      <w:pPr>
        <w:widowControl/>
        <w:spacing w:line="360" w:lineRule="auto"/>
        <w:jc w:val="left"/>
        <w:rPr>
          <w:rFonts w:ascii="宋体" w:hAnsi="宋体"/>
          <w:color w:val="000000" w:themeColor="text1"/>
        </w:rPr>
      </w:pPr>
      <w:r>
        <w:rPr>
          <w:rFonts w:ascii="宋体" w:hAnsi="宋体"/>
          <w:color w:val="000000" w:themeColor="text1"/>
        </w:rPr>
        <w:t>本基金本报告期末未持有贵金属。</w:t>
      </w: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5.8</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报告期末按公允价值占基金资产净值比例大小排序的前五名权证投资明细</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本基金本报告期末未持有权证。</w:t>
      </w: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5.9 报告期末本基金投资的股指期货交易情况说明</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本基金本报告期末未持有股指期货。</w:t>
      </w:r>
    </w:p>
    <w:p w:rsidR="00D06738" w:rsidRDefault="00D06738">
      <w:pPr>
        <w:adjustRightInd w:val="0"/>
        <w:snapToGrid w:val="0"/>
        <w:spacing w:line="360" w:lineRule="exact"/>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5.10报告期末本基金投资的国债期货交易情况说明</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本基金本报告期末未持有国债期货。</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投资组合报告附注</w:t>
      </w: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w:t>
      </w:r>
      <w:r>
        <w:rPr>
          <w:rFonts w:asciiTheme="minorEastAsia" w:eastAsiaTheme="minorEastAsia" w:hAnsiTheme="minorEastAsia"/>
          <w:color w:val="000000" w:themeColor="text1"/>
          <w:sz w:val="24"/>
          <w:szCs w:val="24"/>
        </w:rPr>
        <w:t>报告期内本基金投资的前十名证券的发行主体本期没有出现被监管部门立案调查，或在报告编制日前一年内受到公开谴责、处罚的情形。</w:t>
      </w: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2</w:t>
      </w:r>
      <w:r>
        <w:rPr>
          <w:rFonts w:asciiTheme="minorEastAsia" w:eastAsiaTheme="minorEastAsia" w:hAnsiTheme="minorEastAsia"/>
          <w:color w:val="000000" w:themeColor="text1"/>
          <w:sz w:val="24"/>
          <w:szCs w:val="24"/>
        </w:rPr>
        <w:t>报告期内本基金投资的前十名股票中没有在基金合同规定备选股票库之外的股票。</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D06738">
        <w:tc>
          <w:tcPr>
            <w:tcW w:w="1235"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序号</w:t>
            </w:r>
          </w:p>
        </w:tc>
        <w:tc>
          <w:tcPr>
            <w:tcW w:w="2470"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名称</w:t>
            </w:r>
          </w:p>
        </w:tc>
        <w:tc>
          <w:tcPr>
            <w:tcW w:w="4808"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金额(元)</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存出保证金</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787,836.01</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应收证券清算款</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10,170,304.44</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应收股利</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应收利息</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24,266.47</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应收申购款</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11,023,488.69</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lastRenderedPageBreak/>
              <w:t>6</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其他应收款</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7</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待摊费用</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8</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9</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22,005,895.61</w:t>
            </w:r>
          </w:p>
        </w:tc>
      </w:tr>
    </w:tbl>
    <w:p w:rsidR="00D06738" w:rsidRDefault="00D06738">
      <w:pPr>
        <w:autoSpaceDE w:val="0"/>
        <w:autoSpaceDN w:val="0"/>
        <w:adjustRightInd w:val="0"/>
        <w:spacing w:line="360" w:lineRule="auto"/>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4报告期末持有的处于转股期的可转换债券明细</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本基金本报告期末未持有处于转股期的可转换债券。</w:t>
      </w:r>
    </w:p>
    <w:p w:rsidR="00D06738" w:rsidRDefault="00D06738">
      <w:pPr>
        <w:autoSpaceDE w:val="0"/>
        <w:autoSpaceDN w:val="0"/>
        <w:adjustRightInd w:val="0"/>
        <w:spacing w:line="360" w:lineRule="auto"/>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5报告期末前十名股票中存在流通受限情况的说明</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本基金本报告期末前十名股票中不存在流通受限情况。</w:t>
      </w:r>
    </w:p>
    <w:p w:rsidR="00D06738" w:rsidRDefault="00D06738">
      <w:pPr>
        <w:autoSpaceDE w:val="0"/>
        <w:autoSpaceDN w:val="0"/>
        <w:adjustRightInd w:val="0"/>
        <w:spacing w:line="360" w:lineRule="auto"/>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6投资组合报告附注的其他文字描述部分</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因四舍五入原因，投资组合报告中分项之和与合计可能存在尾差。</w:t>
      </w:r>
    </w:p>
    <w:p w:rsidR="00D06738" w:rsidRDefault="00454D20">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6  </w:t>
      </w:r>
      <w:r>
        <w:rPr>
          <w:rFonts w:asciiTheme="minorEastAsia" w:eastAsiaTheme="minorEastAsia" w:hAnsiTheme="minorEastAsia" w:hint="eastAsia"/>
          <w:color w:val="000000" w:themeColor="text1"/>
          <w:kern w:val="0"/>
          <w:sz w:val="24"/>
          <w:szCs w:val="24"/>
        </w:rPr>
        <w:t>开放式基金份额变动</w:t>
      </w:r>
    </w:p>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cs="宋体" w:hint="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D06738">
        <w:tc>
          <w:tcPr>
            <w:tcW w:w="4609"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656,129,851.91</w:t>
            </w:r>
          </w:p>
        </w:tc>
      </w:tr>
      <w:tr w:rsidR="00D06738">
        <w:tc>
          <w:tcPr>
            <w:tcW w:w="4609"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报告期期间</w:t>
            </w:r>
            <w:r>
              <w:rPr>
                <w:rFonts w:asciiTheme="minorEastAsia" w:eastAsiaTheme="minorEastAsia" w:hAnsiTheme="minorEastAsia" w:cs="宋体" w:hint="eastAsia"/>
                <w:color w:val="000000" w:themeColor="text1"/>
                <w:kern w:val="0"/>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127,833,448.30</w:t>
            </w:r>
          </w:p>
        </w:tc>
      </w:tr>
      <w:tr w:rsidR="00D06738">
        <w:tc>
          <w:tcPr>
            <w:tcW w:w="4609"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减：</w:t>
            </w:r>
            <w:r>
              <w:rPr>
                <w:rFonts w:asciiTheme="minorEastAsia" w:eastAsiaTheme="minorEastAsia" w:hAnsiTheme="minorEastAsia" w:cs="宋体"/>
                <w:color w:val="000000" w:themeColor="text1"/>
                <w:kern w:val="0"/>
              </w:rPr>
              <w:t>报告期期间</w:t>
            </w:r>
            <w:r>
              <w:rPr>
                <w:rFonts w:asciiTheme="minorEastAsia" w:eastAsiaTheme="minorEastAsia" w:hAnsiTheme="minorEastAsia" w:cs="宋体" w:hint="eastAsia"/>
                <w:color w:val="000000" w:themeColor="text1"/>
                <w:kern w:val="0"/>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186,254,164.84</w:t>
            </w:r>
          </w:p>
        </w:tc>
      </w:tr>
      <w:tr w:rsidR="00D06738">
        <w:tc>
          <w:tcPr>
            <w:tcW w:w="4609"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报告期期间</w:t>
            </w:r>
            <w:r>
              <w:rPr>
                <w:rFonts w:asciiTheme="minorEastAsia" w:eastAsiaTheme="minorEastAsia" w:hAnsiTheme="minorEastAsia" w:cs="宋体" w:hint="eastAsia"/>
                <w:color w:val="000000" w:themeColor="text1"/>
                <w:kern w:val="0"/>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w:t>
            </w:r>
          </w:p>
        </w:tc>
      </w:tr>
      <w:tr w:rsidR="00D06738">
        <w:tc>
          <w:tcPr>
            <w:tcW w:w="4609"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597,709,135.37</w:t>
            </w:r>
          </w:p>
        </w:tc>
      </w:tr>
    </w:tbl>
    <w:p w:rsidR="00D06738" w:rsidRDefault="00454D20">
      <w:pPr>
        <w:pStyle w:val="1"/>
        <w:tabs>
          <w:tab w:val="center" w:pos="4156"/>
          <w:tab w:val="right" w:pos="8312"/>
        </w:tabs>
        <w:spacing w:beforeLines="100" w:before="312" w:afterLines="100" w:after="312" w:line="360" w:lineRule="auto"/>
        <w:jc w:val="center"/>
        <w:rPr>
          <w:rFonts w:ascii="方正仿宋简体"/>
          <w:color w:val="000000" w:themeColor="text1"/>
          <w:sz w:val="24"/>
          <w:szCs w:val="24"/>
        </w:rPr>
      </w:pPr>
      <w:r>
        <w:rPr>
          <w:rFonts w:asciiTheme="minorEastAsia" w:eastAsiaTheme="minorEastAsia" w:hAnsiTheme="minorEastAsia" w:cs="Arial" w:hint="eastAsia"/>
          <w:color w:val="000000" w:themeColor="text1"/>
          <w:kern w:val="0"/>
          <w:sz w:val="24"/>
          <w:szCs w:val="24"/>
        </w:rPr>
        <w:t xml:space="preserve">§7  </w:t>
      </w:r>
      <w:r>
        <w:rPr>
          <w:rFonts w:ascii="方正仿宋简体" w:hint="eastAsia"/>
          <w:color w:val="000000" w:themeColor="text1"/>
          <w:sz w:val="24"/>
          <w:szCs w:val="24"/>
        </w:rPr>
        <w:t>基金管理人运用固有资金投资本基金情况</w:t>
      </w:r>
    </w:p>
    <w:p w:rsidR="00D06738" w:rsidRDefault="00454D20">
      <w:pPr>
        <w:spacing w:line="360" w:lineRule="auto"/>
        <w:jc w:val="left"/>
        <w:rPr>
          <w:color w:val="000000" w:themeColor="text1"/>
          <w:sz w:val="24"/>
          <w:szCs w:val="24"/>
        </w:rPr>
      </w:pPr>
      <w:r>
        <w:rPr>
          <w:b/>
          <w:color w:val="000000" w:themeColor="text1"/>
          <w:sz w:val="24"/>
        </w:rPr>
        <w:t xml:space="preserve">7.1 </w:t>
      </w:r>
      <w:r>
        <w:rPr>
          <w:rFonts w:hint="eastAsia"/>
          <w:b/>
          <w:color w:val="000000" w:themeColor="text1"/>
          <w:sz w:val="24"/>
        </w:rPr>
        <w:t>基金管理人持有本基金份额变动情况</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s="宋体"/>
          <w:color w:val="000000" w:themeColor="text1"/>
          <w:kern w:val="0"/>
        </w:rPr>
        <w:t>无。</w:t>
      </w:r>
    </w:p>
    <w:p w:rsidR="00D06738" w:rsidRDefault="00D06738">
      <w:pPr>
        <w:autoSpaceDE w:val="0"/>
        <w:autoSpaceDN w:val="0"/>
        <w:adjustRightInd w:val="0"/>
        <w:spacing w:line="360" w:lineRule="auto"/>
        <w:jc w:val="left"/>
        <w:rPr>
          <w:rFonts w:asciiTheme="minorEastAsia" w:eastAsiaTheme="minorEastAsia" w:hAnsiTheme="minorEastAsia" w:cs="宋体"/>
          <w:color w:val="000000" w:themeColor="text1"/>
          <w:kern w:val="0"/>
          <w:sz w:val="24"/>
        </w:rPr>
      </w:pPr>
    </w:p>
    <w:p w:rsidR="00D06738" w:rsidRDefault="00454D20">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§8</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备查文件目录</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备查文件目录</w:t>
      </w:r>
    </w:p>
    <w:p w:rsidR="00A54605" w:rsidRDefault="00314AE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中国证监会批准上投摩根核心成长股票型证券投资基金设立的文件；</w:t>
      </w:r>
    </w:p>
    <w:p w:rsidR="00A54605" w:rsidRDefault="00314AE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2. </w:t>
      </w:r>
      <w:r>
        <w:rPr>
          <w:rFonts w:asciiTheme="minorEastAsia" w:eastAsiaTheme="minorEastAsia" w:hAnsiTheme="minorEastAsia" w:hint="eastAsia"/>
          <w:color w:val="000000" w:themeColor="text1"/>
        </w:rPr>
        <w:t>《上投摩根核心成长股票型证券投资基金基金合同》；</w:t>
      </w:r>
    </w:p>
    <w:p w:rsidR="00A54605" w:rsidRDefault="00314AE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3. </w:t>
      </w:r>
      <w:r>
        <w:rPr>
          <w:rFonts w:asciiTheme="minorEastAsia" w:eastAsiaTheme="minorEastAsia" w:hAnsiTheme="minorEastAsia" w:hint="eastAsia"/>
          <w:color w:val="000000" w:themeColor="text1"/>
        </w:rPr>
        <w:t>《上投摩根核心成长股票型证券投资基金基金托管协议》；</w:t>
      </w:r>
    </w:p>
    <w:p w:rsidR="00A54605" w:rsidRDefault="00314AE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4. </w:t>
      </w:r>
      <w:r>
        <w:rPr>
          <w:rFonts w:asciiTheme="minorEastAsia" w:eastAsiaTheme="minorEastAsia" w:hAnsiTheme="minorEastAsia" w:hint="eastAsia"/>
          <w:color w:val="000000" w:themeColor="text1"/>
        </w:rPr>
        <w:t>《上投摩根基金管理有限公司开放式基金业务规则》；</w:t>
      </w:r>
    </w:p>
    <w:p w:rsidR="00A54605" w:rsidRDefault="00314AE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5. </w:t>
      </w:r>
      <w:r>
        <w:rPr>
          <w:rFonts w:asciiTheme="minorEastAsia" w:eastAsiaTheme="minorEastAsia" w:hAnsiTheme="minorEastAsia" w:hint="eastAsia"/>
          <w:color w:val="000000" w:themeColor="text1"/>
        </w:rPr>
        <w:t>基金管理人业务资格批件、营业执照；</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6. 基金托管人业务资格批件和营业执照。</w:t>
      </w:r>
    </w:p>
    <w:p w:rsidR="00D06738" w:rsidRDefault="00D06738">
      <w:pPr>
        <w:spacing w:line="360" w:lineRule="auto"/>
        <w:ind w:firstLineChars="200" w:firstLine="480"/>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2</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存放地点</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基金管理人或基金托管人住所。</w:t>
      </w:r>
    </w:p>
    <w:p w:rsidR="00D06738" w:rsidRDefault="00D06738">
      <w:pPr>
        <w:spacing w:line="360" w:lineRule="auto"/>
        <w:ind w:firstLineChars="200" w:firstLine="480"/>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查阅方式</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投资者可在营业时间免费查阅，也可按工本费购买复印件。</w:t>
      </w: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454D20">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上投摩根基金管理有限公司</w:t>
      </w:r>
    </w:p>
    <w:p w:rsidR="00D06738" w:rsidRDefault="00454D20">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二〇二一年四月二十二日</w:t>
      </w:r>
    </w:p>
    <w:p w:rsidR="00D06738" w:rsidRDefault="00D06738">
      <w:pPr>
        <w:spacing w:line="360" w:lineRule="auto"/>
        <w:ind w:left="840"/>
        <w:jc w:val="right"/>
        <w:rPr>
          <w:rFonts w:asciiTheme="minorEastAsia" w:eastAsiaTheme="minorEastAsia" w:hAnsiTheme="minorEastAsia"/>
          <w:b/>
          <w:bCs/>
          <w:color w:val="000000" w:themeColor="text1"/>
          <w:sz w:val="24"/>
          <w:szCs w:val="24"/>
        </w:rPr>
      </w:pPr>
    </w:p>
    <w:p w:rsidR="00D06738" w:rsidRDefault="00D06738">
      <w:pPr>
        <w:rPr>
          <w:rFonts w:asciiTheme="minorEastAsia" w:eastAsiaTheme="minorEastAsia" w:hAnsiTheme="minorEastAsia"/>
          <w:color w:val="000000" w:themeColor="text1"/>
          <w:sz w:val="24"/>
          <w:szCs w:val="24"/>
        </w:rPr>
      </w:pPr>
    </w:p>
    <w:sectPr w:rsidR="00D06738">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FDA" w:rsidRDefault="003A7FDA">
      <w:r>
        <w:separator/>
      </w:r>
    </w:p>
  </w:endnote>
  <w:endnote w:type="continuationSeparator" w:id="0">
    <w:p w:rsidR="003A7FDA" w:rsidRDefault="003A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314AEC" w:rsidRPr="00314AEC">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314AEC">
      <w:rPr>
        <w:rStyle w:val="aff"/>
        <w:noProof/>
      </w:rPr>
      <w:t>2</w:t>
    </w:r>
    <w:r>
      <w:rPr>
        <w:rStyle w:val="aff"/>
      </w:rPr>
      <w:fldChar w:fldCharType="end"/>
    </w:r>
  </w:p>
  <w:p w:rsidR="00454D20" w:rsidRDefault="00454D2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FDA" w:rsidRDefault="003A7FDA">
      <w:r>
        <w:separator/>
      </w:r>
    </w:p>
  </w:footnote>
  <w:footnote w:type="continuationSeparator" w:id="0">
    <w:p w:rsidR="003A7FDA" w:rsidRDefault="003A7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6"/>
      <w:pBdr>
        <w:bottom w:val="single" w:sz="6" w:space="0" w:color="auto"/>
      </w:pBdr>
      <w:jc w:val="right"/>
    </w:pPr>
    <w:r>
      <w:rPr>
        <w:rFonts w:hint="eastAsia"/>
      </w:rPr>
      <w:t>上投摩根核心成长股票型证券投资基金</w:t>
    </w:r>
    <w:r>
      <w:rPr>
        <w:rFonts w:hint="eastAsia"/>
      </w:rPr>
      <w:t>2021</w:t>
    </w:r>
    <w:r>
      <w:rPr>
        <w:rFonts w:hint="eastAsia"/>
      </w:rPr>
      <w:t>年第</w:t>
    </w:r>
    <w:r>
      <w:rPr>
        <w:rFonts w:hint="eastAsia"/>
      </w:rPr>
      <w:t>1</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4AEC"/>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4605"/>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uiPriority w:val="9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表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CE925D-BB88-4B98-805B-52324541A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1000</Words>
  <Characters>5705</Characters>
  <Application>Microsoft Office Word</Application>
  <DocSecurity>0</DocSecurity>
  <Lines>47</Lines>
  <Paragraphs>13</Paragraphs>
  <ScaleCrop>false</ScaleCrop>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Wenyu.Qiu@FA</cp:lastModifiedBy>
  <cp:revision>267</cp:revision>
  <dcterms:created xsi:type="dcterms:W3CDTF">2012-10-16T06:07:00Z</dcterms:created>
  <dcterms:modified xsi:type="dcterms:W3CDTF">2021-04-21T02:50:00Z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