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上投摩根民生需求股票型证券投资基金</w:t>
      </w:r>
    </w:p>
    <w:p w:rsidR="00B44B8D" w:rsidRDefault="000136E5">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B44B8D" w:rsidRDefault="000136E5">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jc w:val="center"/>
        <w:rPr>
          <w:rFonts w:asciiTheme="minorEastAsia" w:eastAsiaTheme="minorEastAsia" w:hAnsiTheme="minorEastAsia"/>
          <w:b/>
          <w:bCs/>
          <w:color w:val="000000" w:themeColor="text1"/>
          <w:sz w:val="24"/>
          <w:szCs w:val="24"/>
        </w:rPr>
      </w:pPr>
    </w:p>
    <w:p w:rsidR="00B44B8D" w:rsidRDefault="00B44B8D">
      <w:pPr>
        <w:spacing w:line="360" w:lineRule="auto"/>
        <w:rPr>
          <w:rFonts w:asciiTheme="minorEastAsia" w:eastAsiaTheme="minorEastAsia" w:hAnsiTheme="minorEastAsia"/>
          <w:b/>
          <w:bCs/>
          <w:color w:val="000000" w:themeColor="text1"/>
          <w:sz w:val="24"/>
          <w:szCs w:val="24"/>
        </w:rPr>
      </w:pPr>
    </w:p>
    <w:p w:rsidR="00B44B8D" w:rsidRDefault="000136E5">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B44B8D" w:rsidRDefault="000136E5">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B44B8D" w:rsidRDefault="000136E5">
      <w:pPr>
        <w:spacing w:line="360" w:lineRule="auto"/>
        <w:ind w:firstLineChars="900" w:firstLine="2168"/>
        <w:rPr>
          <w:rFonts w:asciiTheme="minorEastAsia" w:eastAsiaTheme="minorEastAsia" w:hAnsiTheme="minorEastAsia"/>
          <w:b/>
          <w:color w:val="000000" w:themeColor="text1"/>
          <w:sz w:val="24"/>
          <w:szCs w:val="24"/>
        </w:rPr>
        <w:sectPr w:rsidR="00B44B8D">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B44B8D" w:rsidRDefault="000136E5">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基金托管人中国建设银行股份有限公司根据本基金合同规定，于2020年1月17日复核了本报告中的财务指标、净值表现和投资组合报告等内容，保证复核内容不存在虚假记载、误导性陈述或者重大遗漏。 </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B44B8D" w:rsidRDefault="000136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上投摩根民生需求股票</w:t>
            </w:r>
          </w:p>
        </w:tc>
      </w:tr>
      <w:tr w:rsidR="00B44B8D">
        <w:tc>
          <w:tcPr>
            <w:tcW w:w="2835" w:type="dxa"/>
            <w:tcBorders>
              <w:top w:val="single" w:sz="4" w:space="0" w:color="auto"/>
              <w:left w:val="single" w:sz="4" w:space="0" w:color="auto"/>
              <w:bottom w:val="single" w:sz="4" w:space="0" w:color="auto"/>
              <w:right w:val="single" w:sz="4" w:space="0" w:color="auto"/>
            </w:tcBorders>
            <w:vAlign w:val="center"/>
          </w:tcPr>
          <w:p w:rsidR="00B44B8D" w:rsidRDefault="000136E5">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000524</w:t>
            </w:r>
          </w:p>
        </w:tc>
      </w:tr>
      <w:tr w:rsidR="00B44B8D">
        <w:tc>
          <w:tcPr>
            <w:tcW w:w="2835" w:type="dxa"/>
            <w:tcBorders>
              <w:top w:val="single" w:sz="4" w:space="0" w:color="auto"/>
              <w:left w:val="single" w:sz="4" w:space="0" w:color="auto"/>
              <w:bottom w:val="single" w:sz="4" w:space="0" w:color="auto"/>
              <w:right w:val="single" w:sz="4" w:space="0" w:color="auto"/>
            </w:tcBorders>
            <w:vAlign w:val="center"/>
          </w:tcPr>
          <w:p w:rsidR="00B44B8D" w:rsidRDefault="000136E5">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000524</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2014年3月14日</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B44B8D" w:rsidRDefault="00C64CE7">
            <w:pPr>
              <w:adjustRightInd w:val="0"/>
              <w:spacing w:before="29" w:line="360" w:lineRule="auto"/>
              <w:ind w:left="17"/>
              <w:rPr>
                <w:rFonts w:asciiTheme="minorEastAsia" w:eastAsiaTheme="minorEastAsia" w:hAnsiTheme="minorEastAsia"/>
                <w:color w:val="000000" w:themeColor="text1"/>
              </w:rPr>
            </w:pPr>
            <w:r w:rsidRPr="00C64CE7">
              <w:rPr>
                <w:rFonts w:asciiTheme="minorEastAsia" w:eastAsiaTheme="minorEastAsia" w:hAnsiTheme="minorEastAsia"/>
                <w:color w:val="000000" w:themeColor="text1"/>
                <w:kern w:val="0"/>
              </w:rPr>
              <w:t>120</w:t>
            </w:r>
            <w:r>
              <w:rPr>
                <w:rFonts w:asciiTheme="minorEastAsia" w:eastAsiaTheme="minorEastAsia" w:hAnsiTheme="minorEastAsia"/>
                <w:color w:val="000000" w:themeColor="text1"/>
                <w:kern w:val="0"/>
              </w:rPr>
              <w:t>,</w:t>
            </w:r>
            <w:r w:rsidRPr="00C64CE7">
              <w:rPr>
                <w:rFonts w:asciiTheme="minorEastAsia" w:eastAsiaTheme="minorEastAsia" w:hAnsiTheme="minorEastAsia"/>
                <w:color w:val="000000" w:themeColor="text1"/>
                <w:kern w:val="0"/>
              </w:rPr>
              <w:t>901</w:t>
            </w:r>
            <w:r>
              <w:rPr>
                <w:rFonts w:asciiTheme="minorEastAsia" w:eastAsiaTheme="minorEastAsia" w:hAnsiTheme="minorEastAsia" w:hint="eastAsia"/>
                <w:color w:val="000000" w:themeColor="text1"/>
                <w:kern w:val="0"/>
              </w:rPr>
              <w:t>,</w:t>
            </w:r>
            <w:r w:rsidRPr="00C64CE7">
              <w:rPr>
                <w:rFonts w:asciiTheme="minorEastAsia" w:eastAsiaTheme="minorEastAsia" w:hAnsiTheme="minorEastAsia"/>
                <w:color w:val="000000" w:themeColor="text1"/>
                <w:kern w:val="0"/>
              </w:rPr>
              <w:t>667.61</w:t>
            </w:r>
            <w:r w:rsidR="000136E5">
              <w:rPr>
                <w:rFonts w:asciiTheme="minorEastAsia" w:eastAsiaTheme="minorEastAsia" w:hAnsiTheme="minorEastAsia" w:hint="eastAsia"/>
                <w:color w:val="000000" w:themeColor="text1"/>
                <w:kern w:val="0"/>
              </w:rPr>
              <w:t>份</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本基金主要投资于民生需求相关行业的上市公司，分享中国经济增长模式转变带来的民生需求行业的投资机会，在控制风险的前提下力争实现基金资产的稳定增值。</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重点投资于与民生相关行业的上市公司，将不低于80%的非现金基金资产投资于民生需求相关行业，分享中国经济增长模式转变带来的投资机会。在行业配置层面，本基金将从行业生命周</w:t>
            </w:r>
            <w:r>
              <w:rPr>
                <w:rFonts w:asciiTheme="minorEastAsia" w:eastAsiaTheme="minorEastAsia" w:hAnsiTheme="minorEastAsia"/>
                <w:color w:val="000000" w:themeColor="text1"/>
                <w:kern w:val="0"/>
              </w:rPr>
              <w:lastRenderedPageBreak/>
              <w:t>期、行业景气度、行业竞争格局等多角度，综合评估各个行业的投资价值，对基金资产在行业间分配进行安排。在个股选择层面，本基金将主要采用“自下而上”的方法，在备选行业内部通过定量与定性相结合的分析方法，综合分析上市公司的业绩质量、成长性和估值水平等各方面信息，精选具有良好成长性、估值合理的个股。</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沪深300指数收益率×85%+中债总指数收益率×15%</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B44B8D">
        <w:tc>
          <w:tcPr>
            <w:tcW w:w="2835"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B44B8D" w:rsidRDefault="000136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0136E5" w:rsidTr="000136E5">
        <w:tc>
          <w:tcPr>
            <w:tcW w:w="3402" w:type="dxa"/>
            <w:vAlign w:val="center"/>
          </w:tcPr>
          <w:p w:rsidR="00B44B8D" w:rsidRDefault="000136E5">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B44B8D" w:rsidRDefault="000136E5">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B44B8D" w:rsidRDefault="000136E5">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0136E5" w:rsidTr="000136E5">
        <w:tc>
          <w:tcPr>
            <w:tcW w:w="3402"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B44B8D" w:rsidRDefault="000136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16,650,405.18</w:t>
            </w:r>
          </w:p>
        </w:tc>
      </w:tr>
      <w:tr w:rsidR="000136E5" w:rsidTr="000136E5">
        <w:tc>
          <w:tcPr>
            <w:tcW w:w="3402"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B44B8D" w:rsidRDefault="000136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20,600,919.85</w:t>
            </w:r>
          </w:p>
        </w:tc>
      </w:tr>
      <w:tr w:rsidR="000136E5" w:rsidTr="000136E5">
        <w:tc>
          <w:tcPr>
            <w:tcW w:w="3402"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B44B8D" w:rsidRDefault="000136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0.1613</w:t>
            </w:r>
          </w:p>
        </w:tc>
      </w:tr>
      <w:tr w:rsidR="000136E5" w:rsidTr="000136E5">
        <w:tc>
          <w:tcPr>
            <w:tcW w:w="3402"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B44B8D" w:rsidRDefault="000136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205,747,020.82</w:t>
            </w:r>
          </w:p>
        </w:tc>
      </w:tr>
      <w:tr w:rsidR="000136E5" w:rsidTr="000136E5">
        <w:trPr>
          <w:trHeight w:val="158"/>
        </w:trPr>
        <w:tc>
          <w:tcPr>
            <w:tcW w:w="3402" w:type="dxa"/>
            <w:vAlign w:val="center"/>
          </w:tcPr>
          <w:p w:rsidR="00B44B8D" w:rsidRDefault="000136E5">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B44B8D" w:rsidRDefault="000136E5">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1.702</w:t>
            </w:r>
          </w:p>
        </w:tc>
      </w:tr>
    </w:tbl>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B44B8D" w:rsidRDefault="000136E5">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B44B8D">
        <w:tc>
          <w:tcPr>
            <w:tcW w:w="1395"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B44B8D">
        <w:tc>
          <w:tcPr>
            <w:tcW w:w="1395" w:type="dxa"/>
            <w:vAlign w:val="center"/>
          </w:tcPr>
          <w:p w:rsidR="00B44B8D" w:rsidRDefault="000136E5">
            <w:pPr>
              <w:jc w:val="left"/>
            </w:pPr>
            <w:r>
              <w:rPr>
                <w:rFonts w:asciiTheme="minorEastAsia" w:eastAsiaTheme="minorEastAsia" w:hAnsiTheme="minorEastAsia"/>
                <w:color w:val="000000" w:themeColor="text1"/>
                <w:kern w:val="0"/>
              </w:rPr>
              <w:t>过去三个月</w:t>
            </w:r>
          </w:p>
        </w:tc>
        <w:tc>
          <w:tcPr>
            <w:tcW w:w="1092" w:type="dxa"/>
            <w:vAlign w:val="center"/>
          </w:tcPr>
          <w:p w:rsidR="00B44B8D" w:rsidRDefault="000136E5">
            <w:pPr>
              <w:jc w:val="center"/>
            </w:pPr>
            <w:r>
              <w:rPr>
                <w:rFonts w:asciiTheme="minorEastAsia" w:eastAsiaTheme="minorEastAsia" w:hAnsiTheme="minorEastAsia"/>
                <w:color w:val="000000" w:themeColor="text1"/>
                <w:kern w:val="0"/>
              </w:rPr>
              <w:t>10.38%</w:t>
            </w:r>
          </w:p>
        </w:tc>
        <w:tc>
          <w:tcPr>
            <w:tcW w:w="1161" w:type="dxa"/>
            <w:vAlign w:val="center"/>
          </w:tcPr>
          <w:p w:rsidR="00B44B8D" w:rsidRDefault="000136E5">
            <w:pPr>
              <w:jc w:val="center"/>
            </w:pPr>
            <w:r>
              <w:rPr>
                <w:rFonts w:asciiTheme="minorEastAsia" w:eastAsiaTheme="minorEastAsia" w:hAnsiTheme="minorEastAsia"/>
                <w:color w:val="000000" w:themeColor="text1"/>
                <w:kern w:val="0"/>
              </w:rPr>
              <w:t>1.12%</w:t>
            </w:r>
          </w:p>
        </w:tc>
        <w:tc>
          <w:tcPr>
            <w:tcW w:w="1181" w:type="dxa"/>
            <w:vAlign w:val="center"/>
          </w:tcPr>
          <w:p w:rsidR="00B44B8D" w:rsidRDefault="000136E5">
            <w:pPr>
              <w:jc w:val="center"/>
            </w:pPr>
            <w:r>
              <w:rPr>
                <w:rFonts w:asciiTheme="minorEastAsia" w:eastAsiaTheme="minorEastAsia" w:hAnsiTheme="minorEastAsia"/>
                <w:color w:val="000000" w:themeColor="text1"/>
                <w:kern w:val="0"/>
              </w:rPr>
              <w:t>6.41%</w:t>
            </w:r>
          </w:p>
        </w:tc>
        <w:tc>
          <w:tcPr>
            <w:tcW w:w="1188" w:type="dxa"/>
            <w:vAlign w:val="center"/>
          </w:tcPr>
          <w:p w:rsidR="00B44B8D" w:rsidRDefault="000136E5">
            <w:pPr>
              <w:jc w:val="center"/>
            </w:pPr>
            <w:r>
              <w:rPr>
                <w:rFonts w:asciiTheme="minorEastAsia" w:eastAsiaTheme="minorEastAsia" w:hAnsiTheme="minorEastAsia"/>
                <w:color w:val="000000" w:themeColor="text1"/>
                <w:kern w:val="0"/>
              </w:rPr>
              <w:t>0.63%</w:t>
            </w:r>
          </w:p>
        </w:tc>
        <w:tc>
          <w:tcPr>
            <w:tcW w:w="1199" w:type="dxa"/>
            <w:vAlign w:val="center"/>
          </w:tcPr>
          <w:p w:rsidR="00B44B8D" w:rsidRDefault="000136E5">
            <w:pPr>
              <w:jc w:val="center"/>
            </w:pPr>
            <w:r>
              <w:rPr>
                <w:rFonts w:asciiTheme="minorEastAsia" w:eastAsiaTheme="minorEastAsia" w:hAnsiTheme="minorEastAsia"/>
                <w:color w:val="000000" w:themeColor="text1"/>
                <w:kern w:val="0"/>
              </w:rPr>
              <w:t>3.97%</w:t>
            </w:r>
          </w:p>
        </w:tc>
        <w:tc>
          <w:tcPr>
            <w:tcW w:w="1204" w:type="dxa"/>
            <w:vAlign w:val="center"/>
          </w:tcPr>
          <w:p w:rsidR="00B44B8D" w:rsidRDefault="000136E5">
            <w:pPr>
              <w:jc w:val="center"/>
            </w:pPr>
            <w:r>
              <w:rPr>
                <w:rFonts w:asciiTheme="minorEastAsia" w:eastAsiaTheme="minorEastAsia" w:hAnsiTheme="minorEastAsia"/>
                <w:color w:val="000000" w:themeColor="text1"/>
                <w:kern w:val="0"/>
              </w:rPr>
              <w:t>0.49%</w:t>
            </w:r>
          </w:p>
        </w:tc>
      </w:tr>
    </w:tbl>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B44B8D" w:rsidRDefault="000136E5">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上投摩根民生需求股票型证券投资基金</w:t>
      </w:r>
    </w:p>
    <w:p w:rsidR="00B44B8D" w:rsidRDefault="000136E5">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B44B8D" w:rsidRDefault="000136E5">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2014年3月14日</w:t>
      </w:r>
      <w:r>
        <w:rPr>
          <w:rFonts w:asciiTheme="minorEastAsia" w:eastAsiaTheme="minorEastAsia" w:hAnsiTheme="minorEastAsia" w:hint="eastAsia"/>
          <w:color w:val="000000" w:themeColor="text1"/>
        </w:rPr>
        <w:t>至2019年12月31日)</w:t>
      </w:r>
    </w:p>
    <w:p w:rsidR="00B44B8D" w:rsidRDefault="000136E5">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注：本基金合同生效日为2014年3月14日，图示时间段为2014年3月14日至2019年12月31日。</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本基金建仓期自2014年3月14日至2014年9月12日，建仓期结束时资产配置比例符合本基金基金合同规定。</w:t>
      </w:r>
    </w:p>
    <w:p w:rsidR="00B44B8D" w:rsidRDefault="00B44B8D">
      <w:pPr>
        <w:tabs>
          <w:tab w:val="left" w:pos="1800"/>
        </w:tabs>
        <w:spacing w:line="360" w:lineRule="auto"/>
        <w:rPr>
          <w:rFonts w:asciiTheme="minorEastAsia" w:eastAsiaTheme="minorEastAsia" w:hAnsiTheme="minorEastAsia"/>
          <w:color w:val="000000" w:themeColor="text1"/>
          <w:sz w:val="24"/>
          <w:szCs w:val="24"/>
        </w:rPr>
      </w:pPr>
    </w:p>
    <w:p w:rsidR="00B44B8D" w:rsidRDefault="000136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B44B8D">
        <w:trPr>
          <w:cantSplit/>
          <w:trHeight w:val="292"/>
        </w:trPr>
        <w:tc>
          <w:tcPr>
            <w:tcW w:w="851" w:type="dxa"/>
            <w:vMerge w:val="restart"/>
            <w:vAlign w:val="center"/>
          </w:tcPr>
          <w:p w:rsidR="00B44B8D" w:rsidRDefault="000136E5">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B44B8D" w:rsidRDefault="000136E5">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B44B8D" w:rsidRDefault="000136E5">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B44B8D">
        <w:trPr>
          <w:cantSplit/>
        </w:trPr>
        <w:tc>
          <w:tcPr>
            <w:tcW w:w="851" w:type="dxa"/>
            <w:vMerge/>
            <w:vAlign w:val="center"/>
          </w:tcPr>
          <w:p w:rsidR="00B44B8D" w:rsidRDefault="00B44B8D">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B44B8D" w:rsidRDefault="00B44B8D">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B44B8D" w:rsidRDefault="00B44B8D">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B44B8D" w:rsidRDefault="00B44B8D">
            <w:pPr>
              <w:widowControl/>
              <w:spacing w:line="360" w:lineRule="auto"/>
              <w:jc w:val="left"/>
              <w:rPr>
                <w:rFonts w:asciiTheme="minorEastAsia" w:eastAsiaTheme="minorEastAsia" w:hAnsiTheme="minorEastAsia"/>
                <w:color w:val="000000" w:themeColor="text1"/>
                <w:kern w:val="0"/>
              </w:rPr>
            </w:pPr>
          </w:p>
        </w:tc>
      </w:tr>
      <w:tr w:rsidR="00B44B8D">
        <w:tc>
          <w:tcPr>
            <w:tcW w:w="851" w:type="dxa"/>
            <w:vAlign w:val="center"/>
          </w:tcPr>
          <w:p w:rsidR="00B44B8D" w:rsidRDefault="000136E5">
            <w:pPr>
              <w:jc w:val="center"/>
            </w:pPr>
            <w:r>
              <w:rPr>
                <w:rFonts w:asciiTheme="minorEastAsia" w:eastAsiaTheme="minorEastAsia" w:hAnsiTheme="minorEastAsia"/>
                <w:color w:val="000000" w:themeColor="text1"/>
              </w:rPr>
              <w:t>杨景喻</w:t>
            </w:r>
          </w:p>
        </w:tc>
        <w:tc>
          <w:tcPr>
            <w:tcW w:w="850" w:type="dxa"/>
            <w:vAlign w:val="center"/>
          </w:tcPr>
          <w:p w:rsidR="00B44B8D" w:rsidRDefault="000136E5">
            <w:pPr>
              <w:jc w:val="center"/>
            </w:pPr>
            <w:r>
              <w:rPr>
                <w:rFonts w:asciiTheme="minorEastAsia" w:eastAsiaTheme="minorEastAsia" w:hAnsiTheme="minorEastAsia"/>
                <w:color w:val="000000" w:themeColor="text1"/>
              </w:rPr>
              <w:t>本基金基金经理</w:t>
            </w:r>
          </w:p>
        </w:tc>
        <w:tc>
          <w:tcPr>
            <w:tcW w:w="1560" w:type="dxa"/>
            <w:vAlign w:val="center"/>
          </w:tcPr>
          <w:p w:rsidR="00B44B8D" w:rsidRDefault="000136E5">
            <w:pPr>
              <w:jc w:val="center"/>
            </w:pPr>
            <w:r>
              <w:rPr>
                <w:rFonts w:asciiTheme="minorEastAsia" w:eastAsiaTheme="minorEastAsia" w:hAnsiTheme="minorEastAsia"/>
                <w:color w:val="000000" w:themeColor="text1"/>
              </w:rPr>
              <w:t>2019-04-26</w:t>
            </w:r>
          </w:p>
        </w:tc>
        <w:tc>
          <w:tcPr>
            <w:tcW w:w="1559" w:type="dxa"/>
            <w:vAlign w:val="center"/>
          </w:tcPr>
          <w:p w:rsidR="00B44B8D" w:rsidRDefault="000136E5">
            <w:pPr>
              <w:jc w:val="center"/>
            </w:pPr>
            <w:r>
              <w:rPr>
                <w:rFonts w:asciiTheme="minorEastAsia" w:eastAsiaTheme="minorEastAsia" w:hAnsiTheme="minorEastAsia"/>
                <w:color w:val="000000" w:themeColor="text1"/>
              </w:rPr>
              <w:t>-</w:t>
            </w:r>
          </w:p>
        </w:tc>
        <w:tc>
          <w:tcPr>
            <w:tcW w:w="1417" w:type="dxa"/>
            <w:vAlign w:val="center"/>
          </w:tcPr>
          <w:p w:rsidR="00B44B8D" w:rsidRDefault="000136E5">
            <w:pPr>
              <w:jc w:val="center"/>
            </w:pPr>
            <w:r>
              <w:rPr>
                <w:rFonts w:asciiTheme="minorEastAsia" w:eastAsiaTheme="minorEastAsia" w:hAnsiTheme="minorEastAsia"/>
                <w:color w:val="000000" w:themeColor="text1"/>
              </w:rPr>
              <w:t>11年</w:t>
            </w:r>
          </w:p>
        </w:tc>
        <w:tc>
          <w:tcPr>
            <w:tcW w:w="2694" w:type="dxa"/>
            <w:vAlign w:val="center"/>
          </w:tcPr>
          <w:p w:rsidR="00B44B8D" w:rsidRDefault="000136E5">
            <w:r>
              <w:rPr>
                <w:rFonts w:asciiTheme="minorEastAsia" w:eastAsiaTheme="minorEastAsia" w:hAnsiTheme="minorEastAsia"/>
                <w:color w:val="000000" w:themeColor="text1"/>
              </w:rPr>
              <w:t>杨景喻先生，2009年07月至2011年03月在广发基金管理有限公司担任研究员，自2011年3月起加入上投摩根基金管理有限公司，先后担任行业专家、基金经理助理、基金经理，自2015年8月至2019年3月担任上投摩根中国优势证券投资基金基金经理，2015年12月起同时担任上投摩根新兴服务股票型证券投资基金基金经理，2016年4月至2018年8月同时担任上投摩根智慧生活灵活配置混合型证券投资基金基金经理，自2019年4月起同时担任上投摩根民生需求股票型证券投资基金基金经理。</w:t>
            </w:r>
          </w:p>
        </w:tc>
      </w:tr>
    </w:tbl>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 任职日期和离任日期均指根据公司决定确定的聘任日期和解聘日期。</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证券从业的含义遵从行业协会《证券业从业人员资格管理办法》的相关规定。</w:t>
      </w: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民生需求股票型证券投资基金基金合同》的规定。基金经理对个股和投资组合的比例遵循了投资决策委员会的授权限制，基金投资比例符合基金合同和法律法规的要求。</w:t>
      </w: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B44B8D" w:rsidRDefault="000136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B44B8D" w:rsidRDefault="000136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B44B8D" w:rsidRDefault="00B44B8D">
      <w:pPr>
        <w:spacing w:line="360" w:lineRule="auto"/>
        <w:ind w:firstLineChars="200" w:firstLine="480"/>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B44B8D" w:rsidRDefault="000136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年第四季度市场震荡加剧，10月以及11月上中旬，市场基本延续此前的结构性特征，电子、医药为代表的个股持续强势；但在11月中旬后，受到过高的估值压力影响，科技板块出现较大幅度、较长时间的调整和震荡，这种调整贯穿于整个12月。与此同时，估值较低、基本面改善预期明显的传媒、新能源车、汽车零部件板块出现了大幅上涨。四季度的另一条主线是周期股：受到地产投资韧性超预期和暖冬的影响，地产股及建材板块表现良好，建材板块更是四季度表现最佳的行业。同属周期板块且估值较低的化工、机械股亦表现优异。</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由于本基金的投资契约、持仓结构均非重仓周期品，因此净值的表现在11月下旬后受到市场风格调整的影响。四季度，基金进行了持仓结构的调整，降低了估值过高的医药、食品饮料、农业板块的占比，提升新能源车产业链、传媒产业链的配置比重，同时在契约允许的范围内，增加了具有上行空间的周期股持仓。</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认为宏观经济有一定的韧性，但亦难有大的向上惊喜；经济政策层面，主基调是“稳货币”和“宽财政”；稳经济的目的在于更好的促进结构转型和新兴产业的发展。市场风格方面，我们认为市场将持续良性进化，行业景气度高、基本面突出、估值合理的优质个股将继续贡献超额收益。</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展望未来一段时间的市场时，我们必须重视四季度的风格变化带来的启示。低估值因子在四季度体现出极其重要的作用，虽然其在前3个季度体现的不明显。在A股历史上，低估值因子一向和股票收益有着较显著的正相关。因此，我们将更加全面的评估持仓的各个方面，除了行业景气度、公司竞争力、财务成长性外，需要更多的考虑个股的性价比，在此基础上对持仓进行动态的调整。基金经理将继续勤勉尽责，争取为持有人创造良好的超额收益。</w:t>
      </w:r>
    </w:p>
    <w:p w:rsidR="00B44B8D" w:rsidRDefault="000136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本报告期上投摩根民生需求股票份额净值增长率为:10.38%，同期业绩比较基准收益率为:6.41%。</w:t>
      </w:r>
    </w:p>
    <w:p w:rsidR="00B44B8D" w:rsidRDefault="00B44B8D">
      <w:pPr>
        <w:spacing w:line="360" w:lineRule="auto"/>
        <w:ind w:firstLineChars="200" w:firstLine="480"/>
        <w:rPr>
          <w:rFonts w:asciiTheme="minorEastAsia" w:eastAsiaTheme="minorEastAsia" w:hAnsiTheme="minorEastAsia"/>
          <w:color w:val="000000" w:themeColor="text1"/>
          <w:sz w:val="24"/>
          <w:szCs w:val="24"/>
        </w:rPr>
      </w:pPr>
    </w:p>
    <w:p w:rsidR="00B44B8D" w:rsidRDefault="000136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B44B8D" w:rsidRDefault="000136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B44B8D" w:rsidRDefault="000136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182,182,606.74</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87.84</w:t>
            </w:r>
          </w:p>
        </w:tc>
      </w:tr>
      <w:tr w:rsidR="00B44B8D">
        <w:trPr>
          <w:jc w:val="center"/>
        </w:trPr>
        <w:tc>
          <w:tcPr>
            <w:tcW w:w="720" w:type="dxa"/>
            <w:vAlign w:val="center"/>
          </w:tcPr>
          <w:p w:rsidR="00B44B8D" w:rsidRDefault="00B44B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4B8D" w:rsidRDefault="000136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182,182,606.74</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87.84</w:t>
            </w:r>
          </w:p>
        </w:tc>
      </w:tr>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B44B8D" w:rsidRDefault="000136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4B8D">
        <w:trPr>
          <w:jc w:val="center"/>
        </w:trPr>
        <w:tc>
          <w:tcPr>
            <w:tcW w:w="720" w:type="dxa"/>
            <w:vAlign w:val="center"/>
          </w:tcPr>
          <w:p w:rsidR="00B44B8D" w:rsidRDefault="00B44B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4B8D" w:rsidRDefault="000136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4B8D">
        <w:trPr>
          <w:jc w:val="center"/>
        </w:trPr>
        <w:tc>
          <w:tcPr>
            <w:tcW w:w="720" w:type="dxa"/>
            <w:vAlign w:val="center"/>
          </w:tcPr>
          <w:p w:rsidR="00B44B8D" w:rsidRDefault="00B44B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4B8D" w:rsidRDefault="000136E5">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4B8D">
        <w:trPr>
          <w:jc w:val="center"/>
        </w:trPr>
        <w:tc>
          <w:tcPr>
            <w:tcW w:w="720" w:type="dxa"/>
          </w:tcPr>
          <w:p w:rsidR="00B44B8D" w:rsidRDefault="000136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B44B8D" w:rsidRDefault="000136E5">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B44B8D" w:rsidRDefault="000136E5">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B44B8D" w:rsidRDefault="000136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4B8D">
        <w:trPr>
          <w:jc w:val="center"/>
        </w:trPr>
        <w:tc>
          <w:tcPr>
            <w:tcW w:w="720" w:type="dxa"/>
            <w:vAlign w:val="center"/>
          </w:tcPr>
          <w:p w:rsidR="00B44B8D" w:rsidRDefault="00B44B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4B8D" w:rsidRDefault="000136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B44B8D" w:rsidRDefault="000136E5">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24,973,420.84</w:t>
            </w:r>
          </w:p>
        </w:tc>
        <w:tc>
          <w:tcPr>
            <w:tcW w:w="1843" w:type="dxa"/>
            <w:vAlign w:val="center"/>
          </w:tcPr>
          <w:p w:rsidR="00B44B8D" w:rsidRDefault="000136E5">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12.04</w:t>
            </w:r>
          </w:p>
        </w:tc>
      </w:tr>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B44B8D" w:rsidRDefault="000136E5">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252,534.17</w:t>
            </w:r>
          </w:p>
        </w:tc>
        <w:tc>
          <w:tcPr>
            <w:tcW w:w="1843" w:type="dxa"/>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0.12</w:t>
            </w:r>
          </w:p>
        </w:tc>
      </w:tr>
      <w:tr w:rsidR="00B44B8D">
        <w:trPr>
          <w:jc w:val="center"/>
        </w:trPr>
        <w:tc>
          <w:tcPr>
            <w:tcW w:w="720" w:type="dxa"/>
            <w:vAlign w:val="center"/>
          </w:tcPr>
          <w:p w:rsidR="00B44B8D" w:rsidRDefault="000136E5">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B44B8D" w:rsidRDefault="000136E5">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207,408,561.75</w:t>
            </w:r>
          </w:p>
        </w:tc>
        <w:tc>
          <w:tcPr>
            <w:tcW w:w="1843" w:type="dxa"/>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B44B8D" w:rsidRDefault="00B44B8D">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B44B8D" w:rsidRDefault="000136E5">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B44B8D">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44B8D" w:rsidRDefault="00B44B8D">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44B8D" w:rsidRDefault="00B44B8D">
            <w:pPr>
              <w:jc w:val="right"/>
              <w:rPr>
                <w:rFonts w:asciiTheme="minorEastAsia" w:eastAsiaTheme="minorEastAsia" w:hAnsiTheme="minorEastAsia" w:cs="宋体"/>
                <w:color w:val="000000" w:themeColor="text1"/>
                <w:kern w:val="0"/>
              </w:rPr>
            </w:pP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125,678,797.45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61.08</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1,987,486.54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0.97</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30,791,546.02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14.97</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10,643,908.25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5.17</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2,046,770.00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0.99</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11,020,960.44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5.36</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13,138.04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4B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B44B8D">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4B8D" w:rsidRDefault="000136E5">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182,182,606.74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4B8D" w:rsidRDefault="000136E5">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88.55</w:t>
            </w:r>
          </w:p>
        </w:tc>
      </w:tr>
    </w:tbl>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B44B8D">
        <w:tc>
          <w:tcPr>
            <w:tcW w:w="817" w:type="dxa"/>
            <w:vAlign w:val="center"/>
          </w:tcPr>
          <w:p w:rsidR="00B44B8D" w:rsidRDefault="000136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B44B8D" w:rsidRDefault="000136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B44B8D" w:rsidRDefault="000136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B44B8D" w:rsidRDefault="000136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B44B8D" w:rsidRDefault="000136E5">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1</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603259</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药明康德</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119,637</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11,020,960.44</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5.36</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2</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300014</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亿纬锂能</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153,485</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7,698,807.60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3.74</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3</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600519</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贵州茅台</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6,197</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7,331,051.00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3.56</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4</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603501</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韦尔股份</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50,851</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7,292,033.40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3.54</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5</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000661</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长春高新</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16,079</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7,187,313.00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3.49</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6</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300750</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宁德时代</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65,000</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6,916,000.00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3.36</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7</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603338</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浙江鼎力</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91,448</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6,538,532.00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3.18</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8</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002475</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立讯精密</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178,692</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6,522,258.00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3.17</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9</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300136</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信维通信</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140,900</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6,394,042.00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3.11</w:t>
            </w:r>
          </w:p>
        </w:tc>
      </w:tr>
      <w:tr w:rsidR="00B44B8D">
        <w:tc>
          <w:tcPr>
            <w:tcW w:w="817" w:type="dxa"/>
            <w:vAlign w:val="center"/>
          </w:tcPr>
          <w:p w:rsidR="00B44B8D" w:rsidRDefault="000136E5">
            <w:pPr>
              <w:jc w:val="center"/>
            </w:pPr>
            <w:r>
              <w:rPr>
                <w:rFonts w:asciiTheme="minorEastAsia" w:eastAsiaTheme="minorEastAsia" w:hAnsiTheme="minorEastAsia" w:cs="宋体"/>
                <w:color w:val="000000" w:themeColor="text1"/>
                <w:kern w:val="0"/>
              </w:rPr>
              <w:t>10</w:t>
            </w:r>
          </w:p>
        </w:tc>
        <w:tc>
          <w:tcPr>
            <w:tcW w:w="1276" w:type="dxa"/>
            <w:vAlign w:val="center"/>
          </w:tcPr>
          <w:p w:rsidR="00B44B8D" w:rsidRDefault="000136E5">
            <w:pPr>
              <w:jc w:val="center"/>
            </w:pPr>
            <w:r>
              <w:rPr>
                <w:rFonts w:asciiTheme="minorEastAsia" w:eastAsiaTheme="minorEastAsia" w:hAnsiTheme="minorEastAsia" w:cs="宋体"/>
                <w:color w:val="000000" w:themeColor="text1"/>
                <w:kern w:val="0"/>
              </w:rPr>
              <w:t>002555</w:t>
            </w:r>
          </w:p>
        </w:tc>
        <w:tc>
          <w:tcPr>
            <w:tcW w:w="1701" w:type="dxa"/>
            <w:vAlign w:val="center"/>
          </w:tcPr>
          <w:p w:rsidR="00B44B8D" w:rsidRDefault="000136E5">
            <w:pPr>
              <w:jc w:val="center"/>
            </w:pPr>
            <w:r>
              <w:rPr>
                <w:rFonts w:asciiTheme="minorEastAsia" w:eastAsiaTheme="minorEastAsia" w:hAnsiTheme="minorEastAsia" w:cs="宋体"/>
                <w:color w:val="000000" w:themeColor="text1"/>
                <w:kern w:val="0"/>
              </w:rPr>
              <w:t>三七互娱</w:t>
            </w:r>
          </w:p>
        </w:tc>
        <w:tc>
          <w:tcPr>
            <w:tcW w:w="1276" w:type="dxa"/>
            <w:vAlign w:val="center"/>
          </w:tcPr>
          <w:p w:rsidR="00B44B8D" w:rsidRDefault="000136E5">
            <w:pPr>
              <w:jc w:val="right"/>
            </w:pPr>
            <w:r>
              <w:rPr>
                <w:rFonts w:asciiTheme="minorEastAsia" w:eastAsiaTheme="minorEastAsia" w:hAnsiTheme="minorEastAsia" w:cs="宋体"/>
                <w:color w:val="000000" w:themeColor="text1"/>
                <w:kern w:val="0"/>
              </w:rPr>
              <w:t>236,200</w:t>
            </w:r>
          </w:p>
        </w:tc>
        <w:tc>
          <w:tcPr>
            <w:tcW w:w="1842" w:type="dxa"/>
            <w:vAlign w:val="center"/>
          </w:tcPr>
          <w:p w:rsidR="00B44B8D" w:rsidRDefault="000136E5">
            <w:pPr>
              <w:jc w:val="right"/>
            </w:pPr>
            <w:r>
              <w:rPr>
                <w:rFonts w:asciiTheme="minorEastAsia" w:eastAsiaTheme="minorEastAsia" w:hAnsiTheme="minorEastAsia" w:cs="宋体"/>
                <w:color w:val="000000" w:themeColor="text1"/>
                <w:kern w:val="0"/>
              </w:rPr>
              <w:t>6,360,866.00</w:t>
            </w:r>
          </w:p>
        </w:tc>
        <w:tc>
          <w:tcPr>
            <w:tcW w:w="1616" w:type="dxa"/>
            <w:vAlign w:val="center"/>
          </w:tcPr>
          <w:p w:rsidR="00B44B8D" w:rsidRDefault="000136E5">
            <w:pPr>
              <w:jc w:val="right"/>
            </w:pPr>
            <w:r>
              <w:rPr>
                <w:rFonts w:asciiTheme="minorEastAsia" w:eastAsiaTheme="minorEastAsia" w:hAnsiTheme="minorEastAsia" w:cs="宋体"/>
                <w:color w:val="000000" w:themeColor="text1"/>
                <w:kern w:val="0"/>
              </w:rPr>
              <w:t>3.09</w:t>
            </w:r>
          </w:p>
        </w:tc>
      </w:tr>
    </w:tbl>
    <w:p w:rsidR="00B44B8D" w:rsidRDefault="00B44B8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44B8D" w:rsidRDefault="00B44B8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B44B8D" w:rsidRDefault="000136E5">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B44B8D" w:rsidRDefault="00B44B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B44B8D" w:rsidRDefault="00B44B8D">
      <w:pPr>
        <w:adjustRightInd w:val="0"/>
        <w:snapToGrid w:val="0"/>
        <w:spacing w:line="360" w:lineRule="exact"/>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B44B8D" w:rsidRDefault="000136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本基金投资的前十名证券的发行主体本期未出现被监管部门立案调查，或在报告编制日前一年内受到公开谴责、处罚的情形。</w:t>
      </w:r>
    </w:p>
    <w:p w:rsidR="00B44B8D" w:rsidRDefault="000136E5">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B44B8D">
        <w:tc>
          <w:tcPr>
            <w:tcW w:w="1235"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B44B8D" w:rsidRDefault="000136E5">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110,723.11</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6,447.59</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135,363.47</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44B8D">
        <w:tc>
          <w:tcPr>
            <w:tcW w:w="1235" w:type="dxa"/>
            <w:vAlign w:val="center"/>
          </w:tcPr>
          <w:p w:rsidR="00B44B8D" w:rsidRDefault="000136E5">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B44B8D" w:rsidRDefault="000136E5">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252,534.17</w:t>
            </w:r>
          </w:p>
        </w:tc>
      </w:tr>
    </w:tbl>
    <w:p w:rsidR="00B44B8D" w:rsidRDefault="00B44B8D">
      <w:pPr>
        <w:autoSpaceDE w:val="0"/>
        <w:autoSpaceDN w:val="0"/>
        <w:adjustRightInd w:val="0"/>
        <w:spacing w:line="360" w:lineRule="auto"/>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B44B8D" w:rsidRDefault="00B44B8D">
      <w:pPr>
        <w:autoSpaceDE w:val="0"/>
        <w:autoSpaceDN w:val="0"/>
        <w:adjustRightInd w:val="0"/>
        <w:spacing w:line="360" w:lineRule="auto"/>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B44B8D" w:rsidRDefault="00B44B8D">
      <w:pPr>
        <w:autoSpaceDE w:val="0"/>
        <w:autoSpaceDN w:val="0"/>
        <w:adjustRightInd w:val="0"/>
        <w:spacing w:line="360" w:lineRule="auto"/>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B44B8D" w:rsidRDefault="000136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B44B8D" w:rsidRDefault="000136E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B44B8D">
        <w:tc>
          <w:tcPr>
            <w:tcW w:w="4609"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132,709,105.08</w:t>
            </w:r>
          </w:p>
        </w:tc>
      </w:tr>
      <w:tr w:rsidR="00B44B8D">
        <w:tc>
          <w:tcPr>
            <w:tcW w:w="4609"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4,533,879.41</w:t>
            </w:r>
          </w:p>
        </w:tc>
      </w:tr>
      <w:tr w:rsidR="00B44B8D">
        <w:tc>
          <w:tcPr>
            <w:tcW w:w="4609"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16,341,316.88</w:t>
            </w:r>
          </w:p>
        </w:tc>
      </w:tr>
      <w:tr w:rsidR="00B44B8D">
        <w:tc>
          <w:tcPr>
            <w:tcW w:w="4609"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B44B8D">
        <w:tc>
          <w:tcPr>
            <w:tcW w:w="4609"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4B8D" w:rsidRDefault="000136E5">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120,901,667.61</w:t>
            </w:r>
          </w:p>
        </w:tc>
      </w:tr>
    </w:tbl>
    <w:p w:rsidR="00B44B8D" w:rsidRDefault="000136E5">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B44B8D" w:rsidRDefault="000136E5">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B44B8D" w:rsidRDefault="000136E5">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B44B8D" w:rsidRDefault="00B44B8D">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B44B8D" w:rsidRDefault="000136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影响投资者决策的其他重要信息</w:t>
      </w:r>
    </w:p>
    <w:p w:rsidR="00B44B8D" w:rsidRDefault="000136E5">
      <w:pPr>
        <w:autoSpaceDE w:val="0"/>
        <w:autoSpaceDN w:val="0"/>
        <w:adjustRightInd w:val="0"/>
        <w:spacing w:line="360" w:lineRule="auto"/>
        <w:jc w:val="left"/>
        <w:rPr>
          <w:rFonts w:ascii="宋体" w:hAnsi="宋体"/>
          <w:b/>
          <w:bCs/>
          <w:color w:val="000000"/>
          <w:kern w:val="0"/>
          <w:sz w:val="24"/>
          <w:szCs w:val="24"/>
        </w:rPr>
      </w:pPr>
      <w:r>
        <w:rPr>
          <w:rFonts w:ascii="宋体" w:hAnsi="宋体" w:hint="eastAsia"/>
          <w:b/>
          <w:bCs/>
          <w:color w:val="000000"/>
          <w:kern w:val="0"/>
          <w:sz w:val="24"/>
          <w:szCs w:val="24"/>
        </w:rPr>
        <w:t>8.1 影响投资者决策的其他重要信息</w:t>
      </w:r>
    </w:p>
    <w:p w:rsidR="00B44B8D" w:rsidRDefault="000136E5">
      <w:pPr>
        <w:spacing w:line="360" w:lineRule="auto"/>
        <w:ind w:firstLineChars="200" w:firstLine="420"/>
        <w:rPr>
          <w:rFonts w:ascii="宋体" w:hAnsi="宋体"/>
          <w:color w:val="000000"/>
        </w:rPr>
      </w:pPr>
      <w:r>
        <w:rPr>
          <w:rFonts w:ascii="宋体" w:hAnsi="宋体"/>
          <w:color w:val="000000"/>
        </w:rPr>
        <w:t>无</w:t>
      </w:r>
    </w:p>
    <w:p w:rsidR="00B44B8D" w:rsidRDefault="000136E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§9</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中国证监会批准上投摩根民生需求股票型证券投资基金设立的文件；</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《上投摩根民生需求股票型证券投资基金基金合同》；</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《上投摩根民生需求股票型证券投资基金基金托管协议》；</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《上投摩根基金管理有限公司开放式基金业务规则》；</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B44B8D" w:rsidRDefault="00B44B8D">
      <w:pPr>
        <w:spacing w:line="360" w:lineRule="auto"/>
        <w:ind w:firstLineChars="200" w:firstLine="480"/>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B44B8D" w:rsidRDefault="00B44B8D">
      <w:pPr>
        <w:spacing w:line="360" w:lineRule="auto"/>
        <w:ind w:firstLineChars="200" w:firstLine="480"/>
        <w:rPr>
          <w:rFonts w:asciiTheme="minorEastAsia" w:eastAsiaTheme="minorEastAsia" w:hAnsiTheme="minorEastAsia"/>
          <w:color w:val="000000" w:themeColor="text1"/>
          <w:sz w:val="24"/>
          <w:szCs w:val="24"/>
        </w:rPr>
      </w:pPr>
    </w:p>
    <w:p w:rsidR="00B44B8D" w:rsidRDefault="000136E5">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9</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B44B8D" w:rsidRDefault="000136E5">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B44B8D">
      <w:pPr>
        <w:spacing w:line="360" w:lineRule="auto"/>
        <w:ind w:left="840"/>
        <w:jc w:val="right"/>
        <w:rPr>
          <w:rFonts w:asciiTheme="minorEastAsia" w:eastAsiaTheme="minorEastAsia" w:hAnsiTheme="minorEastAsia"/>
          <w:color w:val="000000" w:themeColor="text1"/>
          <w:sz w:val="24"/>
          <w:szCs w:val="24"/>
        </w:rPr>
      </w:pPr>
    </w:p>
    <w:p w:rsidR="00B44B8D" w:rsidRDefault="000136E5">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B44B8D" w:rsidRDefault="000136E5">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B44B8D" w:rsidRDefault="00B44B8D">
      <w:pPr>
        <w:spacing w:line="360" w:lineRule="auto"/>
        <w:ind w:left="840"/>
        <w:jc w:val="right"/>
        <w:rPr>
          <w:rFonts w:asciiTheme="minorEastAsia" w:eastAsiaTheme="minorEastAsia" w:hAnsiTheme="minorEastAsia"/>
          <w:b/>
          <w:bCs/>
          <w:color w:val="000000" w:themeColor="text1"/>
          <w:sz w:val="24"/>
          <w:szCs w:val="24"/>
        </w:rPr>
      </w:pPr>
    </w:p>
    <w:p w:rsidR="00B44B8D" w:rsidRDefault="00B44B8D">
      <w:pPr>
        <w:rPr>
          <w:rFonts w:asciiTheme="minorEastAsia" w:eastAsiaTheme="minorEastAsia" w:hAnsiTheme="minorEastAsia"/>
          <w:color w:val="000000" w:themeColor="text1"/>
          <w:sz w:val="24"/>
          <w:szCs w:val="24"/>
        </w:rPr>
      </w:pPr>
    </w:p>
    <w:sectPr w:rsidR="00B44B8D">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D9" w:rsidRDefault="000136E5">
      <w:r>
        <w:separator/>
      </w:r>
    </w:p>
  </w:endnote>
  <w:endnote w:type="continuationSeparator" w:id="0">
    <w:p w:rsidR="00CA6AD9" w:rsidRDefault="0001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8D" w:rsidRDefault="000136E5">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C144A6" w:rsidRPr="00C144A6">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8D" w:rsidRDefault="000136E5">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C144A6">
      <w:rPr>
        <w:rStyle w:val="aff"/>
        <w:noProof/>
      </w:rPr>
      <w:t>2</w:t>
    </w:r>
    <w:r>
      <w:rPr>
        <w:rStyle w:val="aff"/>
      </w:rPr>
      <w:fldChar w:fldCharType="end"/>
    </w:r>
  </w:p>
  <w:p w:rsidR="00B44B8D" w:rsidRDefault="00B44B8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D9" w:rsidRDefault="000136E5">
      <w:r>
        <w:separator/>
      </w:r>
    </w:p>
  </w:footnote>
  <w:footnote w:type="continuationSeparator" w:id="0">
    <w:p w:rsidR="00CA6AD9" w:rsidRDefault="0001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8D" w:rsidRDefault="000136E5">
    <w:pPr>
      <w:pStyle w:val="af6"/>
      <w:pBdr>
        <w:bottom w:val="single" w:sz="6" w:space="0" w:color="auto"/>
      </w:pBdr>
      <w:jc w:val="right"/>
    </w:pPr>
    <w:r>
      <w:rPr>
        <w:rFonts w:hint="eastAsia"/>
      </w:rPr>
      <w:t>上投摩根民生需求股票型证券投资基金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36E5"/>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44B8D"/>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144A6"/>
    <w:rsid w:val="00C21520"/>
    <w:rsid w:val="00C222B2"/>
    <w:rsid w:val="00C225FB"/>
    <w:rsid w:val="00C37530"/>
    <w:rsid w:val="00C46B88"/>
    <w:rsid w:val="00C5218C"/>
    <w:rsid w:val="00C52191"/>
    <w:rsid w:val="00C5642F"/>
    <w:rsid w:val="00C63554"/>
    <w:rsid w:val="00C64CE7"/>
    <w:rsid w:val="00C71497"/>
    <w:rsid w:val="00C72F5B"/>
    <w:rsid w:val="00C73BCD"/>
    <w:rsid w:val="00C77AEF"/>
    <w:rsid w:val="00C87129"/>
    <w:rsid w:val="00C91E1B"/>
    <w:rsid w:val="00CA5FD5"/>
    <w:rsid w:val="00CA6AD9"/>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37FEC-C4E4-40B0-A86E-45B6AD8D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96BE0-51AB-4AB3-B438-B2B1C408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951</Words>
  <Characters>5427</Characters>
  <Application>Microsoft Office Word</Application>
  <DocSecurity>0</DocSecurity>
  <Lines>45</Lines>
  <Paragraphs>12</Paragraphs>
  <ScaleCrop>false</ScaleCrop>
  <Company>Microsoft</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Cifm</cp:lastModifiedBy>
  <cp:revision>267</cp:revision>
  <dcterms:created xsi:type="dcterms:W3CDTF">2012-10-16T06:07:00Z</dcterms:created>
  <dcterms:modified xsi:type="dcterms:W3CDTF">2020-01-16T10:59:00Z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