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上投摩根民生需求股票型证券投资基金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上投摩根民生需求股票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000524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000524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2014</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14</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61,239,796.31</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本基金主要投资于民生需求相关行业的上市公司，分享中国经济增长模式转变带来的民生需求行业的投资机会，在控制风险的前提下力争实现基金资产的稳定增值。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FD33E9" w:rsidRDefault="00DB378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本基金将通过系统和深入的基本面研究，重点投资于与民生相关行业的上市公司，将不低于</w:t>
            </w:r>
            <w:r>
              <w:rPr>
                <w:rFonts w:eastAsiaTheme="minorEastAsia"/>
                <w:color w:val="000000" w:themeColor="text1"/>
                <w:kern w:val="0"/>
              </w:rPr>
              <w:t>80%</w:t>
            </w:r>
            <w:r>
              <w:rPr>
                <w:rFonts w:eastAsiaTheme="minorEastAsia"/>
                <w:color w:val="000000" w:themeColor="text1"/>
                <w:kern w:val="0"/>
              </w:rPr>
              <w:t>的非现金基金资产投资于民生需求相关行业，分享中国经济增长模式转变带来的投资机会。在行业配置层面，本基金将从行业生命周</w:t>
            </w:r>
            <w:r>
              <w:rPr>
                <w:rFonts w:eastAsiaTheme="minorEastAsia"/>
                <w:color w:val="000000" w:themeColor="text1"/>
                <w:kern w:val="0"/>
              </w:rPr>
              <w:lastRenderedPageBreak/>
              <w:t>期、行业景气度、行业竞争格局等多角度，综合评估各个行业的投资价值，对基金资产在行业间分配进行安排。在个股选择层面，本基金将主要采用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的方法，在备选行业内部通过定量与定性相结合的分析方法，综合分析上市公司的业绩质量、成长性和估值水平等各方面信息，精选具有良好成长性、估值合理的个股。</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具体策略包括：资产配置策略、股票投资策略、行业配置策略、固定收益类投资策略、可转换债券投资策略、中小企业私募债投资策略、股指期货投资策略、存托凭证投资策略。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FD33E9" w:rsidRDefault="00DB378C">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DB378C" w:rsidRPr="00FF6B9A" w:rsidTr="00DB378C">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DB378C" w:rsidRPr="00FF6B9A" w:rsidTr="00DB378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-24,099,580.66</w:t>
            </w:r>
          </w:p>
        </w:tc>
      </w:tr>
      <w:tr w:rsidR="00DB378C" w:rsidRPr="00FF6B9A" w:rsidTr="00DB378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-43,045,419.25</w:t>
            </w:r>
          </w:p>
        </w:tc>
      </w:tr>
      <w:tr w:rsidR="00DB378C" w:rsidRPr="00FF6B9A" w:rsidTr="00DB378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-0.6861</w:t>
            </w:r>
          </w:p>
        </w:tc>
      </w:tr>
      <w:tr w:rsidR="00DB378C" w:rsidRPr="00FF6B9A" w:rsidTr="00DB378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156,937,845.15</w:t>
            </w:r>
          </w:p>
        </w:tc>
      </w:tr>
      <w:tr w:rsidR="00DB378C" w:rsidRPr="00FF6B9A" w:rsidTr="00DB378C">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2.5627</w:t>
            </w:r>
          </w:p>
        </w:tc>
      </w:tr>
    </w:tbl>
    <w:p w:rsidR="00FD33E9" w:rsidRDefault="00DB378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FD33E9">
        <w:tc>
          <w:tcPr>
            <w:tcW w:w="1395" w:type="dxa"/>
            <w:vAlign w:val="center"/>
          </w:tcPr>
          <w:p w:rsidR="00FD33E9" w:rsidRDefault="00DB378C">
            <w:pPr>
              <w:jc w:val="left"/>
            </w:pPr>
            <w:r>
              <w:rPr>
                <w:rFonts w:eastAsiaTheme="minorEastAsia"/>
                <w:color w:val="000000" w:themeColor="text1"/>
                <w:kern w:val="0"/>
              </w:rPr>
              <w:t>过去三个月</w:t>
            </w:r>
          </w:p>
        </w:tc>
        <w:tc>
          <w:tcPr>
            <w:tcW w:w="1092" w:type="dxa"/>
            <w:vAlign w:val="center"/>
          </w:tcPr>
          <w:p w:rsidR="00FD33E9" w:rsidRDefault="00DB378C">
            <w:pPr>
              <w:jc w:val="center"/>
            </w:pPr>
            <w:r>
              <w:rPr>
                <w:rFonts w:eastAsiaTheme="minorEastAsia"/>
                <w:color w:val="000000" w:themeColor="text1"/>
                <w:kern w:val="0"/>
              </w:rPr>
              <w:t>-21.06%</w:t>
            </w:r>
          </w:p>
        </w:tc>
        <w:tc>
          <w:tcPr>
            <w:tcW w:w="1161" w:type="dxa"/>
            <w:vAlign w:val="center"/>
          </w:tcPr>
          <w:p w:rsidR="00FD33E9" w:rsidRDefault="00DB378C">
            <w:pPr>
              <w:jc w:val="center"/>
            </w:pPr>
            <w:r>
              <w:rPr>
                <w:rFonts w:eastAsiaTheme="minorEastAsia"/>
                <w:color w:val="000000" w:themeColor="text1"/>
                <w:kern w:val="0"/>
              </w:rPr>
              <w:t>1.28%</w:t>
            </w:r>
          </w:p>
        </w:tc>
        <w:tc>
          <w:tcPr>
            <w:tcW w:w="1181" w:type="dxa"/>
            <w:vAlign w:val="center"/>
          </w:tcPr>
          <w:p w:rsidR="00FD33E9" w:rsidRDefault="00DB378C">
            <w:pPr>
              <w:jc w:val="center"/>
            </w:pPr>
            <w:r>
              <w:rPr>
                <w:rFonts w:eastAsiaTheme="minorEastAsia"/>
                <w:color w:val="000000" w:themeColor="text1"/>
                <w:kern w:val="0"/>
              </w:rPr>
              <w:t>-12.39%</w:t>
            </w:r>
          </w:p>
        </w:tc>
        <w:tc>
          <w:tcPr>
            <w:tcW w:w="1188" w:type="dxa"/>
            <w:vAlign w:val="center"/>
          </w:tcPr>
          <w:p w:rsidR="00FD33E9" w:rsidRDefault="00DB378C">
            <w:pPr>
              <w:jc w:val="center"/>
            </w:pPr>
            <w:r>
              <w:rPr>
                <w:rFonts w:eastAsiaTheme="minorEastAsia"/>
                <w:color w:val="000000" w:themeColor="text1"/>
                <w:kern w:val="0"/>
              </w:rPr>
              <w:t>1.24%</w:t>
            </w:r>
          </w:p>
        </w:tc>
        <w:tc>
          <w:tcPr>
            <w:tcW w:w="1199" w:type="dxa"/>
            <w:vAlign w:val="center"/>
          </w:tcPr>
          <w:p w:rsidR="00FD33E9" w:rsidRDefault="00DB378C">
            <w:pPr>
              <w:jc w:val="center"/>
            </w:pPr>
            <w:r>
              <w:rPr>
                <w:rFonts w:eastAsiaTheme="minorEastAsia"/>
                <w:color w:val="000000" w:themeColor="text1"/>
                <w:kern w:val="0"/>
              </w:rPr>
              <w:t>-8.67%</w:t>
            </w:r>
          </w:p>
        </w:tc>
        <w:tc>
          <w:tcPr>
            <w:tcW w:w="1204" w:type="dxa"/>
            <w:vAlign w:val="center"/>
          </w:tcPr>
          <w:p w:rsidR="00FD33E9" w:rsidRDefault="00DB378C">
            <w:pPr>
              <w:jc w:val="center"/>
            </w:pPr>
            <w:r>
              <w:rPr>
                <w:rFonts w:eastAsiaTheme="minorEastAsia"/>
                <w:color w:val="000000" w:themeColor="text1"/>
                <w:kern w:val="0"/>
              </w:rPr>
              <w:t>0.04%</w:t>
            </w:r>
          </w:p>
        </w:tc>
      </w:tr>
      <w:tr w:rsidR="00FD33E9">
        <w:tc>
          <w:tcPr>
            <w:tcW w:w="1395" w:type="dxa"/>
            <w:vAlign w:val="center"/>
          </w:tcPr>
          <w:p w:rsidR="00FD33E9" w:rsidRDefault="00DB378C">
            <w:pPr>
              <w:jc w:val="left"/>
            </w:pPr>
            <w:r>
              <w:rPr>
                <w:rFonts w:eastAsiaTheme="minorEastAsia"/>
                <w:color w:val="000000" w:themeColor="text1"/>
                <w:kern w:val="0"/>
              </w:rPr>
              <w:t>过去六个月</w:t>
            </w:r>
          </w:p>
        </w:tc>
        <w:tc>
          <w:tcPr>
            <w:tcW w:w="1092" w:type="dxa"/>
            <w:vAlign w:val="center"/>
          </w:tcPr>
          <w:p w:rsidR="00FD33E9" w:rsidRDefault="00DB378C">
            <w:pPr>
              <w:jc w:val="center"/>
            </w:pPr>
            <w:r>
              <w:rPr>
                <w:rFonts w:eastAsiaTheme="minorEastAsia"/>
                <w:color w:val="000000" w:themeColor="text1"/>
                <w:kern w:val="0"/>
              </w:rPr>
              <w:t>-22.86%</w:t>
            </w:r>
          </w:p>
        </w:tc>
        <w:tc>
          <w:tcPr>
            <w:tcW w:w="1161" w:type="dxa"/>
            <w:vAlign w:val="center"/>
          </w:tcPr>
          <w:p w:rsidR="00FD33E9" w:rsidRDefault="00DB378C">
            <w:pPr>
              <w:jc w:val="center"/>
            </w:pPr>
            <w:r>
              <w:rPr>
                <w:rFonts w:eastAsiaTheme="minorEastAsia"/>
                <w:color w:val="000000" w:themeColor="text1"/>
                <w:kern w:val="0"/>
              </w:rPr>
              <w:t>1.26%</w:t>
            </w:r>
          </w:p>
        </w:tc>
        <w:tc>
          <w:tcPr>
            <w:tcW w:w="1181" w:type="dxa"/>
            <w:vAlign w:val="center"/>
          </w:tcPr>
          <w:p w:rsidR="00FD33E9" w:rsidRDefault="00DB378C">
            <w:pPr>
              <w:jc w:val="center"/>
            </w:pPr>
            <w:r>
              <w:rPr>
                <w:rFonts w:eastAsiaTheme="minorEastAsia"/>
                <w:color w:val="000000" w:themeColor="text1"/>
                <w:kern w:val="0"/>
              </w:rPr>
              <w:t>-11.17%</w:t>
            </w:r>
          </w:p>
        </w:tc>
        <w:tc>
          <w:tcPr>
            <w:tcW w:w="1188" w:type="dxa"/>
            <w:vAlign w:val="center"/>
          </w:tcPr>
          <w:p w:rsidR="00FD33E9" w:rsidRDefault="00DB378C">
            <w:pPr>
              <w:jc w:val="center"/>
            </w:pPr>
            <w:r>
              <w:rPr>
                <w:rFonts w:eastAsiaTheme="minorEastAsia"/>
                <w:color w:val="000000" w:themeColor="text1"/>
                <w:kern w:val="0"/>
              </w:rPr>
              <w:t>0.99%</w:t>
            </w:r>
          </w:p>
        </w:tc>
        <w:tc>
          <w:tcPr>
            <w:tcW w:w="1199" w:type="dxa"/>
            <w:vAlign w:val="center"/>
          </w:tcPr>
          <w:p w:rsidR="00FD33E9" w:rsidRDefault="00DB378C">
            <w:pPr>
              <w:jc w:val="center"/>
            </w:pPr>
            <w:r>
              <w:rPr>
                <w:rFonts w:eastAsiaTheme="minorEastAsia"/>
                <w:color w:val="000000" w:themeColor="text1"/>
                <w:kern w:val="0"/>
              </w:rPr>
              <w:t>-11.69%</w:t>
            </w:r>
          </w:p>
        </w:tc>
        <w:tc>
          <w:tcPr>
            <w:tcW w:w="1204" w:type="dxa"/>
            <w:vAlign w:val="center"/>
          </w:tcPr>
          <w:p w:rsidR="00FD33E9" w:rsidRDefault="00DB378C">
            <w:pPr>
              <w:jc w:val="center"/>
            </w:pPr>
            <w:r>
              <w:rPr>
                <w:rFonts w:eastAsiaTheme="minorEastAsia"/>
                <w:color w:val="000000" w:themeColor="text1"/>
                <w:kern w:val="0"/>
              </w:rPr>
              <w:t>0.27%</w:t>
            </w:r>
          </w:p>
        </w:tc>
      </w:tr>
      <w:tr w:rsidR="00FD33E9">
        <w:tc>
          <w:tcPr>
            <w:tcW w:w="1395" w:type="dxa"/>
            <w:vAlign w:val="center"/>
          </w:tcPr>
          <w:p w:rsidR="00FD33E9" w:rsidRDefault="00DB378C">
            <w:pPr>
              <w:jc w:val="left"/>
            </w:pPr>
            <w:r>
              <w:rPr>
                <w:rFonts w:eastAsiaTheme="minorEastAsia"/>
                <w:color w:val="000000" w:themeColor="text1"/>
                <w:kern w:val="0"/>
              </w:rPr>
              <w:t>过去一年</w:t>
            </w:r>
          </w:p>
        </w:tc>
        <w:tc>
          <w:tcPr>
            <w:tcW w:w="1092" w:type="dxa"/>
            <w:vAlign w:val="center"/>
          </w:tcPr>
          <w:p w:rsidR="00FD33E9" w:rsidRDefault="00DB378C">
            <w:pPr>
              <w:jc w:val="center"/>
            </w:pPr>
            <w:r>
              <w:rPr>
                <w:rFonts w:eastAsiaTheme="minorEastAsia"/>
                <w:color w:val="000000" w:themeColor="text1"/>
                <w:kern w:val="0"/>
              </w:rPr>
              <w:t>-11.19%</w:t>
            </w:r>
          </w:p>
        </w:tc>
        <w:tc>
          <w:tcPr>
            <w:tcW w:w="1161" w:type="dxa"/>
            <w:vAlign w:val="center"/>
          </w:tcPr>
          <w:p w:rsidR="00FD33E9" w:rsidRDefault="00DB378C">
            <w:pPr>
              <w:jc w:val="center"/>
            </w:pPr>
            <w:r>
              <w:rPr>
                <w:rFonts w:eastAsiaTheme="minorEastAsia"/>
                <w:color w:val="000000" w:themeColor="text1"/>
                <w:kern w:val="0"/>
              </w:rPr>
              <w:t>1.57%</w:t>
            </w:r>
          </w:p>
        </w:tc>
        <w:tc>
          <w:tcPr>
            <w:tcW w:w="1181" w:type="dxa"/>
            <w:vAlign w:val="center"/>
          </w:tcPr>
          <w:p w:rsidR="00FD33E9" w:rsidRDefault="00DB378C">
            <w:pPr>
              <w:jc w:val="center"/>
            </w:pPr>
            <w:r>
              <w:rPr>
                <w:rFonts w:eastAsiaTheme="minorEastAsia"/>
                <w:color w:val="000000" w:themeColor="text1"/>
                <w:kern w:val="0"/>
              </w:rPr>
              <w:t>-13.57%</w:t>
            </w:r>
          </w:p>
        </w:tc>
        <w:tc>
          <w:tcPr>
            <w:tcW w:w="1188" w:type="dxa"/>
            <w:vAlign w:val="center"/>
          </w:tcPr>
          <w:p w:rsidR="00FD33E9" w:rsidRDefault="00DB378C">
            <w:pPr>
              <w:jc w:val="center"/>
            </w:pPr>
            <w:r>
              <w:rPr>
                <w:rFonts w:eastAsiaTheme="minorEastAsia"/>
                <w:color w:val="000000" w:themeColor="text1"/>
                <w:kern w:val="0"/>
              </w:rPr>
              <w:t>0.96%</w:t>
            </w:r>
          </w:p>
        </w:tc>
        <w:tc>
          <w:tcPr>
            <w:tcW w:w="1199" w:type="dxa"/>
            <w:vAlign w:val="center"/>
          </w:tcPr>
          <w:p w:rsidR="00FD33E9" w:rsidRDefault="00DB378C">
            <w:pPr>
              <w:jc w:val="center"/>
            </w:pPr>
            <w:r>
              <w:rPr>
                <w:rFonts w:eastAsiaTheme="minorEastAsia"/>
                <w:color w:val="000000" w:themeColor="text1"/>
                <w:kern w:val="0"/>
              </w:rPr>
              <w:t>2.38%</w:t>
            </w:r>
          </w:p>
        </w:tc>
        <w:tc>
          <w:tcPr>
            <w:tcW w:w="1204" w:type="dxa"/>
            <w:vAlign w:val="center"/>
          </w:tcPr>
          <w:p w:rsidR="00FD33E9" w:rsidRDefault="00DB378C">
            <w:pPr>
              <w:jc w:val="center"/>
            </w:pPr>
            <w:r>
              <w:rPr>
                <w:rFonts w:eastAsiaTheme="minorEastAsia"/>
                <w:color w:val="000000" w:themeColor="text1"/>
                <w:kern w:val="0"/>
              </w:rPr>
              <w:t>0.61%</w:t>
            </w:r>
          </w:p>
        </w:tc>
      </w:tr>
      <w:tr w:rsidR="00FD33E9">
        <w:tc>
          <w:tcPr>
            <w:tcW w:w="1395" w:type="dxa"/>
            <w:vAlign w:val="center"/>
          </w:tcPr>
          <w:p w:rsidR="00FD33E9" w:rsidRDefault="00DB378C">
            <w:pPr>
              <w:jc w:val="left"/>
            </w:pPr>
            <w:r>
              <w:rPr>
                <w:rFonts w:eastAsiaTheme="minorEastAsia"/>
                <w:color w:val="000000" w:themeColor="text1"/>
                <w:kern w:val="0"/>
              </w:rPr>
              <w:t>过去三年</w:t>
            </w:r>
          </w:p>
        </w:tc>
        <w:tc>
          <w:tcPr>
            <w:tcW w:w="1092" w:type="dxa"/>
            <w:vAlign w:val="center"/>
          </w:tcPr>
          <w:p w:rsidR="00FD33E9" w:rsidRDefault="00DB378C">
            <w:pPr>
              <w:jc w:val="center"/>
            </w:pPr>
            <w:r>
              <w:rPr>
                <w:rFonts w:eastAsiaTheme="minorEastAsia"/>
                <w:color w:val="000000" w:themeColor="text1"/>
                <w:kern w:val="0"/>
              </w:rPr>
              <w:t>78.46%</w:t>
            </w:r>
          </w:p>
        </w:tc>
        <w:tc>
          <w:tcPr>
            <w:tcW w:w="1161" w:type="dxa"/>
            <w:vAlign w:val="center"/>
          </w:tcPr>
          <w:p w:rsidR="00FD33E9" w:rsidRDefault="00DB378C">
            <w:pPr>
              <w:jc w:val="center"/>
            </w:pPr>
            <w:r>
              <w:rPr>
                <w:rFonts w:eastAsiaTheme="minorEastAsia"/>
                <w:color w:val="000000" w:themeColor="text1"/>
                <w:kern w:val="0"/>
              </w:rPr>
              <w:t>1.63%</w:t>
            </w:r>
          </w:p>
        </w:tc>
        <w:tc>
          <w:tcPr>
            <w:tcW w:w="1181" w:type="dxa"/>
            <w:vAlign w:val="center"/>
          </w:tcPr>
          <w:p w:rsidR="00FD33E9" w:rsidRDefault="00DB378C">
            <w:pPr>
              <w:jc w:val="center"/>
            </w:pPr>
            <w:r>
              <w:rPr>
                <w:rFonts w:eastAsiaTheme="minorEastAsia"/>
                <w:color w:val="000000" w:themeColor="text1"/>
                <w:kern w:val="0"/>
              </w:rPr>
              <w:t>8.10%</w:t>
            </w:r>
          </w:p>
        </w:tc>
        <w:tc>
          <w:tcPr>
            <w:tcW w:w="1188" w:type="dxa"/>
            <w:vAlign w:val="center"/>
          </w:tcPr>
          <w:p w:rsidR="00FD33E9" w:rsidRDefault="00DB378C">
            <w:pPr>
              <w:jc w:val="center"/>
            </w:pPr>
            <w:r>
              <w:rPr>
                <w:rFonts w:eastAsiaTheme="minorEastAsia"/>
                <w:color w:val="000000" w:themeColor="text1"/>
                <w:kern w:val="0"/>
              </w:rPr>
              <w:t>1.08%</w:t>
            </w:r>
          </w:p>
        </w:tc>
        <w:tc>
          <w:tcPr>
            <w:tcW w:w="1199" w:type="dxa"/>
            <w:vAlign w:val="center"/>
          </w:tcPr>
          <w:p w:rsidR="00FD33E9" w:rsidRDefault="00DB378C">
            <w:pPr>
              <w:jc w:val="center"/>
            </w:pPr>
            <w:r>
              <w:rPr>
                <w:rFonts w:eastAsiaTheme="minorEastAsia"/>
                <w:color w:val="000000" w:themeColor="text1"/>
                <w:kern w:val="0"/>
              </w:rPr>
              <w:t>70.36%</w:t>
            </w:r>
          </w:p>
        </w:tc>
        <w:tc>
          <w:tcPr>
            <w:tcW w:w="1204" w:type="dxa"/>
            <w:vAlign w:val="center"/>
          </w:tcPr>
          <w:p w:rsidR="00FD33E9" w:rsidRDefault="00DB378C">
            <w:pPr>
              <w:jc w:val="center"/>
            </w:pPr>
            <w:r>
              <w:rPr>
                <w:rFonts w:eastAsiaTheme="minorEastAsia"/>
                <w:color w:val="000000" w:themeColor="text1"/>
                <w:kern w:val="0"/>
              </w:rPr>
              <w:t>0.55%</w:t>
            </w:r>
          </w:p>
        </w:tc>
      </w:tr>
      <w:tr w:rsidR="00FD33E9">
        <w:tc>
          <w:tcPr>
            <w:tcW w:w="1395" w:type="dxa"/>
            <w:vAlign w:val="center"/>
          </w:tcPr>
          <w:p w:rsidR="00FD33E9" w:rsidRDefault="00DB378C">
            <w:pPr>
              <w:jc w:val="left"/>
            </w:pPr>
            <w:r>
              <w:rPr>
                <w:rFonts w:eastAsiaTheme="minorEastAsia"/>
                <w:color w:val="000000" w:themeColor="text1"/>
                <w:kern w:val="0"/>
              </w:rPr>
              <w:t>过去五年</w:t>
            </w:r>
          </w:p>
        </w:tc>
        <w:tc>
          <w:tcPr>
            <w:tcW w:w="1092" w:type="dxa"/>
            <w:vAlign w:val="center"/>
          </w:tcPr>
          <w:p w:rsidR="00FD33E9" w:rsidRDefault="00DB378C">
            <w:pPr>
              <w:jc w:val="center"/>
            </w:pPr>
            <w:r>
              <w:rPr>
                <w:rFonts w:eastAsiaTheme="minorEastAsia"/>
                <w:color w:val="000000" w:themeColor="text1"/>
                <w:kern w:val="0"/>
              </w:rPr>
              <w:t>59.08%</w:t>
            </w:r>
          </w:p>
        </w:tc>
        <w:tc>
          <w:tcPr>
            <w:tcW w:w="1161" w:type="dxa"/>
            <w:vAlign w:val="center"/>
          </w:tcPr>
          <w:p w:rsidR="00FD33E9" w:rsidRDefault="00DB378C">
            <w:pPr>
              <w:jc w:val="center"/>
            </w:pPr>
            <w:r>
              <w:rPr>
                <w:rFonts w:eastAsiaTheme="minorEastAsia"/>
                <w:color w:val="000000" w:themeColor="text1"/>
                <w:kern w:val="0"/>
              </w:rPr>
              <w:t>1.53%</w:t>
            </w:r>
          </w:p>
        </w:tc>
        <w:tc>
          <w:tcPr>
            <w:tcW w:w="1181" w:type="dxa"/>
            <w:vAlign w:val="center"/>
          </w:tcPr>
          <w:p w:rsidR="00FD33E9" w:rsidRDefault="00DB378C">
            <w:pPr>
              <w:jc w:val="center"/>
            </w:pPr>
            <w:r>
              <w:rPr>
                <w:rFonts w:eastAsiaTheme="minorEastAsia"/>
                <w:color w:val="000000" w:themeColor="text1"/>
                <w:kern w:val="0"/>
              </w:rPr>
              <w:t>19.78%</w:t>
            </w:r>
          </w:p>
        </w:tc>
        <w:tc>
          <w:tcPr>
            <w:tcW w:w="1188" w:type="dxa"/>
            <w:vAlign w:val="center"/>
          </w:tcPr>
          <w:p w:rsidR="00FD33E9" w:rsidRDefault="00DB378C">
            <w:pPr>
              <w:jc w:val="center"/>
            </w:pPr>
            <w:r>
              <w:rPr>
                <w:rFonts w:eastAsiaTheme="minorEastAsia"/>
                <w:color w:val="000000" w:themeColor="text1"/>
                <w:kern w:val="0"/>
              </w:rPr>
              <w:t>1.05%</w:t>
            </w:r>
          </w:p>
        </w:tc>
        <w:tc>
          <w:tcPr>
            <w:tcW w:w="1199" w:type="dxa"/>
            <w:vAlign w:val="center"/>
          </w:tcPr>
          <w:p w:rsidR="00FD33E9" w:rsidRDefault="00DB378C">
            <w:pPr>
              <w:jc w:val="center"/>
            </w:pPr>
            <w:r>
              <w:rPr>
                <w:rFonts w:eastAsiaTheme="minorEastAsia"/>
                <w:color w:val="000000" w:themeColor="text1"/>
                <w:kern w:val="0"/>
              </w:rPr>
              <w:t>39.30%</w:t>
            </w:r>
          </w:p>
        </w:tc>
        <w:tc>
          <w:tcPr>
            <w:tcW w:w="1204" w:type="dxa"/>
            <w:vAlign w:val="center"/>
          </w:tcPr>
          <w:p w:rsidR="00FD33E9" w:rsidRDefault="00DB378C">
            <w:pPr>
              <w:jc w:val="center"/>
            </w:pPr>
            <w:r>
              <w:rPr>
                <w:rFonts w:eastAsiaTheme="minorEastAsia"/>
                <w:color w:val="000000" w:themeColor="text1"/>
                <w:kern w:val="0"/>
              </w:rPr>
              <w:t>0.48%</w:t>
            </w:r>
          </w:p>
        </w:tc>
      </w:tr>
      <w:tr w:rsidR="00FD33E9">
        <w:tc>
          <w:tcPr>
            <w:tcW w:w="1395" w:type="dxa"/>
            <w:vAlign w:val="center"/>
          </w:tcPr>
          <w:p w:rsidR="00FD33E9" w:rsidRDefault="00DB378C">
            <w:pPr>
              <w:jc w:val="left"/>
            </w:pPr>
            <w:r>
              <w:rPr>
                <w:rFonts w:eastAsiaTheme="minorEastAsia"/>
                <w:color w:val="000000" w:themeColor="text1"/>
                <w:kern w:val="0"/>
              </w:rPr>
              <w:t>自基金合同生效起至今</w:t>
            </w:r>
          </w:p>
        </w:tc>
        <w:tc>
          <w:tcPr>
            <w:tcW w:w="1092" w:type="dxa"/>
            <w:vAlign w:val="center"/>
          </w:tcPr>
          <w:p w:rsidR="00FD33E9" w:rsidRDefault="00DB378C">
            <w:pPr>
              <w:jc w:val="center"/>
            </w:pPr>
            <w:r>
              <w:rPr>
                <w:rFonts w:eastAsiaTheme="minorEastAsia"/>
                <w:color w:val="000000" w:themeColor="text1"/>
                <w:kern w:val="0"/>
              </w:rPr>
              <w:t>219.79%</w:t>
            </w:r>
          </w:p>
        </w:tc>
        <w:tc>
          <w:tcPr>
            <w:tcW w:w="1161" w:type="dxa"/>
            <w:vAlign w:val="center"/>
          </w:tcPr>
          <w:p w:rsidR="00FD33E9" w:rsidRDefault="00DB378C">
            <w:pPr>
              <w:jc w:val="center"/>
            </w:pPr>
            <w:r>
              <w:rPr>
                <w:rFonts w:eastAsiaTheme="minorEastAsia"/>
                <w:color w:val="000000" w:themeColor="text1"/>
                <w:kern w:val="0"/>
              </w:rPr>
              <w:t>1.72%</w:t>
            </w:r>
          </w:p>
        </w:tc>
        <w:tc>
          <w:tcPr>
            <w:tcW w:w="1181" w:type="dxa"/>
            <w:vAlign w:val="center"/>
          </w:tcPr>
          <w:p w:rsidR="00FD33E9" w:rsidRDefault="00DB378C">
            <w:pPr>
              <w:jc w:val="center"/>
            </w:pPr>
            <w:r>
              <w:rPr>
                <w:rFonts w:eastAsiaTheme="minorEastAsia"/>
                <w:color w:val="000000" w:themeColor="text1"/>
                <w:kern w:val="0"/>
              </w:rPr>
              <w:t>84.71%</w:t>
            </w:r>
          </w:p>
        </w:tc>
        <w:tc>
          <w:tcPr>
            <w:tcW w:w="1188" w:type="dxa"/>
            <w:vAlign w:val="center"/>
          </w:tcPr>
          <w:p w:rsidR="00FD33E9" w:rsidRDefault="00DB378C">
            <w:pPr>
              <w:jc w:val="center"/>
            </w:pPr>
            <w:r>
              <w:rPr>
                <w:rFonts w:eastAsiaTheme="minorEastAsia"/>
                <w:color w:val="000000" w:themeColor="text1"/>
                <w:kern w:val="0"/>
              </w:rPr>
              <w:t>1.23%</w:t>
            </w:r>
          </w:p>
        </w:tc>
        <w:tc>
          <w:tcPr>
            <w:tcW w:w="1199" w:type="dxa"/>
            <w:vAlign w:val="center"/>
          </w:tcPr>
          <w:p w:rsidR="00FD33E9" w:rsidRDefault="00DB378C">
            <w:pPr>
              <w:jc w:val="center"/>
            </w:pPr>
            <w:r>
              <w:rPr>
                <w:rFonts w:eastAsiaTheme="minorEastAsia"/>
                <w:color w:val="000000" w:themeColor="text1"/>
                <w:kern w:val="0"/>
              </w:rPr>
              <w:t>135.08%</w:t>
            </w:r>
          </w:p>
        </w:tc>
        <w:tc>
          <w:tcPr>
            <w:tcW w:w="1204" w:type="dxa"/>
            <w:vAlign w:val="center"/>
          </w:tcPr>
          <w:p w:rsidR="00FD33E9" w:rsidRDefault="00DB378C">
            <w:pPr>
              <w:jc w:val="center"/>
            </w:pPr>
            <w:r>
              <w:rPr>
                <w:rFonts w:eastAsiaTheme="minorEastAsia"/>
                <w:color w:val="000000" w:themeColor="text1"/>
                <w:kern w:val="0"/>
              </w:rPr>
              <w:t>0.49%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上投摩根民生需求股票型证券投资基金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14</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FD33E9" w:rsidRDefault="00DB378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14</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FD33E9">
        <w:tc>
          <w:tcPr>
            <w:tcW w:w="851" w:type="dxa"/>
            <w:vAlign w:val="center"/>
          </w:tcPr>
          <w:p w:rsidR="00FD33E9" w:rsidRDefault="00DB378C">
            <w:pPr>
              <w:jc w:val="center"/>
            </w:pPr>
            <w:r>
              <w:rPr>
                <w:rFonts w:eastAsiaTheme="minorEastAsia"/>
                <w:color w:val="000000" w:themeColor="text1"/>
              </w:rPr>
              <w:t>杨景喻</w:t>
            </w:r>
          </w:p>
        </w:tc>
        <w:tc>
          <w:tcPr>
            <w:tcW w:w="850" w:type="dxa"/>
            <w:vAlign w:val="center"/>
          </w:tcPr>
          <w:p w:rsidR="00FD33E9" w:rsidRDefault="00DB378C">
            <w:pPr>
              <w:jc w:val="center"/>
            </w:pPr>
            <w:r>
              <w:rPr>
                <w:rFonts w:eastAsiaTheme="minorEastAsia"/>
                <w:color w:val="000000" w:themeColor="text1"/>
              </w:rPr>
              <w:t>本基金基金经理</w:t>
            </w:r>
          </w:p>
        </w:tc>
        <w:tc>
          <w:tcPr>
            <w:tcW w:w="1560" w:type="dxa"/>
            <w:vAlign w:val="center"/>
          </w:tcPr>
          <w:p w:rsidR="00FD33E9" w:rsidRDefault="00DB378C">
            <w:pPr>
              <w:jc w:val="center"/>
            </w:pPr>
            <w:r>
              <w:rPr>
                <w:rFonts w:eastAsiaTheme="minorEastAsia"/>
                <w:color w:val="000000" w:themeColor="text1"/>
              </w:rPr>
              <w:t>2019-04-26</w:t>
            </w:r>
          </w:p>
        </w:tc>
        <w:tc>
          <w:tcPr>
            <w:tcW w:w="1559" w:type="dxa"/>
            <w:vAlign w:val="center"/>
          </w:tcPr>
          <w:p w:rsidR="00FD33E9" w:rsidRDefault="00DB378C">
            <w:pPr>
              <w:jc w:val="center"/>
            </w:pPr>
            <w:r>
              <w:rPr>
                <w:rFonts w:eastAsiaTheme="minorEastAsia"/>
                <w:color w:val="000000" w:themeColor="text1"/>
              </w:rPr>
              <w:t>-</w:t>
            </w:r>
          </w:p>
        </w:tc>
        <w:tc>
          <w:tcPr>
            <w:tcW w:w="1417" w:type="dxa"/>
            <w:vAlign w:val="center"/>
          </w:tcPr>
          <w:p w:rsidR="00FD33E9" w:rsidRDefault="00DB378C">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FD33E9" w:rsidRDefault="00DB378C">
            <w:r>
              <w:rPr>
                <w:rFonts w:eastAsiaTheme="minorEastAsia"/>
                <w:color w:val="000000" w:themeColor="text1"/>
              </w:rPr>
              <w:t>杨景喻先生，</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07</w:t>
            </w:r>
            <w:r>
              <w:rPr>
                <w:rFonts w:eastAsiaTheme="minorEastAsia"/>
                <w:color w:val="000000" w:themeColor="text1"/>
              </w:rPr>
              <w:t>月至</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03</w:t>
            </w:r>
            <w:r>
              <w:rPr>
                <w:rFonts w:eastAsiaTheme="minorEastAsia"/>
                <w:color w:val="000000" w:themeColor="text1"/>
              </w:rPr>
              <w:t>月在广发基金管理有限公司担任研究员。自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月起加入上投摩根基金管理有限公司，先后担任行业专家、基金经理助理、基金经理，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月担任上投摩根中国优势证券投资基金基金经理，自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月起担任上投摩根新兴服务股票型证券投资基金基金经理，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月同时担任上投摩根智慧生活灵活配置混合型证券投资基金基金经理，自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月起同时担任上投摩根民生需求股票型证券投资基金基金经理，自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月起同时担任上投摩根转型动力灵活配置混合型证券投资基金基金经理。</w:t>
            </w:r>
          </w:p>
        </w:tc>
      </w:tr>
    </w:tbl>
    <w:p w:rsidR="00FD33E9" w:rsidRDefault="00DB378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2.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民生需求股票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2022</w:t>
      </w:r>
      <w:r>
        <w:rPr>
          <w:rFonts w:eastAsiaTheme="minorEastAsia"/>
          <w:color w:val="000000" w:themeColor="text1"/>
        </w:rPr>
        <w:t>年一季度市场振荡向下。宏观层面并不乐观，国内经济受疫情和地产政策的影响较为疲弱，海外通胀节节攀升推动的美联储加息则制约了国内货币政策调节的空间。加之部分成长型行业业绩增速放缓，带来了较为剧烈的估值收缩。我们的持仓当中，配置于大金融、农林牧渔行业的个股表现较为坚挺，但消费和成长型行业的下跌显著，对季度净值表现带来负面影响。</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经过</w:t>
      </w:r>
      <w:r>
        <w:rPr>
          <w:rFonts w:eastAsiaTheme="minorEastAsia"/>
          <w:color w:val="000000" w:themeColor="text1"/>
        </w:rPr>
        <w:t>2019-2020</w:t>
      </w:r>
      <w:r>
        <w:rPr>
          <w:rFonts w:eastAsiaTheme="minorEastAsia"/>
          <w:color w:val="000000" w:themeColor="text1"/>
        </w:rPr>
        <w:t>年的</w:t>
      </w:r>
      <w:r>
        <w:rPr>
          <w:rFonts w:eastAsiaTheme="minorEastAsia"/>
          <w:color w:val="000000" w:themeColor="text1"/>
        </w:rPr>
        <w:t>“</w:t>
      </w:r>
      <w:r>
        <w:rPr>
          <w:rFonts w:eastAsiaTheme="minorEastAsia"/>
          <w:color w:val="000000" w:themeColor="text1"/>
        </w:rPr>
        <w:t>赛道</w:t>
      </w:r>
      <w:r>
        <w:rPr>
          <w:rFonts w:eastAsiaTheme="minorEastAsia"/>
          <w:color w:val="000000" w:themeColor="text1"/>
        </w:rPr>
        <w:t>”</w:t>
      </w:r>
      <w:r>
        <w:rPr>
          <w:rFonts w:eastAsiaTheme="minorEastAsia"/>
          <w:color w:val="000000" w:themeColor="text1"/>
        </w:rPr>
        <w:t>行情，以及</w:t>
      </w:r>
      <w:r>
        <w:rPr>
          <w:rFonts w:eastAsiaTheme="minorEastAsia"/>
          <w:color w:val="000000" w:themeColor="text1"/>
        </w:rPr>
        <w:t>2021</w:t>
      </w:r>
      <w:r>
        <w:rPr>
          <w:rFonts w:eastAsiaTheme="minorEastAsia"/>
          <w:color w:val="000000" w:themeColor="text1"/>
        </w:rPr>
        <w:t>年的新能源行情，市场不同行业板块之间的估值差距较大。不同行业之间的估值收敛实际已在</w:t>
      </w:r>
      <w:r>
        <w:rPr>
          <w:rFonts w:eastAsiaTheme="minorEastAsia"/>
          <w:color w:val="000000" w:themeColor="text1"/>
        </w:rPr>
        <w:t>2021</w:t>
      </w:r>
      <w:r>
        <w:rPr>
          <w:rFonts w:eastAsiaTheme="minorEastAsia"/>
          <w:color w:val="000000" w:themeColor="text1"/>
        </w:rPr>
        <w:t>年开启，目前看仍然处于这个过程当中。而市场偏熊的基调使得估值收敛的部分行业出现较为显著的回调，而部分估值提升的行业，其基本面的改善尚未反映到财务报表上。这在某种程度上加大了投资的难度。</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但我们观察到，在经历估值收敛的成长型行业当中，其下跌开始的时点各不相同。如医药医疗服务板块的下跌早在</w:t>
      </w:r>
      <w:r>
        <w:rPr>
          <w:rFonts w:eastAsiaTheme="minorEastAsia"/>
          <w:color w:val="000000" w:themeColor="text1"/>
        </w:rPr>
        <w:t>2021</w:t>
      </w:r>
      <w:r>
        <w:rPr>
          <w:rFonts w:eastAsiaTheme="minorEastAsia"/>
          <w:color w:val="000000" w:themeColor="text1"/>
        </w:rPr>
        <w:t>年春节后即已开始，可选消费品板块的下跌从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月开始，新能源板块的调整则开始于去年</w:t>
      </w:r>
      <w:r>
        <w:rPr>
          <w:rFonts w:eastAsiaTheme="minorEastAsia"/>
          <w:color w:val="000000" w:themeColor="text1"/>
        </w:rPr>
        <w:t>9</w:t>
      </w:r>
      <w:r>
        <w:rPr>
          <w:rFonts w:eastAsiaTheme="minorEastAsia"/>
          <w:color w:val="000000" w:themeColor="text1"/>
        </w:rPr>
        <w:t>月。换句话说，部分成长型行业在今年</w:t>
      </w:r>
      <w:r>
        <w:rPr>
          <w:rFonts w:eastAsiaTheme="minorEastAsia"/>
          <w:color w:val="000000" w:themeColor="text1"/>
        </w:rPr>
        <w:t>3</w:t>
      </w:r>
      <w:r>
        <w:rPr>
          <w:rFonts w:eastAsiaTheme="minorEastAsia"/>
          <w:color w:val="000000" w:themeColor="text1"/>
        </w:rPr>
        <w:t>月时，已经经历了半年至一年不等的持续调整。</w:t>
      </w:r>
      <w:r>
        <w:rPr>
          <w:rFonts w:eastAsiaTheme="minorEastAsia"/>
          <w:color w:val="000000" w:themeColor="text1"/>
        </w:rPr>
        <w:t>3</w:t>
      </w:r>
      <w:r>
        <w:rPr>
          <w:rFonts w:eastAsiaTheme="minorEastAsia"/>
          <w:color w:val="000000" w:themeColor="text1"/>
        </w:rPr>
        <w:t>月份系统性的风险释放则使得这些板块估值进一步下行。我们看到部分优质个股的估值水平达到了其上市以来偏低，甚至最低的水平。考虑到其仍然坚挺的基本面，业绩的高增长，行业的高景气，这类成长股具有很高的性价比。</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另一方面，我们也十分重视价值股业绩与估值双升带来的投资机会。历史经验告诉我们，在宏观经济触底回升伴随房地产政策放松的阶段，和宏观经济关系紧密的周期型价值股会体现出较为显著的业绩改善。如果业绩的显著改善发生在估值的低点，则具备明确的投资价值，而上行空间则取决于相关个股的经营能力所决定的客观估值中枢。</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二季度，货币政策和财政政策有望双轮发力，对宏观经济形成托底。房地产政策预计仍然有进一步放松的空间。疫情影响是目前难以确定的一个变量，但我们坚信能够战胜，所需的是时间。因此，我们对市场整体保持谨慎看法，在配置上保持均衡稳健，重点配置估值底部的成长股以及业绩增速进入上行阶段的低估值价值股。本基金经理将继续勤勉尽责，争取为持有人创造良好的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本报告期上投摩根民生需求股票份额净值增长率为</w:t>
      </w:r>
      <w:r w:rsidRPr="00FF6B9A">
        <w:rPr>
          <w:rFonts w:eastAsiaTheme="minorEastAsia"/>
          <w:color w:val="000000" w:themeColor="text1"/>
        </w:rPr>
        <w:t>:-21.06%</w:t>
      </w:r>
      <w:r w:rsidRPr="00FF6B9A">
        <w:rPr>
          <w:rFonts w:eastAsiaTheme="minorEastAsia"/>
          <w:color w:val="000000" w:themeColor="text1"/>
        </w:rPr>
        <w:t>，同期业绩比较基准收益率为</w:t>
      </w:r>
      <w:r w:rsidRPr="00FF6B9A">
        <w:rPr>
          <w:rFonts w:eastAsiaTheme="minorEastAsia"/>
          <w:color w:val="000000" w:themeColor="text1"/>
        </w:rPr>
        <w:t>:-12.39%</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130,934,772.83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82.92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130,934,772.83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82.92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899.16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899.16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26,854,603.67</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17.01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119,415.64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157,909,691.30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13,720,294.10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8.74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3,739,035.30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2.38</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78,766,781.30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50.19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2,679,804.00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16,541.00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8,523,185.65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17,993,155.83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11.47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855,722.00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1,723,308.99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6,441.10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2,902,900.36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130,934,772.83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83.43</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FD33E9">
        <w:tc>
          <w:tcPr>
            <w:tcW w:w="817" w:type="dxa"/>
            <w:vAlign w:val="center"/>
          </w:tcPr>
          <w:p w:rsidR="00FD33E9" w:rsidRDefault="00DB378C">
            <w:pPr>
              <w:jc w:val="center"/>
            </w:pPr>
            <w:r>
              <w:rPr>
                <w:rFonts w:eastAsiaTheme="minorEastAsia"/>
                <w:kern w:val="0"/>
                <w:sz w:val="24"/>
                <w:szCs w:val="24"/>
              </w:rPr>
              <w:t>1</w:t>
            </w:r>
          </w:p>
        </w:tc>
        <w:tc>
          <w:tcPr>
            <w:tcW w:w="1276" w:type="dxa"/>
            <w:vAlign w:val="center"/>
          </w:tcPr>
          <w:p w:rsidR="00FD33E9" w:rsidRDefault="00DB378C">
            <w:pPr>
              <w:jc w:val="center"/>
            </w:pPr>
            <w:r>
              <w:rPr>
                <w:rFonts w:eastAsiaTheme="minorEastAsia"/>
                <w:kern w:val="0"/>
                <w:sz w:val="24"/>
                <w:szCs w:val="24"/>
              </w:rPr>
              <w:t>002714</w:t>
            </w:r>
          </w:p>
        </w:tc>
        <w:tc>
          <w:tcPr>
            <w:tcW w:w="1701" w:type="dxa"/>
            <w:vAlign w:val="center"/>
          </w:tcPr>
          <w:p w:rsidR="00FD33E9" w:rsidRDefault="00DB378C">
            <w:pPr>
              <w:jc w:val="center"/>
            </w:pPr>
            <w:r>
              <w:rPr>
                <w:rFonts w:eastAsiaTheme="minorEastAsia"/>
                <w:kern w:val="0"/>
                <w:sz w:val="24"/>
                <w:szCs w:val="24"/>
              </w:rPr>
              <w:t>牧原股份</w:t>
            </w:r>
          </w:p>
        </w:tc>
        <w:tc>
          <w:tcPr>
            <w:tcW w:w="1276" w:type="dxa"/>
            <w:vAlign w:val="center"/>
          </w:tcPr>
          <w:p w:rsidR="00FD33E9" w:rsidRDefault="00DB378C">
            <w:pPr>
              <w:jc w:val="right"/>
            </w:pPr>
            <w:r>
              <w:rPr>
                <w:rFonts w:eastAsiaTheme="minorEastAsia"/>
                <w:kern w:val="0"/>
                <w:sz w:val="24"/>
                <w:szCs w:val="24"/>
              </w:rPr>
              <w:t>144,800</w:t>
            </w:r>
          </w:p>
        </w:tc>
        <w:tc>
          <w:tcPr>
            <w:tcW w:w="1842" w:type="dxa"/>
            <w:vAlign w:val="center"/>
          </w:tcPr>
          <w:p w:rsidR="00FD33E9" w:rsidRDefault="00DB378C">
            <w:pPr>
              <w:jc w:val="right"/>
            </w:pPr>
            <w:r>
              <w:rPr>
                <w:rFonts w:eastAsiaTheme="minorEastAsia"/>
                <w:kern w:val="0"/>
                <w:sz w:val="24"/>
                <w:szCs w:val="24"/>
              </w:rPr>
              <w:t>8,233,328.00</w:t>
            </w:r>
          </w:p>
        </w:tc>
        <w:tc>
          <w:tcPr>
            <w:tcW w:w="1616" w:type="dxa"/>
            <w:vAlign w:val="center"/>
          </w:tcPr>
          <w:p w:rsidR="00FD33E9" w:rsidRDefault="00DB378C">
            <w:pPr>
              <w:jc w:val="right"/>
            </w:pPr>
            <w:r>
              <w:rPr>
                <w:rFonts w:eastAsiaTheme="minorEastAsia"/>
                <w:kern w:val="0"/>
                <w:sz w:val="24"/>
                <w:szCs w:val="24"/>
              </w:rPr>
              <w:t>5.25</w:t>
            </w:r>
          </w:p>
        </w:tc>
      </w:tr>
      <w:tr w:rsidR="00FD33E9">
        <w:tc>
          <w:tcPr>
            <w:tcW w:w="817" w:type="dxa"/>
            <w:vAlign w:val="center"/>
          </w:tcPr>
          <w:p w:rsidR="00FD33E9" w:rsidRDefault="00DB378C">
            <w:pPr>
              <w:jc w:val="center"/>
            </w:pPr>
            <w:r>
              <w:rPr>
                <w:rFonts w:eastAsiaTheme="minorEastAsia"/>
                <w:kern w:val="0"/>
                <w:sz w:val="24"/>
                <w:szCs w:val="24"/>
              </w:rPr>
              <w:t>2</w:t>
            </w:r>
          </w:p>
        </w:tc>
        <w:tc>
          <w:tcPr>
            <w:tcW w:w="1276" w:type="dxa"/>
            <w:vAlign w:val="center"/>
          </w:tcPr>
          <w:p w:rsidR="00FD33E9" w:rsidRDefault="00DB378C">
            <w:pPr>
              <w:jc w:val="center"/>
            </w:pPr>
            <w:r>
              <w:rPr>
                <w:rFonts w:eastAsiaTheme="minorEastAsia"/>
                <w:kern w:val="0"/>
                <w:sz w:val="24"/>
                <w:szCs w:val="24"/>
              </w:rPr>
              <w:t>600519</w:t>
            </w:r>
          </w:p>
        </w:tc>
        <w:tc>
          <w:tcPr>
            <w:tcW w:w="1701" w:type="dxa"/>
            <w:vAlign w:val="center"/>
          </w:tcPr>
          <w:p w:rsidR="00FD33E9" w:rsidRDefault="00DB378C">
            <w:pPr>
              <w:jc w:val="center"/>
            </w:pPr>
            <w:r>
              <w:rPr>
                <w:rFonts w:eastAsiaTheme="minorEastAsia"/>
                <w:kern w:val="0"/>
                <w:sz w:val="24"/>
                <w:szCs w:val="24"/>
              </w:rPr>
              <w:t>贵州茅台</w:t>
            </w:r>
          </w:p>
        </w:tc>
        <w:tc>
          <w:tcPr>
            <w:tcW w:w="1276" w:type="dxa"/>
            <w:vAlign w:val="center"/>
          </w:tcPr>
          <w:p w:rsidR="00FD33E9" w:rsidRDefault="00DB378C">
            <w:pPr>
              <w:jc w:val="right"/>
            </w:pPr>
            <w:r>
              <w:rPr>
                <w:rFonts w:eastAsiaTheme="minorEastAsia"/>
                <w:kern w:val="0"/>
                <w:sz w:val="24"/>
                <w:szCs w:val="24"/>
              </w:rPr>
              <w:t>4,100</w:t>
            </w:r>
          </w:p>
        </w:tc>
        <w:tc>
          <w:tcPr>
            <w:tcW w:w="1842" w:type="dxa"/>
            <w:vAlign w:val="center"/>
          </w:tcPr>
          <w:p w:rsidR="00FD33E9" w:rsidRDefault="00DB378C">
            <w:pPr>
              <w:jc w:val="right"/>
            </w:pPr>
            <w:r>
              <w:rPr>
                <w:rFonts w:eastAsiaTheme="minorEastAsia"/>
                <w:kern w:val="0"/>
                <w:sz w:val="24"/>
                <w:szCs w:val="24"/>
              </w:rPr>
              <w:t>7,047,900.00</w:t>
            </w:r>
          </w:p>
        </w:tc>
        <w:tc>
          <w:tcPr>
            <w:tcW w:w="1616" w:type="dxa"/>
            <w:vAlign w:val="center"/>
          </w:tcPr>
          <w:p w:rsidR="00FD33E9" w:rsidRDefault="00DB378C">
            <w:pPr>
              <w:jc w:val="right"/>
            </w:pPr>
            <w:r>
              <w:rPr>
                <w:rFonts w:eastAsiaTheme="minorEastAsia"/>
                <w:kern w:val="0"/>
                <w:sz w:val="24"/>
                <w:szCs w:val="24"/>
              </w:rPr>
              <w:t>4.49</w:t>
            </w:r>
          </w:p>
        </w:tc>
      </w:tr>
      <w:tr w:rsidR="00FD33E9">
        <w:tc>
          <w:tcPr>
            <w:tcW w:w="817" w:type="dxa"/>
            <w:vAlign w:val="center"/>
          </w:tcPr>
          <w:p w:rsidR="00FD33E9" w:rsidRDefault="00DB378C">
            <w:pPr>
              <w:jc w:val="center"/>
            </w:pPr>
            <w:r>
              <w:rPr>
                <w:rFonts w:eastAsiaTheme="minorEastAsia"/>
                <w:kern w:val="0"/>
                <w:sz w:val="24"/>
                <w:szCs w:val="24"/>
              </w:rPr>
              <w:t>3</w:t>
            </w:r>
          </w:p>
        </w:tc>
        <w:tc>
          <w:tcPr>
            <w:tcW w:w="1276" w:type="dxa"/>
            <w:vAlign w:val="center"/>
          </w:tcPr>
          <w:p w:rsidR="00FD33E9" w:rsidRDefault="00DB378C">
            <w:pPr>
              <w:jc w:val="center"/>
            </w:pPr>
            <w:r>
              <w:rPr>
                <w:rFonts w:eastAsiaTheme="minorEastAsia"/>
                <w:kern w:val="0"/>
                <w:sz w:val="24"/>
                <w:szCs w:val="24"/>
              </w:rPr>
              <w:t>300498</w:t>
            </w:r>
          </w:p>
        </w:tc>
        <w:tc>
          <w:tcPr>
            <w:tcW w:w="1701" w:type="dxa"/>
            <w:vAlign w:val="center"/>
          </w:tcPr>
          <w:p w:rsidR="00FD33E9" w:rsidRDefault="00DB378C">
            <w:pPr>
              <w:jc w:val="center"/>
            </w:pPr>
            <w:r>
              <w:rPr>
                <w:rFonts w:eastAsiaTheme="minorEastAsia"/>
                <w:kern w:val="0"/>
                <w:sz w:val="24"/>
                <w:szCs w:val="24"/>
              </w:rPr>
              <w:t>温氏股份</w:t>
            </w:r>
          </w:p>
        </w:tc>
        <w:tc>
          <w:tcPr>
            <w:tcW w:w="1276" w:type="dxa"/>
            <w:vAlign w:val="center"/>
          </w:tcPr>
          <w:p w:rsidR="00FD33E9" w:rsidRDefault="00DB378C">
            <w:pPr>
              <w:jc w:val="right"/>
            </w:pPr>
            <w:r>
              <w:rPr>
                <w:rFonts w:eastAsiaTheme="minorEastAsia"/>
                <w:kern w:val="0"/>
                <w:sz w:val="24"/>
                <w:szCs w:val="24"/>
              </w:rPr>
              <w:t>248,842</w:t>
            </w:r>
          </w:p>
        </w:tc>
        <w:tc>
          <w:tcPr>
            <w:tcW w:w="1842" w:type="dxa"/>
            <w:vAlign w:val="center"/>
          </w:tcPr>
          <w:p w:rsidR="00FD33E9" w:rsidRDefault="00DB378C">
            <w:pPr>
              <w:jc w:val="right"/>
            </w:pPr>
            <w:r>
              <w:rPr>
                <w:rFonts w:eastAsiaTheme="minorEastAsia"/>
                <w:kern w:val="0"/>
                <w:sz w:val="24"/>
                <w:szCs w:val="24"/>
              </w:rPr>
              <w:t>5,486,966.10</w:t>
            </w:r>
          </w:p>
        </w:tc>
        <w:tc>
          <w:tcPr>
            <w:tcW w:w="1616" w:type="dxa"/>
            <w:vAlign w:val="center"/>
          </w:tcPr>
          <w:p w:rsidR="00FD33E9" w:rsidRDefault="00DB378C">
            <w:pPr>
              <w:jc w:val="right"/>
            </w:pPr>
            <w:r>
              <w:rPr>
                <w:rFonts w:eastAsiaTheme="minorEastAsia"/>
                <w:kern w:val="0"/>
                <w:sz w:val="24"/>
                <w:szCs w:val="24"/>
              </w:rPr>
              <w:t>3.50</w:t>
            </w:r>
          </w:p>
        </w:tc>
      </w:tr>
      <w:tr w:rsidR="00FD33E9">
        <w:tc>
          <w:tcPr>
            <w:tcW w:w="817" w:type="dxa"/>
            <w:vAlign w:val="center"/>
          </w:tcPr>
          <w:p w:rsidR="00FD33E9" w:rsidRDefault="00DB378C">
            <w:pPr>
              <w:jc w:val="center"/>
            </w:pPr>
            <w:r>
              <w:rPr>
                <w:rFonts w:eastAsiaTheme="minorEastAsia"/>
                <w:kern w:val="0"/>
                <w:sz w:val="24"/>
                <w:szCs w:val="24"/>
              </w:rPr>
              <w:t>4</w:t>
            </w:r>
          </w:p>
        </w:tc>
        <w:tc>
          <w:tcPr>
            <w:tcW w:w="1276" w:type="dxa"/>
            <w:vAlign w:val="center"/>
          </w:tcPr>
          <w:p w:rsidR="00FD33E9" w:rsidRDefault="00DB378C">
            <w:pPr>
              <w:jc w:val="center"/>
            </w:pPr>
            <w:r>
              <w:rPr>
                <w:rFonts w:eastAsiaTheme="minorEastAsia"/>
                <w:kern w:val="0"/>
                <w:sz w:val="24"/>
                <w:szCs w:val="24"/>
              </w:rPr>
              <w:t>002049</w:t>
            </w:r>
          </w:p>
        </w:tc>
        <w:tc>
          <w:tcPr>
            <w:tcW w:w="1701" w:type="dxa"/>
            <w:vAlign w:val="center"/>
          </w:tcPr>
          <w:p w:rsidR="00FD33E9" w:rsidRDefault="00DB378C">
            <w:pPr>
              <w:jc w:val="center"/>
            </w:pPr>
            <w:r>
              <w:rPr>
                <w:rFonts w:eastAsiaTheme="minorEastAsia"/>
                <w:kern w:val="0"/>
                <w:sz w:val="24"/>
                <w:szCs w:val="24"/>
              </w:rPr>
              <w:t>紫光国微</w:t>
            </w:r>
          </w:p>
        </w:tc>
        <w:tc>
          <w:tcPr>
            <w:tcW w:w="1276" w:type="dxa"/>
            <w:vAlign w:val="center"/>
          </w:tcPr>
          <w:p w:rsidR="00FD33E9" w:rsidRDefault="00DB378C">
            <w:pPr>
              <w:jc w:val="right"/>
            </w:pPr>
            <w:r>
              <w:rPr>
                <w:rFonts w:eastAsiaTheme="minorEastAsia"/>
                <w:kern w:val="0"/>
                <w:sz w:val="24"/>
                <w:szCs w:val="24"/>
              </w:rPr>
              <w:t>24,800</w:t>
            </w:r>
          </w:p>
        </w:tc>
        <w:tc>
          <w:tcPr>
            <w:tcW w:w="1842" w:type="dxa"/>
            <w:vAlign w:val="center"/>
          </w:tcPr>
          <w:p w:rsidR="00FD33E9" w:rsidRDefault="00DB378C">
            <w:pPr>
              <w:jc w:val="right"/>
            </w:pPr>
            <w:r>
              <w:rPr>
                <w:rFonts w:eastAsiaTheme="minorEastAsia"/>
                <w:kern w:val="0"/>
                <w:sz w:val="24"/>
                <w:szCs w:val="24"/>
              </w:rPr>
              <w:t>5,072,592.00</w:t>
            </w:r>
          </w:p>
        </w:tc>
        <w:tc>
          <w:tcPr>
            <w:tcW w:w="1616" w:type="dxa"/>
            <w:vAlign w:val="center"/>
          </w:tcPr>
          <w:p w:rsidR="00FD33E9" w:rsidRDefault="00DB378C">
            <w:pPr>
              <w:jc w:val="right"/>
            </w:pPr>
            <w:r>
              <w:rPr>
                <w:rFonts w:eastAsiaTheme="minorEastAsia"/>
                <w:kern w:val="0"/>
                <w:sz w:val="24"/>
                <w:szCs w:val="24"/>
              </w:rPr>
              <w:t>3.23</w:t>
            </w:r>
          </w:p>
        </w:tc>
      </w:tr>
      <w:tr w:rsidR="00FD33E9">
        <w:tc>
          <w:tcPr>
            <w:tcW w:w="817" w:type="dxa"/>
            <w:vAlign w:val="center"/>
          </w:tcPr>
          <w:p w:rsidR="00FD33E9" w:rsidRDefault="00DB378C">
            <w:pPr>
              <w:jc w:val="center"/>
            </w:pPr>
            <w:r>
              <w:rPr>
                <w:rFonts w:eastAsiaTheme="minorEastAsia"/>
                <w:kern w:val="0"/>
                <w:sz w:val="24"/>
                <w:szCs w:val="24"/>
              </w:rPr>
              <w:t>5</w:t>
            </w:r>
          </w:p>
        </w:tc>
        <w:tc>
          <w:tcPr>
            <w:tcW w:w="1276" w:type="dxa"/>
            <w:vAlign w:val="center"/>
          </w:tcPr>
          <w:p w:rsidR="00FD33E9" w:rsidRDefault="00DB378C">
            <w:pPr>
              <w:jc w:val="center"/>
            </w:pPr>
            <w:r>
              <w:rPr>
                <w:rFonts w:eastAsiaTheme="minorEastAsia"/>
                <w:kern w:val="0"/>
                <w:sz w:val="24"/>
                <w:szCs w:val="24"/>
              </w:rPr>
              <w:t>603323</w:t>
            </w:r>
          </w:p>
        </w:tc>
        <w:tc>
          <w:tcPr>
            <w:tcW w:w="1701" w:type="dxa"/>
            <w:vAlign w:val="center"/>
          </w:tcPr>
          <w:p w:rsidR="00FD33E9" w:rsidRDefault="00DB378C">
            <w:pPr>
              <w:jc w:val="center"/>
            </w:pPr>
            <w:r>
              <w:rPr>
                <w:rFonts w:eastAsiaTheme="minorEastAsia"/>
                <w:kern w:val="0"/>
                <w:sz w:val="24"/>
                <w:szCs w:val="24"/>
              </w:rPr>
              <w:t>苏农银行</w:t>
            </w:r>
          </w:p>
        </w:tc>
        <w:tc>
          <w:tcPr>
            <w:tcW w:w="1276" w:type="dxa"/>
            <w:vAlign w:val="center"/>
          </w:tcPr>
          <w:p w:rsidR="00FD33E9" w:rsidRDefault="00DB378C">
            <w:pPr>
              <w:jc w:val="right"/>
            </w:pPr>
            <w:r>
              <w:rPr>
                <w:rFonts w:eastAsiaTheme="minorEastAsia"/>
                <w:kern w:val="0"/>
                <w:sz w:val="24"/>
                <w:szCs w:val="24"/>
              </w:rPr>
              <w:t>955,200</w:t>
            </w:r>
          </w:p>
        </w:tc>
        <w:tc>
          <w:tcPr>
            <w:tcW w:w="1842" w:type="dxa"/>
            <w:vAlign w:val="center"/>
          </w:tcPr>
          <w:p w:rsidR="00FD33E9" w:rsidRDefault="00DB378C">
            <w:pPr>
              <w:jc w:val="right"/>
            </w:pPr>
            <w:r>
              <w:rPr>
                <w:rFonts w:eastAsiaTheme="minorEastAsia"/>
                <w:kern w:val="0"/>
                <w:sz w:val="24"/>
                <w:szCs w:val="24"/>
              </w:rPr>
              <w:t>5,043,456.00</w:t>
            </w:r>
          </w:p>
        </w:tc>
        <w:tc>
          <w:tcPr>
            <w:tcW w:w="1616" w:type="dxa"/>
            <w:vAlign w:val="center"/>
          </w:tcPr>
          <w:p w:rsidR="00FD33E9" w:rsidRDefault="00DB378C">
            <w:pPr>
              <w:jc w:val="right"/>
            </w:pPr>
            <w:r>
              <w:rPr>
                <w:rFonts w:eastAsiaTheme="minorEastAsia"/>
                <w:kern w:val="0"/>
                <w:sz w:val="24"/>
                <w:szCs w:val="24"/>
              </w:rPr>
              <w:t>3.21</w:t>
            </w:r>
          </w:p>
        </w:tc>
      </w:tr>
      <w:tr w:rsidR="00FD33E9">
        <w:tc>
          <w:tcPr>
            <w:tcW w:w="817" w:type="dxa"/>
            <w:vAlign w:val="center"/>
          </w:tcPr>
          <w:p w:rsidR="00FD33E9" w:rsidRDefault="00DB378C">
            <w:pPr>
              <w:jc w:val="center"/>
            </w:pPr>
            <w:r>
              <w:rPr>
                <w:rFonts w:eastAsiaTheme="minorEastAsia"/>
                <w:kern w:val="0"/>
                <w:sz w:val="24"/>
                <w:szCs w:val="24"/>
              </w:rPr>
              <w:t>6</w:t>
            </w:r>
          </w:p>
        </w:tc>
        <w:tc>
          <w:tcPr>
            <w:tcW w:w="1276" w:type="dxa"/>
            <w:vAlign w:val="center"/>
          </w:tcPr>
          <w:p w:rsidR="00FD33E9" w:rsidRDefault="00DB378C">
            <w:pPr>
              <w:jc w:val="center"/>
            </w:pPr>
            <w:r>
              <w:rPr>
                <w:rFonts w:eastAsiaTheme="minorEastAsia"/>
                <w:kern w:val="0"/>
                <w:sz w:val="24"/>
                <w:szCs w:val="24"/>
              </w:rPr>
              <w:t>300776</w:t>
            </w:r>
          </w:p>
        </w:tc>
        <w:tc>
          <w:tcPr>
            <w:tcW w:w="1701" w:type="dxa"/>
            <w:vAlign w:val="center"/>
          </w:tcPr>
          <w:p w:rsidR="00FD33E9" w:rsidRDefault="00DB378C">
            <w:pPr>
              <w:jc w:val="center"/>
            </w:pPr>
            <w:r>
              <w:rPr>
                <w:rFonts w:eastAsiaTheme="minorEastAsia"/>
                <w:kern w:val="0"/>
                <w:sz w:val="24"/>
                <w:szCs w:val="24"/>
              </w:rPr>
              <w:t>帝尔激光</w:t>
            </w:r>
          </w:p>
        </w:tc>
        <w:tc>
          <w:tcPr>
            <w:tcW w:w="1276" w:type="dxa"/>
            <w:vAlign w:val="center"/>
          </w:tcPr>
          <w:p w:rsidR="00FD33E9" w:rsidRDefault="00DB378C">
            <w:pPr>
              <w:jc w:val="right"/>
            </w:pPr>
            <w:r>
              <w:rPr>
                <w:rFonts w:eastAsiaTheme="minorEastAsia"/>
                <w:kern w:val="0"/>
                <w:sz w:val="24"/>
                <w:szCs w:val="24"/>
              </w:rPr>
              <w:t>21,146</w:t>
            </w:r>
          </w:p>
        </w:tc>
        <w:tc>
          <w:tcPr>
            <w:tcW w:w="1842" w:type="dxa"/>
            <w:vAlign w:val="center"/>
          </w:tcPr>
          <w:p w:rsidR="00FD33E9" w:rsidRDefault="00DB378C">
            <w:pPr>
              <w:jc w:val="right"/>
            </w:pPr>
            <w:r>
              <w:rPr>
                <w:rFonts w:eastAsiaTheme="minorEastAsia"/>
                <w:kern w:val="0"/>
                <w:sz w:val="24"/>
                <w:szCs w:val="24"/>
              </w:rPr>
              <w:t>5,011,602.00</w:t>
            </w:r>
          </w:p>
        </w:tc>
        <w:tc>
          <w:tcPr>
            <w:tcW w:w="1616" w:type="dxa"/>
            <w:vAlign w:val="center"/>
          </w:tcPr>
          <w:p w:rsidR="00FD33E9" w:rsidRDefault="00DB378C">
            <w:pPr>
              <w:jc w:val="right"/>
            </w:pPr>
            <w:r>
              <w:rPr>
                <w:rFonts w:eastAsiaTheme="minorEastAsia"/>
                <w:kern w:val="0"/>
                <w:sz w:val="24"/>
                <w:szCs w:val="24"/>
              </w:rPr>
              <w:t>3.19</w:t>
            </w:r>
          </w:p>
        </w:tc>
      </w:tr>
      <w:tr w:rsidR="00FD33E9">
        <w:tc>
          <w:tcPr>
            <w:tcW w:w="817" w:type="dxa"/>
            <w:vAlign w:val="center"/>
          </w:tcPr>
          <w:p w:rsidR="00FD33E9" w:rsidRDefault="00DB378C">
            <w:pPr>
              <w:jc w:val="center"/>
            </w:pPr>
            <w:r>
              <w:rPr>
                <w:rFonts w:eastAsiaTheme="minorEastAsia"/>
                <w:kern w:val="0"/>
                <w:sz w:val="24"/>
                <w:szCs w:val="24"/>
              </w:rPr>
              <w:t>7</w:t>
            </w:r>
          </w:p>
        </w:tc>
        <w:tc>
          <w:tcPr>
            <w:tcW w:w="1276" w:type="dxa"/>
            <w:vAlign w:val="center"/>
          </w:tcPr>
          <w:p w:rsidR="00FD33E9" w:rsidRDefault="00DB378C">
            <w:pPr>
              <w:jc w:val="center"/>
            </w:pPr>
            <w:r>
              <w:rPr>
                <w:rFonts w:eastAsiaTheme="minorEastAsia"/>
                <w:kern w:val="0"/>
                <w:sz w:val="24"/>
                <w:szCs w:val="24"/>
              </w:rPr>
              <w:t>002839</w:t>
            </w:r>
          </w:p>
        </w:tc>
        <w:tc>
          <w:tcPr>
            <w:tcW w:w="1701" w:type="dxa"/>
            <w:vAlign w:val="center"/>
          </w:tcPr>
          <w:p w:rsidR="00FD33E9" w:rsidRDefault="00DB378C">
            <w:pPr>
              <w:jc w:val="center"/>
            </w:pPr>
            <w:r>
              <w:rPr>
                <w:rFonts w:eastAsiaTheme="minorEastAsia"/>
                <w:kern w:val="0"/>
                <w:sz w:val="24"/>
                <w:szCs w:val="24"/>
              </w:rPr>
              <w:t>张家港行</w:t>
            </w:r>
          </w:p>
        </w:tc>
        <w:tc>
          <w:tcPr>
            <w:tcW w:w="1276" w:type="dxa"/>
            <w:vAlign w:val="center"/>
          </w:tcPr>
          <w:p w:rsidR="00FD33E9" w:rsidRDefault="00DB378C">
            <w:pPr>
              <w:jc w:val="right"/>
            </w:pPr>
            <w:r>
              <w:rPr>
                <w:rFonts w:eastAsiaTheme="minorEastAsia"/>
                <w:kern w:val="0"/>
                <w:sz w:val="24"/>
                <w:szCs w:val="24"/>
              </w:rPr>
              <w:t>764,400</w:t>
            </w:r>
          </w:p>
        </w:tc>
        <w:tc>
          <w:tcPr>
            <w:tcW w:w="1842" w:type="dxa"/>
            <w:vAlign w:val="center"/>
          </w:tcPr>
          <w:p w:rsidR="00FD33E9" w:rsidRDefault="00DB378C">
            <w:pPr>
              <w:jc w:val="right"/>
            </w:pPr>
            <w:r>
              <w:rPr>
                <w:rFonts w:eastAsiaTheme="minorEastAsia"/>
                <w:kern w:val="0"/>
                <w:sz w:val="24"/>
                <w:szCs w:val="24"/>
              </w:rPr>
              <w:t>4,769,856.00</w:t>
            </w:r>
          </w:p>
        </w:tc>
        <w:tc>
          <w:tcPr>
            <w:tcW w:w="1616" w:type="dxa"/>
            <w:vAlign w:val="center"/>
          </w:tcPr>
          <w:p w:rsidR="00FD33E9" w:rsidRDefault="00DB378C">
            <w:pPr>
              <w:jc w:val="right"/>
            </w:pPr>
            <w:r>
              <w:rPr>
                <w:rFonts w:eastAsiaTheme="minorEastAsia"/>
                <w:kern w:val="0"/>
                <w:sz w:val="24"/>
                <w:szCs w:val="24"/>
              </w:rPr>
              <w:t>3.04</w:t>
            </w:r>
          </w:p>
        </w:tc>
      </w:tr>
      <w:tr w:rsidR="00FD33E9">
        <w:tc>
          <w:tcPr>
            <w:tcW w:w="817" w:type="dxa"/>
            <w:vAlign w:val="center"/>
          </w:tcPr>
          <w:p w:rsidR="00FD33E9" w:rsidRDefault="00DB378C">
            <w:pPr>
              <w:jc w:val="center"/>
            </w:pPr>
            <w:r>
              <w:rPr>
                <w:rFonts w:eastAsiaTheme="minorEastAsia"/>
                <w:kern w:val="0"/>
                <w:sz w:val="24"/>
                <w:szCs w:val="24"/>
              </w:rPr>
              <w:t>8</w:t>
            </w:r>
          </w:p>
        </w:tc>
        <w:tc>
          <w:tcPr>
            <w:tcW w:w="1276" w:type="dxa"/>
            <w:vAlign w:val="center"/>
          </w:tcPr>
          <w:p w:rsidR="00FD33E9" w:rsidRDefault="00DB378C">
            <w:pPr>
              <w:jc w:val="center"/>
            </w:pPr>
            <w:r>
              <w:rPr>
                <w:rFonts w:eastAsiaTheme="minorEastAsia"/>
                <w:kern w:val="0"/>
                <w:sz w:val="24"/>
                <w:szCs w:val="24"/>
              </w:rPr>
              <w:t>002180</w:t>
            </w:r>
          </w:p>
        </w:tc>
        <w:tc>
          <w:tcPr>
            <w:tcW w:w="1701" w:type="dxa"/>
            <w:vAlign w:val="center"/>
          </w:tcPr>
          <w:p w:rsidR="00FD33E9" w:rsidRDefault="00DB378C">
            <w:pPr>
              <w:jc w:val="center"/>
            </w:pPr>
            <w:r>
              <w:rPr>
                <w:rFonts w:eastAsiaTheme="minorEastAsia"/>
                <w:kern w:val="0"/>
                <w:sz w:val="24"/>
                <w:szCs w:val="24"/>
              </w:rPr>
              <w:t>纳思达</w:t>
            </w:r>
          </w:p>
        </w:tc>
        <w:tc>
          <w:tcPr>
            <w:tcW w:w="1276" w:type="dxa"/>
            <w:vAlign w:val="center"/>
          </w:tcPr>
          <w:p w:rsidR="00FD33E9" w:rsidRDefault="00DB378C">
            <w:pPr>
              <w:jc w:val="right"/>
            </w:pPr>
            <w:r>
              <w:rPr>
                <w:rFonts w:eastAsiaTheme="minorEastAsia"/>
                <w:kern w:val="0"/>
                <w:sz w:val="24"/>
                <w:szCs w:val="24"/>
              </w:rPr>
              <w:t>109,100</w:t>
            </w:r>
          </w:p>
        </w:tc>
        <w:tc>
          <w:tcPr>
            <w:tcW w:w="1842" w:type="dxa"/>
            <w:vAlign w:val="center"/>
          </w:tcPr>
          <w:p w:rsidR="00FD33E9" w:rsidRDefault="00DB378C">
            <w:pPr>
              <w:jc w:val="right"/>
            </w:pPr>
            <w:r>
              <w:rPr>
                <w:rFonts w:eastAsiaTheme="minorEastAsia"/>
                <w:kern w:val="0"/>
                <w:sz w:val="24"/>
                <w:szCs w:val="24"/>
              </w:rPr>
              <w:t>4,662,934.00</w:t>
            </w:r>
          </w:p>
        </w:tc>
        <w:tc>
          <w:tcPr>
            <w:tcW w:w="1616" w:type="dxa"/>
            <w:vAlign w:val="center"/>
          </w:tcPr>
          <w:p w:rsidR="00FD33E9" w:rsidRDefault="00DB378C">
            <w:pPr>
              <w:jc w:val="right"/>
            </w:pPr>
            <w:r>
              <w:rPr>
                <w:rFonts w:eastAsiaTheme="minorEastAsia"/>
                <w:kern w:val="0"/>
                <w:sz w:val="24"/>
                <w:szCs w:val="24"/>
              </w:rPr>
              <w:t>2.97</w:t>
            </w:r>
          </w:p>
        </w:tc>
      </w:tr>
      <w:tr w:rsidR="00FD33E9">
        <w:tc>
          <w:tcPr>
            <w:tcW w:w="817" w:type="dxa"/>
            <w:vAlign w:val="center"/>
          </w:tcPr>
          <w:p w:rsidR="00FD33E9" w:rsidRDefault="00DB378C">
            <w:pPr>
              <w:jc w:val="center"/>
            </w:pPr>
            <w:r>
              <w:rPr>
                <w:rFonts w:eastAsiaTheme="minorEastAsia"/>
                <w:kern w:val="0"/>
                <w:sz w:val="24"/>
                <w:szCs w:val="24"/>
              </w:rPr>
              <w:t>9</w:t>
            </w:r>
          </w:p>
        </w:tc>
        <w:tc>
          <w:tcPr>
            <w:tcW w:w="1276" w:type="dxa"/>
            <w:vAlign w:val="center"/>
          </w:tcPr>
          <w:p w:rsidR="00FD33E9" w:rsidRDefault="00DB378C">
            <w:pPr>
              <w:jc w:val="center"/>
            </w:pPr>
            <w:r>
              <w:rPr>
                <w:rFonts w:eastAsiaTheme="minorEastAsia"/>
                <w:kern w:val="0"/>
                <w:sz w:val="24"/>
                <w:szCs w:val="24"/>
              </w:rPr>
              <w:t>601166</w:t>
            </w:r>
          </w:p>
        </w:tc>
        <w:tc>
          <w:tcPr>
            <w:tcW w:w="1701" w:type="dxa"/>
            <w:vAlign w:val="center"/>
          </w:tcPr>
          <w:p w:rsidR="00FD33E9" w:rsidRDefault="00DB378C">
            <w:pPr>
              <w:jc w:val="center"/>
            </w:pPr>
            <w:r>
              <w:rPr>
                <w:rFonts w:eastAsiaTheme="minorEastAsia"/>
                <w:kern w:val="0"/>
                <w:sz w:val="24"/>
                <w:szCs w:val="24"/>
              </w:rPr>
              <w:t>兴业银行</w:t>
            </w:r>
          </w:p>
        </w:tc>
        <w:tc>
          <w:tcPr>
            <w:tcW w:w="1276" w:type="dxa"/>
            <w:vAlign w:val="center"/>
          </w:tcPr>
          <w:p w:rsidR="00FD33E9" w:rsidRDefault="00DB378C">
            <w:pPr>
              <w:jc w:val="right"/>
            </w:pPr>
            <w:r>
              <w:rPr>
                <w:rFonts w:eastAsiaTheme="minorEastAsia"/>
                <w:kern w:val="0"/>
                <w:sz w:val="24"/>
                <w:szCs w:val="24"/>
              </w:rPr>
              <w:t>218,949</w:t>
            </w:r>
          </w:p>
        </w:tc>
        <w:tc>
          <w:tcPr>
            <w:tcW w:w="1842" w:type="dxa"/>
            <w:vAlign w:val="center"/>
          </w:tcPr>
          <w:p w:rsidR="00FD33E9" w:rsidRDefault="00DB378C">
            <w:pPr>
              <w:jc w:val="right"/>
            </w:pPr>
            <w:r>
              <w:rPr>
                <w:rFonts w:eastAsiaTheme="minorEastAsia"/>
                <w:kern w:val="0"/>
                <w:sz w:val="24"/>
                <w:szCs w:val="24"/>
              </w:rPr>
              <w:t>4,525,675.83</w:t>
            </w:r>
          </w:p>
        </w:tc>
        <w:tc>
          <w:tcPr>
            <w:tcW w:w="1616" w:type="dxa"/>
            <w:vAlign w:val="center"/>
          </w:tcPr>
          <w:p w:rsidR="00FD33E9" w:rsidRDefault="00DB378C">
            <w:pPr>
              <w:jc w:val="right"/>
            </w:pPr>
            <w:r>
              <w:rPr>
                <w:rFonts w:eastAsiaTheme="minorEastAsia"/>
                <w:kern w:val="0"/>
                <w:sz w:val="24"/>
                <w:szCs w:val="24"/>
              </w:rPr>
              <w:t>2.88</w:t>
            </w:r>
          </w:p>
        </w:tc>
      </w:tr>
      <w:tr w:rsidR="00FD33E9">
        <w:tc>
          <w:tcPr>
            <w:tcW w:w="817" w:type="dxa"/>
            <w:vAlign w:val="center"/>
          </w:tcPr>
          <w:p w:rsidR="00FD33E9" w:rsidRDefault="00DB378C">
            <w:pPr>
              <w:jc w:val="center"/>
            </w:pPr>
            <w:r>
              <w:rPr>
                <w:rFonts w:eastAsiaTheme="minorEastAsia"/>
                <w:kern w:val="0"/>
                <w:sz w:val="24"/>
                <w:szCs w:val="24"/>
              </w:rPr>
              <w:t>10</w:t>
            </w:r>
          </w:p>
        </w:tc>
        <w:tc>
          <w:tcPr>
            <w:tcW w:w="1276" w:type="dxa"/>
            <w:vAlign w:val="center"/>
          </w:tcPr>
          <w:p w:rsidR="00FD33E9" w:rsidRDefault="00DB378C">
            <w:pPr>
              <w:jc w:val="center"/>
            </w:pPr>
            <w:r>
              <w:rPr>
                <w:rFonts w:eastAsiaTheme="minorEastAsia"/>
                <w:kern w:val="0"/>
                <w:sz w:val="24"/>
                <w:szCs w:val="24"/>
              </w:rPr>
              <w:t>600809</w:t>
            </w:r>
          </w:p>
        </w:tc>
        <w:tc>
          <w:tcPr>
            <w:tcW w:w="1701" w:type="dxa"/>
            <w:vAlign w:val="center"/>
          </w:tcPr>
          <w:p w:rsidR="00FD33E9" w:rsidRDefault="00DB378C">
            <w:pPr>
              <w:jc w:val="center"/>
            </w:pPr>
            <w:r>
              <w:rPr>
                <w:rFonts w:eastAsiaTheme="minorEastAsia"/>
                <w:kern w:val="0"/>
                <w:sz w:val="24"/>
                <w:szCs w:val="24"/>
              </w:rPr>
              <w:t>山西汾酒</w:t>
            </w:r>
          </w:p>
        </w:tc>
        <w:tc>
          <w:tcPr>
            <w:tcW w:w="1276" w:type="dxa"/>
            <w:vAlign w:val="center"/>
          </w:tcPr>
          <w:p w:rsidR="00FD33E9" w:rsidRDefault="00DB378C">
            <w:pPr>
              <w:jc w:val="right"/>
            </w:pPr>
            <w:r>
              <w:rPr>
                <w:rFonts w:eastAsiaTheme="minorEastAsia"/>
                <w:kern w:val="0"/>
                <w:sz w:val="24"/>
                <w:szCs w:val="24"/>
              </w:rPr>
              <w:t>17,400</w:t>
            </w:r>
          </w:p>
        </w:tc>
        <w:tc>
          <w:tcPr>
            <w:tcW w:w="1842" w:type="dxa"/>
            <w:vAlign w:val="center"/>
          </w:tcPr>
          <w:p w:rsidR="00FD33E9" w:rsidRDefault="00DB378C">
            <w:pPr>
              <w:jc w:val="right"/>
            </w:pPr>
            <w:r>
              <w:rPr>
                <w:rFonts w:eastAsiaTheme="minorEastAsia"/>
                <w:kern w:val="0"/>
                <w:sz w:val="24"/>
                <w:szCs w:val="24"/>
              </w:rPr>
              <w:t>4,435,260.00</w:t>
            </w:r>
          </w:p>
        </w:tc>
        <w:tc>
          <w:tcPr>
            <w:tcW w:w="1616" w:type="dxa"/>
            <w:vAlign w:val="center"/>
          </w:tcPr>
          <w:p w:rsidR="00FD33E9" w:rsidRDefault="00DB378C">
            <w:pPr>
              <w:jc w:val="right"/>
            </w:pPr>
            <w:r>
              <w:rPr>
                <w:rFonts w:eastAsiaTheme="minorEastAsia"/>
                <w:kern w:val="0"/>
                <w:sz w:val="24"/>
                <w:szCs w:val="24"/>
              </w:rPr>
              <w:t>2.83</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899.16</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899.16</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FD33E9">
        <w:tc>
          <w:tcPr>
            <w:tcW w:w="1252" w:type="dxa"/>
            <w:vAlign w:val="center"/>
          </w:tcPr>
          <w:p w:rsidR="00FD33E9" w:rsidRDefault="00DB378C">
            <w:pPr>
              <w:jc w:val="center"/>
            </w:pPr>
            <w:r>
              <w:rPr>
                <w:rFonts w:eastAsiaTheme="minorEastAsia"/>
                <w:color w:val="000000" w:themeColor="text1"/>
                <w:kern w:val="0"/>
              </w:rPr>
              <w:t>1</w:t>
            </w:r>
          </w:p>
        </w:tc>
        <w:tc>
          <w:tcPr>
            <w:tcW w:w="1310" w:type="dxa"/>
            <w:vAlign w:val="center"/>
          </w:tcPr>
          <w:p w:rsidR="00FD33E9" w:rsidRDefault="00DB378C">
            <w:pPr>
              <w:jc w:val="center"/>
            </w:pPr>
            <w:r>
              <w:rPr>
                <w:rFonts w:eastAsiaTheme="minorEastAsia"/>
                <w:color w:val="000000" w:themeColor="text1"/>
                <w:kern w:val="0"/>
              </w:rPr>
              <w:t>128136</w:t>
            </w:r>
          </w:p>
        </w:tc>
        <w:tc>
          <w:tcPr>
            <w:tcW w:w="1282" w:type="dxa"/>
            <w:vAlign w:val="center"/>
          </w:tcPr>
          <w:p w:rsidR="00FD33E9" w:rsidRDefault="00DB378C">
            <w:pPr>
              <w:jc w:val="center"/>
            </w:pPr>
            <w:r>
              <w:rPr>
                <w:rFonts w:eastAsiaTheme="minorEastAsia"/>
                <w:color w:val="000000" w:themeColor="text1"/>
                <w:kern w:val="0"/>
              </w:rPr>
              <w:t>立讯转债</w:t>
            </w:r>
          </w:p>
        </w:tc>
        <w:tc>
          <w:tcPr>
            <w:tcW w:w="1426" w:type="dxa"/>
            <w:vAlign w:val="center"/>
          </w:tcPr>
          <w:p w:rsidR="00FD33E9" w:rsidRDefault="00DB378C">
            <w:pPr>
              <w:jc w:val="right"/>
            </w:pPr>
            <w:r>
              <w:rPr>
                <w:rFonts w:eastAsiaTheme="minorEastAsia"/>
                <w:color w:val="000000" w:themeColor="text1"/>
                <w:kern w:val="0"/>
              </w:rPr>
              <w:t>8</w:t>
            </w:r>
          </w:p>
        </w:tc>
        <w:tc>
          <w:tcPr>
            <w:tcW w:w="1646" w:type="dxa"/>
            <w:vAlign w:val="center"/>
          </w:tcPr>
          <w:p w:rsidR="00FD33E9" w:rsidRDefault="00DB378C">
            <w:pPr>
              <w:jc w:val="right"/>
            </w:pPr>
            <w:r>
              <w:rPr>
                <w:rFonts w:eastAsiaTheme="minorEastAsia"/>
                <w:color w:val="000000" w:themeColor="text1"/>
                <w:kern w:val="0"/>
              </w:rPr>
              <w:t>899.16</w:t>
            </w:r>
          </w:p>
        </w:tc>
        <w:tc>
          <w:tcPr>
            <w:tcW w:w="1612" w:type="dxa"/>
            <w:vAlign w:val="center"/>
          </w:tcPr>
          <w:p w:rsidR="00FD33E9" w:rsidRDefault="00DB378C">
            <w:pPr>
              <w:jc w:val="right"/>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86,987.00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32,426.16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2.48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119,415.64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FD33E9">
        <w:tc>
          <w:tcPr>
            <w:tcW w:w="1808" w:type="dxa"/>
            <w:vAlign w:val="center"/>
          </w:tcPr>
          <w:p w:rsidR="00FD33E9" w:rsidRDefault="00DB378C">
            <w:pPr>
              <w:jc w:val="center"/>
            </w:pPr>
            <w:r>
              <w:rPr>
                <w:rFonts w:eastAsiaTheme="minorEastAsia"/>
                <w:color w:val="000000" w:themeColor="text1"/>
                <w:kern w:val="0"/>
              </w:rPr>
              <w:t>1</w:t>
            </w:r>
          </w:p>
        </w:tc>
        <w:tc>
          <w:tcPr>
            <w:tcW w:w="1729" w:type="dxa"/>
            <w:vAlign w:val="center"/>
          </w:tcPr>
          <w:p w:rsidR="00FD33E9" w:rsidRDefault="00DB378C">
            <w:pPr>
              <w:jc w:val="center"/>
            </w:pPr>
            <w:r>
              <w:rPr>
                <w:rFonts w:eastAsiaTheme="minorEastAsia"/>
                <w:color w:val="000000" w:themeColor="text1"/>
                <w:kern w:val="0"/>
              </w:rPr>
              <w:t>128136</w:t>
            </w:r>
          </w:p>
        </w:tc>
        <w:tc>
          <w:tcPr>
            <w:tcW w:w="1658" w:type="dxa"/>
            <w:vAlign w:val="center"/>
          </w:tcPr>
          <w:p w:rsidR="00FD33E9" w:rsidRDefault="00DB378C">
            <w:pPr>
              <w:jc w:val="center"/>
            </w:pPr>
            <w:r>
              <w:rPr>
                <w:rFonts w:eastAsiaTheme="minorEastAsia"/>
                <w:color w:val="000000" w:themeColor="text1"/>
                <w:kern w:val="0"/>
              </w:rPr>
              <w:t>立讯转债</w:t>
            </w:r>
          </w:p>
        </w:tc>
        <w:tc>
          <w:tcPr>
            <w:tcW w:w="1697" w:type="dxa"/>
            <w:vAlign w:val="center"/>
          </w:tcPr>
          <w:p w:rsidR="00FD33E9" w:rsidRDefault="00DB378C">
            <w:pPr>
              <w:jc w:val="right"/>
            </w:pPr>
            <w:r>
              <w:rPr>
                <w:rFonts w:eastAsiaTheme="minorEastAsia"/>
                <w:color w:val="000000" w:themeColor="text1"/>
                <w:kern w:val="0"/>
              </w:rPr>
              <w:t>899.16</w:t>
            </w:r>
          </w:p>
        </w:tc>
        <w:tc>
          <w:tcPr>
            <w:tcW w:w="1621" w:type="dxa"/>
            <w:vAlign w:val="center"/>
          </w:tcPr>
          <w:p w:rsidR="00FD33E9" w:rsidRDefault="00DB378C">
            <w:pPr>
              <w:jc w:val="right"/>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63,918,107.69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2,190,584.00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4,868,895.38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61,239,796.31</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中国证监会批准上投摩根民生需求股票型证券投资基金设立的文件；</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《上投摩根民生需求股票型证券投资基金基金合同》；</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《上投摩根民生需求股票型证券投资基金基金托管协议》；</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《上投摩根基金管理有限公司开放式基金业务规则》；</w:t>
      </w:r>
    </w:p>
    <w:p w:rsidR="00FD33E9" w:rsidRDefault="00DB378C">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7C4A28" w:rsidRPr="007C4A2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7C4A28">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上投摩根民生需求股票型证券投资基金</w:t>
    </w:r>
    <w:r>
      <w:rPr>
        <w:rFonts w:hint="eastAsia"/>
      </w:rPr>
      <w:t>2022</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4A28"/>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B378C"/>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3E9"/>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EB9C5-2D69-422F-A243-628CA9C1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269</cp:revision>
  <dcterms:created xsi:type="dcterms:W3CDTF">2012-10-16T06:07:00Z</dcterms:created>
  <dcterms:modified xsi:type="dcterms:W3CDTF">2022-04-21T02:59:00Z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