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摩根天添宝货币市场基金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2023年第2季度报告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2023年6月30日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摩根基金管理（中国）有限公司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二〇二三年七月二十一日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B90611" w:rsidRDefault="00E6368C">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Cs w:val="21"/>
        </w:rPr>
        <w:t xml:space="preserve"> </w:t>
      </w:r>
    </w:p>
    <w:p w:rsidR="00B90611" w:rsidRDefault="00E6368C">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基金托管人中国建设银行股份有限公司根据本基金合同规定，于</w:t>
      </w:r>
      <w:r>
        <w:rPr>
          <w:rFonts w:asciiTheme="minorEastAsia" w:eastAsiaTheme="minorEastAsia" w:hAnsiTheme="minorEastAsia"/>
          <w:color w:val="000000" w:themeColor="text1"/>
          <w:szCs w:val="21"/>
        </w:rPr>
        <w:t>2023</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20</w:t>
      </w:r>
      <w:r>
        <w:rPr>
          <w:rFonts w:asciiTheme="minorEastAsia" w:eastAsiaTheme="minorEastAsia" w:hAnsiTheme="minorEastAsia"/>
          <w:color w:val="000000" w:themeColor="text1"/>
          <w:szCs w:val="2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Cs w:val="21"/>
        </w:rPr>
        <w:t xml:space="preserve"> </w:t>
      </w:r>
    </w:p>
    <w:p w:rsidR="00B90611" w:rsidRDefault="00E6368C">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基金管理人承诺以诚实信用、勤勉尽责的原则管理和运用基金资产，但不保证基金一定盈利。</w:t>
      </w:r>
      <w:r>
        <w:rPr>
          <w:rFonts w:asciiTheme="minorEastAsia" w:eastAsiaTheme="minorEastAsia" w:hAnsiTheme="minorEastAsia"/>
          <w:color w:val="000000" w:themeColor="text1"/>
          <w:szCs w:val="21"/>
        </w:rPr>
        <w:t xml:space="preserve"> </w:t>
      </w:r>
    </w:p>
    <w:p w:rsidR="00B90611" w:rsidRDefault="00E6368C">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Cs w:val="21"/>
        </w:rPr>
        <w:t xml:space="preserve"> </w:t>
      </w:r>
    </w:p>
    <w:p w:rsidR="00B90611" w:rsidRDefault="00E6368C">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本报告期自2023年4月1日起至6月30日止。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摩根天添宝货币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000712</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2014年11月25日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259,428,230.75</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在有效控制投资风险和保持较高流动性的基础上，力争获得高于业绩比较基准的稳定回报。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B90611" w:rsidRDefault="00E6368C">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w:t>
            </w:r>
            <w:r>
              <w:rPr>
                <w:rFonts w:asciiTheme="minorEastAsia" w:eastAsiaTheme="minorEastAsia" w:hAnsiTheme="minorEastAsia"/>
                <w:color w:val="000000" w:themeColor="text1"/>
                <w:kern w:val="0"/>
                <w:szCs w:val="21"/>
              </w:rPr>
              <w:lastRenderedPageBreak/>
              <w:t>场结构变化和短期资金供给等因素的综合分析，形成对未来货币市场利</w:t>
            </w:r>
            <w:r>
              <w:rPr>
                <w:rFonts w:asciiTheme="minorEastAsia" w:eastAsiaTheme="minorEastAsia" w:hAnsiTheme="minorEastAsia"/>
                <w:color w:val="000000" w:themeColor="text1"/>
                <w:kern w:val="0"/>
                <w:szCs w:val="21"/>
              </w:rPr>
              <w:t>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其他投资策略：包括息差策略、套利策略、现金流管理策略。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风险收益特征</w:t>
            </w:r>
          </w:p>
        </w:tc>
        <w:tc>
          <w:tcPr>
            <w:tcW w:w="5479" w:type="dxa"/>
            <w:gridSpan w:val="2"/>
            <w:vAlign w:val="center"/>
          </w:tcPr>
          <w:p w:rsidR="00B90611" w:rsidRDefault="00E6368C">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本基金为货币市场基金，是证券投资基金中的低风险品种。本基金的风险和预期收益低于股票型基金、混合型基金和债券型基金。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摩根基金管理（中国）有限公司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000712</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000713</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30,482,734.23</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228,945,496.52</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2023年4月1日-2023年6月30日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摩根天添宝货币B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126,355.73</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1,124,807.40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126,355.73</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1,124,807.40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30,482,734.23</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228,945,496.52</w:t>
            </w:r>
          </w:p>
        </w:tc>
      </w:tr>
    </w:tbl>
    <w:p w:rsidR="00B90611" w:rsidRDefault="00E6368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摩根天添宝货币A: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过去三个月</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0.4115%</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0.3366%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0.0749%</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过去六个月</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0.8611%</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0.6695%</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0.1916%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过去一年</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1.5917%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0.0019%</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1.3500%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0.2417%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0.0019%</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过去三年</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5.7614%</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4.0500%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1.7114%</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过去五年</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10.3479%</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6.7537%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3.5942%</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21.9679%</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0.0033%</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11.6137%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10.3542%</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0.0033%</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摩根天添宝货币B：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过去三个月</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0.4716%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0.3366%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0.1350%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过去六个月</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0.9812%</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0.6695%</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0.3117%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0.0020%</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过去一年</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1.8358%</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0.0019%</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1.3500%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0.4858%</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0.0019%</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过去三年</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6.5257%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4.0500%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2.4757%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t>过去五年</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11.6807%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6.7537%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4.9270%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0.0016%</w:t>
            </w:r>
          </w:p>
        </w:tc>
      </w:tr>
      <w:tr w:rsidR="00B90611">
        <w:tc>
          <w:tcPr>
            <w:tcW w:w="1328" w:type="dxa"/>
            <w:vAlign w:val="center"/>
          </w:tcPr>
          <w:p w:rsidR="00B90611" w:rsidRDefault="00E6368C">
            <w:pPr>
              <w:jc w:val="left"/>
            </w:pPr>
            <w:r>
              <w:rPr>
                <w:rFonts w:asciiTheme="minorEastAsia" w:eastAsiaTheme="minorEastAsia" w:hAnsiTheme="minorEastAsia"/>
                <w:color w:val="000000" w:themeColor="text1"/>
                <w:szCs w:val="21"/>
              </w:rPr>
              <w:lastRenderedPageBreak/>
              <w:t>自基金合同生效起至今</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24.5139%</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0.0033%</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11.6137%</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0.0000%</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12.9002%</w:t>
            </w:r>
          </w:p>
        </w:tc>
        <w:tc>
          <w:tcPr>
            <w:tcW w:w="1329" w:type="dxa"/>
            <w:vAlign w:val="center"/>
          </w:tcPr>
          <w:p w:rsidR="00B90611" w:rsidRDefault="00E6368C">
            <w:pPr>
              <w:jc w:val="center"/>
            </w:pPr>
            <w:r>
              <w:rPr>
                <w:rFonts w:asciiTheme="minorEastAsia" w:eastAsiaTheme="minorEastAsia" w:hAnsiTheme="minorEastAsia"/>
                <w:color w:val="000000" w:themeColor="text1"/>
                <w:szCs w:val="21"/>
              </w:rPr>
              <w:t>0.0033%</w:t>
            </w:r>
          </w:p>
        </w:tc>
      </w:tr>
    </w:tbl>
    <w:p w:rsidR="0064191E" w:rsidRPr="00221340" w:rsidRDefault="0064191E"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注：本基金收益分配按日结转份额。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摩根天添宝货币市场基金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2014年11月25日</w:t>
      </w:r>
      <w:r w:rsidRPr="00221340">
        <w:rPr>
          <w:rFonts w:asciiTheme="minorEastAsia" w:eastAsiaTheme="minorEastAsia" w:hAnsiTheme="minorEastAsia" w:hint="eastAsia"/>
          <w:color w:val="000000" w:themeColor="text1"/>
          <w:kern w:val="0"/>
          <w:szCs w:val="21"/>
        </w:rPr>
        <w:t>至2023年6月30日)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摩根天添宝货币A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摩根天添宝货币B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B90611" w:rsidRDefault="00E6368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注：本基金合同生效日为</w:t>
      </w:r>
      <w:r>
        <w:rPr>
          <w:rFonts w:asciiTheme="minorEastAsia" w:eastAsiaTheme="minorEastAsia" w:hAnsiTheme="minorEastAsia" w:hint="eastAsia"/>
          <w:color w:val="000000" w:themeColor="text1"/>
          <w:szCs w:val="21"/>
        </w:rPr>
        <w:t>2014</w:t>
      </w:r>
      <w:r>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11</w:t>
      </w:r>
      <w:r>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25</w:t>
      </w:r>
      <w:r>
        <w:rPr>
          <w:rFonts w:asciiTheme="minorEastAsia" w:eastAsiaTheme="minorEastAsia" w:hAnsiTheme="minorEastAsia" w:hint="eastAsia"/>
          <w:color w:val="000000" w:themeColor="text1"/>
          <w:szCs w:val="21"/>
        </w:rPr>
        <w:t>日，图示的时间段为合同生效日至本报告期末。</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本基金建仓期为本基金合同生效日起 6 个月，建仓期结束时资产配置比例符合本基金基金合同规定。</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B90611">
        <w:tc>
          <w:tcPr>
            <w:tcW w:w="952" w:type="dxa"/>
            <w:vAlign w:val="center"/>
          </w:tcPr>
          <w:p w:rsidR="00B90611" w:rsidRDefault="00E6368C">
            <w:pPr>
              <w:jc w:val="center"/>
            </w:pPr>
            <w:r>
              <w:rPr>
                <w:rFonts w:asciiTheme="minorEastAsia" w:eastAsiaTheme="minorEastAsia" w:hAnsiTheme="minorEastAsia"/>
                <w:color w:val="000000" w:themeColor="text1"/>
                <w:szCs w:val="21"/>
              </w:rPr>
              <w:t>鞠婷</w:t>
            </w:r>
          </w:p>
        </w:tc>
        <w:tc>
          <w:tcPr>
            <w:tcW w:w="1600" w:type="dxa"/>
            <w:vAlign w:val="center"/>
          </w:tcPr>
          <w:p w:rsidR="00B90611" w:rsidRDefault="00E6368C">
            <w:pPr>
              <w:jc w:val="center"/>
            </w:pPr>
            <w:r>
              <w:rPr>
                <w:rFonts w:asciiTheme="minorEastAsia" w:eastAsiaTheme="minorEastAsia" w:hAnsiTheme="minorEastAsia"/>
                <w:color w:val="000000" w:themeColor="text1"/>
                <w:szCs w:val="21"/>
              </w:rPr>
              <w:t>本基金基金经理</w:t>
            </w:r>
          </w:p>
        </w:tc>
        <w:tc>
          <w:tcPr>
            <w:tcW w:w="1488" w:type="dxa"/>
            <w:vAlign w:val="center"/>
          </w:tcPr>
          <w:p w:rsidR="00B90611" w:rsidRDefault="00E6368C">
            <w:pPr>
              <w:jc w:val="center"/>
            </w:pPr>
            <w:r>
              <w:rPr>
                <w:rFonts w:asciiTheme="minorEastAsia" w:eastAsiaTheme="minorEastAsia" w:hAnsiTheme="minorEastAsia"/>
                <w:color w:val="000000" w:themeColor="text1"/>
                <w:szCs w:val="21"/>
              </w:rPr>
              <w:t>2016-05-27</w:t>
            </w:r>
          </w:p>
        </w:tc>
        <w:tc>
          <w:tcPr>
            <w:tcW w:w="1489" w:type="dxa"/>
            <w:vAlign w:val="center"/>
          </w:tcPr>
          <w:p w:rsidR="00B90611" w:rsidRDefault="00E6368C">
            <w:pPr>
              <w:jc w:val="center"/>
            </w:pPr>
            <w:r>
              <w:rPr>
                <w:rFonts w:asciiTheme="minorEastAsia" w:eastAsiaTheme="minorEastAsia" w:hAnsiTheme="minorEastAsia"/>
                <w:color w:val="000000" w:themeColor="text1"/>
                <w:szCs w:val="21"/>
              </w:rPr>
              <w:t>-</w:t>
            </w:r>
          </w:p>
        </w:tc>
        <w:tc>
          <w:tcPr>
            <w:tcW w:w="992" w:type="dxa"/>
            <w:vAlign w:val="center"/>
          </w:tcPr>
          <w:p w:rsidR="00B90611" w:rsidRDefault="00E6368C">
            <w:pPr>
              <w:jc w:val="center"/>
            </w:pPr>
            <w:r>
              <w:rPr>
                <w:rFonts w:asciiTheme="minorEastAsia" w:eastAsiaTheme="minorEastAsia" w:hAnsiTheme="minorEastAsia"/>
                <w:color w:val="000000" w:themeColor="text1"/>
                <w:szCs w:val="21"/>
              </w:rPr>
              <w:t>17</w:t>
            </w:r>
            <w:r>
              <w:rPr>
                <w:rFonts w:asciiTheme="minorEastAsia" w:eastAsiaTheme="minorEastAsia" w:hAnsiTheme="minorEastAsia"/>
                <w:color w:val="000000" w:themeColor="text1"/>
                <w:szCs w:val="21"/>
              </w:rPr>
              <w:t>年</w:t>
            </w:r>
          </w:p>
        </w:tc>
        <w:tc>
          <w:tcPr>
            <w:tcW w:w="2410" w:type="dxa"/>
            <w:vAlign w:val="center"/>
          </w:tcPr>
          <w:p w:rsidR="00B90611" w:rsidRDefault="00E6368C">
            <w:r>
              <w:rPr>
                <w:rFonts w:asciiTheme="minorEastAsia" w:eastAsiaTheme="minorEastAsia" w:hAnsiTheme="minorEastAsia"/>
                <w:color w:val="000000" w:themeColor="text1"/>
                <w:szCs w:val="21"/>
              </w:rPr>
              <w:t>鞠婷女士曾任中国建设银行第一支行助理经济师，瑞穗银行总行总经理助理。</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月起加入摩根基金管理（中国）有限公司（原上投摩根基金管理有限公司），历任基金经理助理、基金经理，高级基金经理，现任货币市场投资部副总监兼资深基金经理。</w:t>
            </w:r>
          </w:p>
        </w:tc>
      </w:tr>
      <w:tr w:rsidR="00B90611">
        <w:tc>
          <w:tcPr>
            <w:tcW w:w="952" w:type="dxa"/>
            <w:vAlign w:val="center"/>
          </w:tcPr>
          <w:p w:rsidR="00B90611" w:rsidRDefault="00E6368C">
            <w:pPr>
              <w:jc w:val="center"/>
            </w:pPr>
            <w:r>
              <w:rPr>
                <w:rFonts w:asciiTheme="minorEastAsia" w:eastAsiaTheme="minorEastAsia" w:hAnsiTheme="minorEastAsia"/>
                <w:color w:val="000000" w:themeColor="text1"/>
                <w:szCs w:val="21"/>
              </w:rPr>
              <w:t>孟晨波</w:t>
            </w:r>
          </w:p>
        </w:tc>
        <w:tc>
          <w:tcPr>
            <w:tcW w:w="1600" w:type="dxa"/>
            <w:vAlign w:val="center"/>
          </w:tcPr>
          <w:p w:rsidR="00B90611" w:rsidRDefault="00E6368C">
            <w:pPr>
              <w:jc w:val="center"/>
            </w:pPr>
            <w:r>
              <w:rPr>
                <w:rFonts w:asciiTheme="minorEastAsia" w:eastAsiaTheme="minorEastAsia" w:hAnsiTheme="minorEastAsia"/>
                <w:color w:val="000000" w:themeColor="text1"/>
                <w:szCs w:val="21"/>
              </w:rPr>
              <w:t>本基金基金经理、货币市场投资部总监、总经</w:t>
            </w:r>
            <w:r>
              <w:rPr>
                <w:rFonts w:asciiTheme="minorEastAsia" w:eastAsiaTheme="minorEastAsia" w:hAnsiTheme="minorEastAsia"/>
                <w:color w:val="000000" w:themeColor="text1"/>
                <w:szCs w:val="21"/>
              </w:rPr>
              <w:lastRenderedPageBreak/>
              <w:t>理助理</w:t>
            </w:r>
          </w:p>
        </w:tc>
        <w:tc>
          <w:tcPr>
            <w:tcW w:w="1488" w:type="dxa"/>
            <w:vAlign w:val="center"/>
          </w:tcPr>
          <w:p w:rsidR="00B90611" w:rsidRDefault="00E6368C">
            <w:pPr>
              <w:jc w:val="center"/>
            </w:pPr>
            <w:r>
              <w:rPr>
                <w:rFonts w:asciiTheme="minorEastAsia" w:eastAsiaTheme="minorEastAsia" w:hAnsiTheme="minorEastAsia"/>
                <w:color w:val="000000" w:themeColor="text1"/>
                <w:szCs w:val="21"/>
              </w:rPr>
              <w:lastRenderedPageBreak/>
              <w:t>2014-11-25</w:t>
            </w:r>
          </w:p>
        </w:tc>
        <w:tc>
          <w:tcPr>
            <w:tcW w:w="1489" w:type="dxa"/>
            <w:vAlign w:val="center"/>
          </w:tcPr>
          <w:p w:rsidR="00B90611" w:rsidRDefault="00E6368C">
            <w:pPr>
              <w:jc w:val="center"/>
            </w:pPr>
            <w:r>
              <w:rPr>
                <w:rFonts w:asciiTheme="minorEastAsia" w:eastAsiaTheme="minorEastAsia" w:hAnsiTheme="minorEastAsia"/>
                <w:color w:val="000000" w:themeColor="text1"/>
                <w:szCs w:val="21"/>
              </w:rPr>
              <w:t>-</w:t>
            </w:r>
          </w:p>
        </w:tc>
        <w:tc>
          <w:tcPr>
            <w:tcW w:w="992" w:type="dxa"/>
            <w:vAlign w:val="center"/>
          </w:tcPr>
          <w:p w:rsidR="00B90611" w:rsidRDefault="00E6368C">
            <w:pPr>
              <w:jc w:val="center"/>
            </w:pPr>
            <w:r>
              <w:rPr>
                <w:rFonts w:asciiTheme="minorEastAsia" w:eastAsiaTheme="minorEastAsia" w:hAnsiTheme="minorEastAsia"/>
                <w:color w:val="000000" w:themeColor="text1"/>
                <w:szCs w:val="21"/>
              </w:rPr>
              <w:t>18</w:t>
            </w:r>
            <w:r>
              <w:rPr>
                <w:rFonts w:asciiTheme="minorEastAsia" w:eastAsiaTheme="minorEastAsia" w:hAnsiTheme="minorEastAsia"/>
                <w:color w:val="000000" w:themeColor="text1"/>
                <w:szCs w:val="21"/>
              </w:rPr>
              <w:t>年（金融领域从业经</w:t>
            </w:r>
            <w:r>
              <w:rPr>
                <w:rFonts w:asciiTheme="minorEastAsia" w:eastAsiaTheme="minorEastAsia" w:hAnsiTheme="minorEastAsia"/>
                <w:color w:val="000000" w:themeColor="text1"/>
                <w:szCs w:val="21"/>
              </w:rPr>
              <w:lastRenderedPageBreak/>
              <w:t>验</w:t>
            </w:r>
            <w:r>
              <w:rPr>
                <w:rFonts w:asciiTheme="minorEastAsia" w:eastAsiaTheme="minorEastAsia" w:hAnsiTheme="minorEastAsia"/>
                <w:color w:val="000000" w:themeColor="text1"/>
                <w:szCs w:val="21"/>
              </w:rPr>
              <w:t>28</w:t>
            </w:r>
            <w:r>
              <w:rPr>
                <w:rFonts w:asciiTheme="minorEastAsia" w:eastAsiaTheme="minorEastAsia" w:hAnsiTheme="minorEastAsia"/>
                <w:color w:val="000000" w:themeColor="text1"/>
                <w:szCs w:val="21"/>
              </w:rPr>
              <w:t>年）</w:t>
            </w:r>
          </w:p>
        </w:tc>
        <w:tc>
          <w:tcPr>
            <w:tcW w:w="2410" w:type="dxa"/>
            <w:vAlign w:val="center"/>
          </w:tcPr>
          <w:p w:rsidR="00B90611" w:rsidRDefault="00E6368C">
            <w:r>
              <w:rPr>
                <w:rFonts w:asciiTheme="minorEastAsia" w:eastAsiaTheme="minorEastAsia" w:hAnsiTheme="minorEastAsia"/>
                <w:color w:val="000000" w:themeColor="text1"/>
                <w:szCs w:val="21"/>
              </w:rPr>
              <w:lastRenderedPageBreak/>
              <w:t>孟晨波女士曾任荷兰银行资金部高级交易员，星展银行上海分行资金</w:t>
            </w:r>
            <w:r>
              <w:rPr>
                <w:rFonts w:asciiTheme="minorEastAsia" w:eastAsiaTheme="minorEastAsia" w:hAnsiTheme="minorEastAsia"/>
                <w:color w:val="000000" w:themeColor="text1"/>
                <w:szCs w:val="21"/>
              </w:rPr>
              <w:lastRenderedPageBreak/>
              <w:t>部经理，比利时富通银行资金部联席董事，花旗银行金融市场部副总监。</w:t>
            </w:r>
            <w:r>
              <w:rPr>
                <w:rFonts w:asciiTheme="minorEastAsia" w:eastAsiaTheme="minorEastAsia" w:hAnsiTheme="minorEastAsia"/>
                <w:color w:val="000000" w:themeColor="text1"/>
                <w:szCs w:val="21"/>
              </w:rPr>
              <w:t>2009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月加入摩根基金管理（中国）有限公司（原上投摩根基金管理有限公司）担任固定收益部总监，现任总经理助理</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货币市场投资部总监兼资深基金经理。</w:t>
            </w:r>
          </w:p>
        </w:tc>
      </w:tr>
    </w:tbl>
    <w:p w:rsidR="00B90611" w:rsidRDefault="00E6368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注：</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任职日期和离任日期均指根据公司决定确定的聘任日期和解聘日期。</w:t>
      </w:r>
    </w:p>
    <w:p w:rsidR="00B90611" w:rsidRDefault="00E6368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孟晨波女士为本基金首任基金经理，其任职日期指本基金基金合同生效之日。</w:t>
      </w:r>
      <w:r>
        <w:rPr>
          <w:rFonts w:asciiTheme="minorEastAsia" w:eastAsiaTheme="minorEastAsia" w:hAnsiTheme="minorEastAsia"/>
          <w:color w:val="000000" w:themeColor="text1"/>
          <w:szCs w:val="21"/>
        </w:rPr>
        <w:t xml:space="preserve"> </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3.证券从业的含义遵从行业协会《证券业从业人员资格管理办法》的相关规定。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w:t>
      </w:r>
      <w:r>
        <w:rPr>
          <w:rFonts w:asciiTheme="minorEastAsia" w:eastAsiaTheme="minorEastAsia" w:hAnsiTheme="minorEastAsia"/>
          <w:color w:val="000000" w:themeColor="text1"/>
          <w:szCs w:val="21"/>
        </w:rPr>
        <w:t>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w:t>
      </w:r>
      <w:r>
        <w:rPr>
          <w:rFonts w:asciiTheme="minorEastAsia" w:eastAsiaTheme="minorEastAsia" w:hAnsiTheme="minorEastAsia"/>
          <w:color w:val="000000" w:themeColor="text1"/>
          <w:szCs w:val="21"/>
        </w:rPr>
        <w:t>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2023</w:t>
      </w:r>
      <w:r>
        <w:rPr>
          <w:rFonts w:asciiTheme="minorEastAsia" w:eastAsiaTheme="minorEastAsia" w:hAnsiTheme="minorEastAsia"/>
          <w:color w:val="000000" w:themeColor="text1"/>
          <w:szCs w:val="21"/>
        </w:rPr>
        <w:t>年二季度，市场需求稳步恢复，但内生动力还不强，需求驱动仍不足。</w:t>
      </w:r>
      <w:r>
        <w:rPr>
          <w:rFonts w:asciiTheme="minorEastAsia" w:eastAsiaTheme="minorEastAsia" w:hAnsiTheme="minorEastAsia"/>
          <w:color w:val="000000" w:themeColor="text1"/>
          <w:szCs w:val="21"/>
        </w:rPr>
        <w:t>1-5</w:t>
      </w:r>
      <w:r>
        <w:rPr>
          <w:rFonts w:asciiTheme="minorEastAsia" w:eastAsiaTheme="minorEastAsia" w:hAnsiTheme="minorEastAsia"/>
          <w:color w:val="000000" w:themeColor="text1"/>
          <w:szCs w:val="21"/>
        </w:rPr>
        <w:t>月，全国规模以上工业企业利润同比下降</w:t>
      </w:r>
      <w:r>
        <w:rPr>
          <w:rFonts w:asciiTheme="minorEastAsia" w:eastAsiaTheme="minorEastAsia" w:hAnsiTheme="minorEastAsia"/>
          <w:color w:val="000000" w:themeColor="text1"/>
          <w:szCs w:val="21"/>
        </w:rPr>
        <w:t>18.8%</w:t>
      </w:r>
      <w:r>
        <w:rPr>
          <w:rFonts w:asciiTheme="minorEastAsia" w:eastAsiaTheme="minorEastAsia" w:hAnsiTheme="minorEastAsia"/>
          <w:color w:val="000000" w:themeColor="text1"/>
          <w:szCs w:val="21"/>
        </w:rPr>
        <w:t>，降幅持续收窄；全国固定资产投资同比增加</w:t>
      </w:r>
      <w:r>
        <w:rPr>
          <w:rFonts w:asciiTheme="minorEastAsia" w:eastAsiaTheme="minorEastAsia" w:hAnsiTheme="minorEastAsia"/>
          <w:color w:val="000000" w:themeColor="text1"/>
          <w:szCs w:val="21"/>
        </w:rPr>
        <w:t>4.0%</w:t>
      </w:r>
      <w:r>
        <w:rPr>
          <w:rFonts w:asciiTheme="minorEastAsia" w:eastAsiaTheme="minorEastAsia" w:hAnsiTheme="minorEastAsia"/>
          <w:color w:val="000000" w:themeColor="text1"/>
          <w:szCs w:val="21"/>
        </w:rPr>
        <w:t>，基础设施投资保持较高增速；</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月社会消费品零售总额增长</w:t>
      </w:r>
      <w:r>
        <w:rPr>
          <w:rFonts w:asciiTheme="minorEastAsia" w:eastAsiaTheme="minorEastAsia" w:hAnsiTheme="minorEastAsia"/>
          <w:color w:val="000000" w:themeColor="text1"/>
          <w:szCs w:val="21"/>
        </w:rPr>
        <w:t>12.7%</w:t>
      </w:r>
      <w:r>
        <w:rPr>
          <w:rFonts w:asciiTheme="minorEastAsia" w:eastAsiaTheme="minorEastAsia" w:hAnsiTheme="minorEastAsia"/>
          <w:color w:val="000000" w:themeColor="text1"/>
          <w:szCs w:val="21"/>
        </w:rPr>
        <w:t>，市场销售延续恢复性增长；</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PMI</w:t>
      </w:r>
      <w:r>
        <w:rPr>
          <w:rFonts w:asciiTheme="minorEastAsia" w:eastAsiaTheme="minorEastAsia" w:hAnsiTheme="minorEastAsia"/>
          <w:color w:val="000000" w:themeColor="text1"/>
          <w:szCs w:val="21"/>
        </w:rPr>
        <w:t>指数为</w:t>
      </w:r>
      <w:r>
        <w:rPr>
          <w:rFonts w:asciiTheme="minorEastAsia" w:eastAsiaTheme="minorEastAsia" w:hAnsiTheme="minorEastAsia"/>
          <w:color w:val="000000" w:themeColor="text1"/>
          <w:szCs w:val="21"/>
        </w:rPr>
        <w:t>49.0%</w:t>
      </w:r>
      <w:r>
        <w:rPr>
          <w:rFonts w:asciiTheme="minorEastAsia" w:eastAsiaTheme="minorEastAsia" w:hAnsiTheme="minorEastAsia"/>
          <w:color w:val="000000" w:themeColor="text1"/>
          <w:szCs w:val="21"/>
        </w:rPr>
        <w:t>，较上月小幅回升，制造业水平总体有所改善；</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CPI</w:t>
      </w:r>
      <w:r>
        <w:rPr>
          <w:rFonts w:asciiTheme="minorEastAsia" w:eastAsiaTheme="minorEastAsia" w:hAnsiTheme="minorEastAsia"/>
          <w:color w:val="000000" w:themeColor="text1"/>
          <w:szCs w:val="21"/>
        </w:rPr>
        <w:t>当月同比上涨</w:t>
      </w:r>
      <w:r>
        <w:rPr>
          <w:rFonts w:asciiTheme="minorEastAsia" w:eastAsiaTheme="minorEastAsia" w:hAnsiTheme="minorEastAsia"/>
          <w:color w:val="000000" w:themeColor="text1"/>
          <w:szCs w:val="21"/>
        </w:rPr>
        <w:t>0.2%</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PPI</w:t>
      </w:r>
      <w:r>
        <w:rPr>
          <w:rFonts w:asciiTheme="minorEastAsia" w:eastAsiaTheme="minorEastAsia" w:hAnsiTheme="minorEastAsia"/>
          <w:color w:val="000000" w:themeColor="text1"/>
          <w:szCs w:val="21"/>
        </w:rPr>
        <w:t>当月同比下降</w:t>
      </w:r>
      <w:r>
        <w:rPr>
          <w:rFonts w:asciiTheme="minorEastAsia" w:eastAsiaTheme="minorEastAsia" w:hAnsiTheme="minorEastAsia"/>
          <w:color w:val="000000" w:themeColor="text1"/>
          <w:szCs w:val="21"/>
        </w:rPr>
        <w:t>4.6%</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 xml:space="preserve"> </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二季度，央行坚持稳健的货币政策精准有力，发挥存款利率市场化调整机制重要作用，为</w:t>
      </w:r>
      <w:r>
        <w:rPr>
          <w:rFonts w:asciiTheme="minorEastAsia" w:eastAsiaTheme="minorEastAsia" w:hAnsiTheme="minorEastAsia"/>
          <w:color w:val="000000" w:themeColor="text1"/>
          <w:szCs w:val="21"/>
        </w:rPr>
        <w:t>实体经济提供更有力支持。具体来看，</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月多家国有大行和股份行下调存款利率，随后央行接连下调公开市场操作（</w:t>
      </w:r>
      <w:r>
        <w:rPr>
          <w:rFonts w:asciiTheme="minorEastAsia" w:eastAsiaTheme="minorEastAsia" w:hAnsiTheme="minorEastAsia"/>
          <w:color w:val="000000" w:themeColor="text1"/>
          <w:szCs w:val="21"/>
        </w:rPr>
        <w:t>OMO</w:t>
      </w:r>
      <w:r>
        <w:rPr>
          <w:rFonts w:asciiTheme="minorEastAsia" w:eastAsiaTheme="minorEastAsia" w:hAnsiTheme="minorEastAsia"/>
          <w:color w:val="000000" w:themeColor="text1"/>
          <w:szCs w:val="21"/>
        </w:rPr>
        <w:t>）、中期借贷便利（</w:t>
      </w:r>
      <w:r>
        <w:rPr>
          <w:rFonts w:asciiTheme="minorEastAsia" w:eastAsiaTheme="minorEastAsia" w:hAnsiTheme="minorEastAsia"/>
          <w:color w:val="000000" w:themeColor="text1"/>
          <w:szCs w:val="21"/>
        </w:rPr>
        <w:t>MLF</w:t>
      </w:r>
      <w:r>
        <w:rPr>
          <w:rFonts w:asciiTheme="minorEastAsia" w:eastAsiaTheme="minorEastAsia" w:hAnsiTheme="minorEastAsia"/>
          <w:color w:val="000000" w:themeColor="text1"/>
          <w:szCs w:val="21"/>
        </w:rPr>
        <w:t>）和贷款市场报价（</w:t>
      </w:r>
      <w:r>
        <w:rPr>
          <w:rFonts w:asciiTheme="minorEastAsia" w:eastAsiaTheme="minorEastAsia" w:hAnsiTheme="minorEastAsia"/>
          <w:color w:val="000000" w:themeColor="text1"/>
          <w:szCs w:val="21"/>
        </w:rPr>
        <w:t>LPR</w:t>
      </w:r>
      <w:r>
        <w:rPr>
          <w:rFonts w:asciiTheme="minorEastAsia" w:eastAsiaTheme="minorEastAsia" w:hAnsiTheme="minorEastAsia"/>
          <w:color w:val="000000" w:themeColor="text1"/>
          <w:szCs w:val="21"/>
        </w:rPr>
        <w:t>）利率</w:t>
      </w:r>
      <w:r>
        <w:rPr>
          <w:rFonts w:asciiTheme="minorEastAsia" w:eastAsiaTheme="minorEastAsia" w:hAnsiTheme="minorEastAsia"/>
          <w:color w:val="000000" w:themeColor="text1"/>
          <w:szCs w:val="21"/>
        </w:rPr>
        <w:t>10bp</w:t>
      </w:r>
      <w:r>
        <w:rPr>
          <w:rFonts w:asciiTheme="minorEastAsia" w:eastAsiaTheme="minorEastAsia" w:hAnsiTheme="minorEastAsia"/>
          <w:color w:val="000000" w:themeColor="text1"/>
          <w:szCs w:val="21"/>
        </w:rPr>
        <w:t>，推动企业融资和居民信贷成本稳中有降。受降息影响，二季度债市短端整体下行，</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年期同业存单收益率下行至</w:t>
      </w:r>
      <w:r>
        <w:rPr>
          <w:rFonts w:asciiTheme="minorEastAsia" w:eastAsiaTheme="minorEastAsia" w:hAnsiTheme="minorEastAsia"/>
          <w:color w:val="000000" w:themeColor="text1"/>
          <w:szCs w:val="21"/>
        </w:rPr>
        <w:t>2.3%-2.4%</w:t>
      </w:r>
      <w:r>
        <w:rPr>
          <w:rFonts w:asciiTheme="minorEastAsia" w:eastAsiaTheme="minorEastAsia" w:hAnsiTheme="minorEastAsia"/>
          <w:color w:val="000000" w:themeColor="text1"/>
          <w:szCs w:val="21"/>
        </w:rPr>
        <w:t>区间，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年期国开债收益率下行至</w:t>
      </w:r>
      <w:r>
        <w:rPr>
          <w:rFonts w:asciiTheme="minorEastAsia" w:eastAsiaTheme="minorEastAsia" w:hAnsiTheme="minorEastAsia"/>
          <w:color w:val="000000" w:themeColor="text1"/>
          <w:szCs w:val="21"/>
        </w:rPr>
        <w:t>2.1%</w:t>
      </w:r>
      <w:r>
        <w:rPr>
          <w:rFonts w:asciiTheme="minorEastAsia" w:eastAsiaTheme="minorEastAsia" w:hAnsiTheme="minorEastAsia"/>
          <w:color w:val="000000" w:themeColor="text1"/>
          <w:szCs w:val="21"/>
        </w:rPr>
        <w:t>附近。</w:t>
      </w:r>
      <w:r>
        <w:rPr>
          <w:rFonts w:asciiTheme="minorEastAsia" w:eastAsiaTheme="minorEastAsia" w:hAnsiTheme="minorEastAsia"/>
          <w:color w:val="000000" w:themeColor="text1"/>
          <w:szCs w:val="21"/>
        </w:rPr>
        <w:t xml:space="preserve"> </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本基金在二季度继续以流动性安全性为主要目标，在市场收益率处于下行过程中适度拉长组合久期，保持流动性较好资产配置比例，同时密切关注客户现金流动向，在季末关键时点做好流动性前瞻性管</w:t>
      </w:r>
      <w:r>
        <w:rPr>
          <w:rFonts w:asciiTheme="minorEastAsia" w:eastAsiaTheme="minorEastAsia" w:hAnsiTheme="minorEastAsia"/>
          <w:color w:val="000000" w:themeColor="text1"/>
          <w:szCs w:val="21"/>
        </w:rPr>
        <w:t>理，预备充足流动性满足客户的赎回要求，力求平衡基金收益率和安全性，把握组合整体风险。</w:t>
      </w:r>
      <w:r>
        <w:rPr>
          <w:rFonts w:asciiTheme="minorEastAsia" w:eastAsiaTheme="minorEastAsia" w:hAnsiTheme="minorEastAsia"/>
          <w:color w:val="000000" w:themeColor="text1"/>
          <w:szCs w:val="21"/>
        </w:rPr>
        <w:t xml:space="preserve"> </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未来，预计政策仍将围绕经济恢复继续发力，为推动经济实现质的有效提升和量的合理增长服务。消费有望保持温和修复，基建投资将继续较快增长，高技术产业投资对投资增长带来支撑，房地产市场有望逐步探底恢复。货币政策大概率仍将以稳健为主，保持流动性合理充裕，保持社会融资规模增速同名义经济增速基本匹配。本基金在未来仍会谨记货币基金现金管理工具的原则，时刻关注国内外市场各种动向，坚决防范各类信用风险，灵活调整资产配置，遵守各项监管要求，同时始终把基金安全性、流动性以及投资人利益放在优先位置，力争为投资人提供安全稳健的长期回报。</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本报告期摩根天添宝</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份额净值增长率为</w:t>
      </w:r>
      <w:r>
        <w:rPr>
          <w:rFonts w:asciiTheme="minorEastAsia" w:eastAsiaTheme="minorEastAsia" w:hAnsiTheme="minorEastAsia"/>
          <w:color w:val="000000" w:themeColor="text1"/>
          <w:szCs w:val="21"/>
        </w:rPr>
        <w:t>:0.4115%</w:t>
      </w:r>
      <w:r>
        <w:rPr>
          <w:rFonts w:asciiTheme="minorEastAsia" w:eastAsiaTheme="minorEastAsia" w:hAnsiTheme="minorEastAsia"/>
          <w:color w:val="000000" w:themeColor="text1"/>
          <w:szCs w:val="21"/>
        </w:rPr>
        <w:t>，同期业绩比较基准收益率为</w:t>
      </w:r>
      <w:r>
        <w:rPr>
          <w:rFonts w:asciiTheme="minorEastAsia" w:eastAsiaTheme="minorEastAsia" w:hAnsiTheme="minorEastAsia"/>
          <w:color w:val="000000" w:themeColor="text1"/>
          <w:szCs w:val="21"/>
        </w:rPr>
        <w:t>:0.3366%</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摩根天添宝B份额净值增长率为:0.4716%，同期业绩比较基准收益率为:0.3366%。</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150,844,491.87</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58.08</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150,844,491.87</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58.08</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95,003,302.87</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36.58</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13,727,252.52</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5.29</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123,667.09</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0.05</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259,698,714.35</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B90611" w:rsidRDefault="00E6368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w:t>
      </w:r>
      <w:r>
        <w:rPr>
          <w:rFonts w:asciiTheme="minorEastAsia" w:eastAsiaTheme="minorEastAsia" w:hAnsiTheme="minorEastAsia" w:hint="eastAsia"/>
          <w:color w:val="000000" w:themeColor="text1"/>
          <w:szCs w:val="21"/>
        </w:rPr>
        <w:t xml:space="preserve">1. </w:t>
      </w:r>
      <w:r>
        <w:rPr>
          <w:rFonts w:asciiTheme="minorEastAsia" w:eastAsiaTheme="minorEastAsia" w:hAnsiTheme="minorEastAsia" w:hint="eastAsia"/>
          <w:color w:val="000000" w:themeColor="text1"/>
          <w:szCs w:val="21"/>
        </w:rPr>
        <w:t>银行存款和结算备付金合计其中银行存款</w:t>
      </w:r>
      <w:r>
        <w:rPr>
          <w:rFonts w:asciiTheme="minorEastAsia" w:eastAsiaTheme="minorEastAsia" w:hAnsiTheme="minorEastAsia" w:hint="eastAsia"/>
          <w:color w:val="000000" w:themeColor="text1"/>
          <w:szCs w:val="21"/>
        </w:rPr>
        <w:t>12,209,444.72</w:t>
      </w:r>
      <w:r>
        <w:rPr>
          <w:rFonts w:asciiTheme="minorEastAsia" w:eastAsiaTheme="minorEastAsia" w:hAnsiTheme="minorEastAsia" w:hint="eastAsia"/>
          <w:color w:val="000000" w:themeColor="text1"/>
          <w:szCs w:val="21"/>
        </w:rPr>
        <w:t>元。</w:t>
      </w:r>
    </w:p>
    <w:p w:rsidR="00B4354A" w:rsidRPr="00221340" w:rsidRDefault="00B4354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 买入返售金融资产其中买入返售金融资产（交易所）为39,991,309.91元。</w:t>
      </w:r>
    </w:p>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lastRenderedPageBreak/>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29</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39</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18</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65.06</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0.01</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23.12</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3.85</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lastRenderedPageBreak/>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7.67</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99.70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0.01</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F761E3" w:rsidP="00182D82">
            <w:pPr>
              <w:spacing w:before="29" w:line="360" w:lineRule="auto"/>
              <w:ind w:left="17"/>
              <w:jc w:val="center"/>
              <w:rPr>
                <w:rFonts w:asciiTheme="minorEastAsia" w:eastAsiaTheme="minorEastAsia" w:hAnsiTheme="minorEastAsia" w:cs="宋体"/>
                <w:color w:val="000000" w:themeColor="text1"/>
                <w:sz w:val="24"/>
              </w:rPr>
            </w:pPr>
            <w:r>
              <w:rPr>
                <w:rFonts w:ascii="宋体" w:hAnsi="宋体" w:hint="eastAsia"/>
                <w:color w:val="000000" w:themeColor="text1"/>
                <w:sz w:val="24"/>
              </w:rPr>
              <w:t>摊余成本</w:t>
            </w:r>
            <w:r w:rsidR="00AB0A2B" w:rsidRPr="003025FA">
              <w:rPr>
                <w:rFonts w:asciiTheme="minorEastAsia" w:eastAsiaTheme="minorEastAsia" w:hAnsiTheme="minorEastAsia" w:cs="宋体" w:hint="eastAsia"/>
                <w:color w:val="000000" w:themeColor="text1"/>
                <w:sz w:val="24"/>
              </w:rPr>
              <w:t>(元)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20,561,962.58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7.93</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20,561,962.58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7.93</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80,431,649.38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31.00</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49,850,879.91</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19.22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150,844,491.87</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58.14</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278"/>
        <w:gridCol w:w="1485"/>
        <w:gridCol w:w="1835"/>
        <w:gridCol w:w="1515"/>
        <w:gridCol w:w="1776"/>
        <w:gridCol w:w="1398"/>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lastRenderedPageBreak/>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1</w:t>
            </w:r>
          </w:p>
        </w:tc>
        <w:tc>
          <w:tcPr>
            <w:tcW w:w="0" w:type="auto"/>
            <w:vAlign w:val="center"/>
          </w:tcPr>
          <w:p w:rsidR="00B90611" w:rsidRDefault="00E6368C">
            <w:pPr>
              <w:jc w:val="center"/>
            </w:pPr>
            <w:r>
              <w:rPr>
                <w:rFonts w:asciiTheme="minorEastAsia" w:eastAsiaTheme="minorEastAsia" w:hAnsiTheme="minorEastAsia"/>
                <w:color w:val="000000" w:themeColor="text1"/>
                <w:sz w:val="24"/>
              </w:rPr>
              <w:t>112322003</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23</w:t>
            </w:r>
            <w:r>
              <w:rPr>
                <w:rFonts w:asciiTheme="minorEastAsia" w:eastAsiaTheme="minorEastAsia" w:hAnsiTheme="minorEastAsia"/>
                <w:color w:val="000000" w:themeColor="text1"/>
                <w:sz w:val="24"/>
              </w:rPr>
              <w:t>邮储银行</w:t>
            </w:r>
            <w:r>
              <w:rPr>
                <w:rFonts w:asciiTheme="minorEastAsia" w:eastAsiaTheme="minorEastAsia" w:hAnsiTheme="minorEastAsia"/>
                <w:color w:val="000000" w:themeColor="text1"/>
                <w:sz w:val="24"/>
              </w:rPr>
              <w:t>CD003</w:t>
            </w:r>
          </w:p>
        </w:tc>
        <w:tc>
          <w:tcPr>
            <w:tcW w:w="0" w:type="auto"/>
            <w:vAlign w:val="center"/>
          </w:tcPr>
          <w:p w:rsidR="00B90611" w:rsidRDefault="00E6368C">
            <w:pPr>
              <w:jc w:val="right"/>
            </w:pPr>
            <w:r>
              <w:rPr>
                <w:rFonts w:asciiTheme="minorEastAsia" w:eastAsiaTheme="minorEastAsia" w:hAnsiTheme="minorEastAsia"/>
                <w:color w:val="000000" w:themeColor="text1"/>
                <w:sz w:val="24"/>
              </w:rPr>
              <w:t>200,000.00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19,996,165.03</w:t>
            </w:r>
          </w:p>
        </w:tc>
        <w:tc>
          <w:tcPr>
            <w:tcW w:w="0" w:type="auto"/>
            <w:vAlign w:val="center"/>
          </w:tcPr>
          <w:p w:rsidR="00B90611" w:rsidRDefault="00E6368C">
            <w:pPr>
              <w:jc w:val="right"/>
            </w:pPr>
            <w:r>
              <w:rPr>
                <w:rFonts w:asciiTheme="minorEastAsia" w:eastAsiaTheme="minorEastAsia" w:hAnsiTheme="minorEastAsia"/>
                <w:color w:val="000000" w:themeColor="text1"/>
                <w:sz w:val="24"/>
              </w:rPr>
              <w:t>7.71</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2</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200407</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20</w:t>
            </w:r>
            <w:r>
              <w:rPr>
                <w:rFonts w:asciiTheme="minorEastAsia" w:eastAsiaTheme="minorEastAsia" w:hAnsiTheme="minorEastAsia"/>
                <w:color w:val="000000" w:themeColor="text1"/>
                <w:sz w:val="24"/>
              </w:rPr>
              <w:t>农发</w:t>
            </w:r>
            <w:r>
              <w:rPr>
                <w:rFonts w:asciiTheme="minorEastAsia" w:eastAsiaTheme="minorEastAsia" w:hAnsiTheme="minorEastAsia"/>
                <w:color w:val="000000" w:themeColor="text1"/>
                <w:sz w:val="24"/>
              </w:rPr>
              <w:t>07</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10,284,384.36</w:t>
            </w:r>
          </w:p>
        </w:tc>
        <w:tc>
          <w:tcPr>
            <w:tcW w:w="0" w:type="auto"/>
            <w:vAlign w:val="center"/>
          </w:tcPr>
          <w:p w:rsidR="00B90611" w:rsidRDefault="00E6368C">
            <w:pPr>
              <w:jc w:val="right"/>
            </w:pPr>
            <w:r>
              <w:rPr>
                <w:rFonts w:asciiTheme="minorEastAsia" w:eastAsiaTheme="minorEastAsia" w:hAnsiTheme="minorEastAsia"/>
                <w:color w:val="000000" w:themeColor="text1"/>
                <w:sz w:val="24"/>
              </w:rPr>
              <w:t>3.96</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3</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200207</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20</w:t>
            </w:r>
            <w:r>
              <w:rPr>
                <w:rFonts w:asciiTheme="minorEastAsia" w:eastAsiaTheme="minorEastAsia" w:hAnsiTheme="minorEastAsia"/>
                <w:color w:val="000000" w:themeColor="text1"/>
                <w:sz w:val="24"/>
              </w:rPr>
              <w:t>国开</w:t>
            </w:r>
            <w:r>
              <w:rPr>
                <w:rFonts w:asciiTheme="minorEastAsia" w:eastAsiaTheme="minorEastAsia" w:hAnsiTheme="minorEastAsia"/>
                <w:color w:val="000000" w:themeColor="text1"/>
                <w:sz w:val="24"/>
              </w:rPr>
              <w:t>07</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10,277,578.22</w:t>
            </w:r>
          </w:p>
        </w:tc>
        <w:tc>
          <w:tcPr>
            <w:tcW w:w="0" w:type="auto"/>
            <w:vAlign w:val="center"/>
          </w:tcPr>
          <w:p w:rsidR="00B90611" w:rsidRDefault="00E6368C">
            <w:pPr>
              <w:jc w:val="right"/>
            </w:pPr>
            <w:r>
              <w:rPr>
                <w:rFonts w:asciiTheme="minorEastAsia" w:eastAsiaTheme="minorEastAsia" w:hAnsiTheme="minorEastAsia"/>
                <w:color w:val="000000" w:themeColor="text1"/>
                <w:sz w:val="24"/>
              </w:rPr>
              <w:t>3.96</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4</w:t>
            </w:r>
          </w:p>
        </w:tc>
        <w:tc>
          <w:tcPr>
            <w:tcW w:w="0" w:type="auto"/>
            <w:vAlign w:val="center"/>
          </w:tcPr>
          <w:p w:rsidR="00B90611" w:rsidRDefault="00E6368C">
            <w:pPr>
              <w:jc w:val="center"/>
            </w:pPr>
            <w:r>
              <w:rPr>
                <w:rFonts w:asciiTheme="minorEastAsia" w:eastAsiaTheme="minorEastAsia" w:hAnsiTheme="minorEastAsia"/>
                <w:color w:val="000000" w:themeColor="text1"/>
                <w:sz w:val="24"/>
              </w:rPr>
              <w:t>012283907</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22</w:t>
            </w:r>
            <w:r>
              <w:rPr>
                <w:rFonts w:asciiTheme="minorEastAsia" w:eastAsiaTheme="minorEastAsia" w:hAnsiTheme="minorEastAsia"/>
                <w:color w:val="000000" w:themeColor="text1"/>
                <w:sz w:val="24"/>
              </w:rPr>
              <w:t>首钢</w:t>
            </w:r>
            <w:r>
              <w:rPr>
                <w:rFonts w:asciiTheme="minorEastAsia" w:eastAsiaTheme="minorEastAsia" w:hAnsiTheme="minorEastAsia"/>
                <w:color w:val="000000" w:themeColor="text1"/>
                <w:sz w:val="24"/>
              </w:rPr>
              <w:t>SCP006</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10,105,868.52</w:t>
            </w:r>
          </w:p>
        </w:tc>
        <w:tc>
          <w:tcPr>
            <w:tcW w:w="0" w:type="auto"/>
            <w:vAlign w:val="center"/>
          </w:tcPr>
          <w:p w:rsidR="00B90611" w:rsidRDefault="00E6368C">
            <w:pPr>
              <w:jc w:val="right"/>
            </w:pPr>
            <w:r>
              <w:rPr>
                <w:rFonts w:asciiTheme="minorEastAsia" w:eastAsiaTheme="minorEastAsia" w:hAnsiTheme="minorEastAsia"/>
                <w:color w:val="000000" w:themeColor="text1"/>
                <w:sz w:val="24"/>
              </w:rPr>
              <w:t>3.90</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5</w:t>
            </w:r>
          </w:p>
        </w:tc>
        <w:tc>
          <w:tcPr>
            <w:tcW w:w="0" w:type="auto"/>
            <w:vAlign w:val="center"/>
          </w:tcPr>
          <w:p w:rsidR="00B90611" w:rsidRDefault="00E6368C">
            <w:pPr>
              <w:jc w:val="center"/>
            </w:pPr>
            <w:r>
              <w:rPr>
                <w:rFonts w:asciiTheme="minorEastAsia" w:eastAsiaTheme="minorEastAsia" w:hAnsiTheme="minorEastAsia"/>
                <w:color w:val="000000" w:themeColor="text1"/>
                <w:sz w:val="24"/>
              </w:rPr>
              <w:t>012283941</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22</w:t>
            </w:r>
            <w:r>
              <w:rPr>
                <w:rFonts w:asciiTheme="minorEastAsia" w:eastAsiaTheme="minorEastAsia" w:hAnsiTheme="minorEastAsia"/>
                <w:color w:val="000000" w:themeColor="text1"/>
                <w:sz w:val="24"/>
              </w:rPr>
              <w:t>南电</w:t>
            </w:r>
            <w:r>
              <w:rPr>
                <w:rFonts w:asciiTheme="minorEastAsia" w:eastAsiaTheme="minorEastAsia" w:hAnsiTheme="minorEastAsia"/>
                <w:color w:val="000000" w:themeColor="text1"/>
                <w:sz w:val="24"/>
              </w:rPr>
              <w:t>SCP015</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10,088,440.35</w:t>
            </w:r>
          </w:p>
        </w:tc>
        <w:tc>
          <w:tcPr>
            <w:tcW w:w="0" w:type="auto"/>
            <w:vAlign w:val="center"/>
          </w:tcPr>
          <w:p w:rsidR="00B90611" w:rsidRDefault="00E6368C">
            <w:pPr>
              <w:jc w:val="right"/>
            </w:pPr>
            <w:r>
              <w:rPr>
                <w:rFonts w:asciiTheme="minorEastAsia" w:eastAsiaTheme="minorEastAsia" w:hAnsiTheme="minorEastAsia"/>
                <w:color w:val="000000" w:themeColor="text1"/>
                <w:sz w:val="24"/>
              </w:rPr>
              <w:t>3.89</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6</w:t>
            </w:r>
          </w:p>
        </w:tc>
        <w:tc>
          <w:tcPr>
            <w:tcW w:w="0" w:type="auto"/>
            <w:vAlign w:val="center"/>
          </w:tcPr>
          <w:p w:rsidR="00B90611" w:rsidRDefault="00E6368C">
            <w:pPr>
              <w:jc w:val="center"/>
            </w:pPr>
            <w:r>
              <w:rPr>
                <w:rFonts w:asciiTheme="minorEastAsia" w:eastAsiaTheme="minorEastAsia" w:hAnsiTheme="minorEastAsia"/>
                <w:color w:val="000000" w:themeColor="text1"/>
                <w:sz w:val="24"/>
              </w:rPr>
              <w:t>012380306</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23</w:t>
            </w:r>
            <w:r>
              <w:rPr>
                <w:rFonts w:asciiTheme="minorEastAsia" w:eastAsiaTheme="minorEastAsia" w:hAnsiTheme="minorEastAsia"/>
                <w:color w:val="000000" w:themeColor="text1"/>
                <w:sz w:val="24"/>
              </w:rPr>
              <w:t>浙交投</w:t>
            </w:r>
            <w:r>
              <w:rPr>
                <w:rFonts w:asciiTheme="minorEastAsia" w:eastAsiaTheme="minorEastAsia" w:hAnsiTheme="minorEastAsia"/>
                <w:color w:val="000000" w:themeColor="text1"/>
                <w:sz w:val="24"/>
              </w:rPr>
              <w:t>SCP001</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10,079,246.65</w:t>
            </w:r>
          </w:p>
        </w:tc>
        <w:tc>
          <w:tcPr>
            <w:tcW w:w="0" w:type="auto"/>
            <w:vAlign w:val="center"/>
          </w:tcPr>
          <w:p w:rsidR="00B90611" w:rsidRDefault="00E6368C">
            <w:pPr>
              <w:jc w:val="right"/>
            </w:pPr>
            <w:r>
              <w:rPr>
                <w:rFonts w:asciiTheme="minorEastAsia" w:eastAsiaTheme="minorEastAsia" w:hAnsiTheme="minorEastAsia"/>
                <w:color w:val="000000" w:themeColor="text1"/>
                <w:sz w:val="24"/>
              </w:rPr>
              <w:t>3.89</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7</w:t>
            </w:r>
          </w:p>
        </w:tc>
        <w:tc>
          <w:tcPr>
            <w:tcW w:w="0" w:type="auto"/>
            <w:vAlign w:val="center"/>
          </w:tcPr>
          <w:p w:rsidR="00B90611" w:rsidRDefault="00E6368C">
            <w:pPr>
              <w:jc w:val="center"/>
            </w:pPr>
            <w:r>
              <w:rPr>
                <w:rFonts w:asciiTheme="minorEastAsia" w:eastAsiaTheme="minorEastAsia" w:hAnsiTheme="minorEastAsia"/>
                <w:color w:val="000000" w:themeColor="text1"/>
                <w:sz w:val="24"/>
              </w:rPr>
              <w:t>012380622</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23</w:t>
            </w:r>
            <w:r>
              <w:rPr>
                <w:rFonts w:asciiTheme="minorEastAsia" w:eastAsiaTheme="minorEastAsia" w:hAnsiTheme="minorEastAsia"/>
                <w:color w:val="000000" w:themeColor="text1"/>
                <w:sz w:val="24"/>
              </w:rPr>
              <w:t>中电投</w:t>
            </w:r>
            <w:r>
              <w:rPr>
                <w:rFonts w:asciiTheme="minorEastAsia" w:eastAsiaTheme="minorEastAsia" w:hAnsiTheme="minorEastAsia"/>
                <w:color w:val="000000" w:themeColor="text1"/>
                <w:sz w:val="24"/>
              </w:rPr>
              <w:t>SCP004</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10,066,465.90</w:t>
            </w:r>
          </w:p>
        </w:tc>
        <w:tc>
          <w:tcPr>
            <w:tcW w:w="0" w:type="auto"/>
            <w:vAlign w:val="center"/>
          </w:tcPr>
          <w:p w:rsidR="00B90611" w:rsidRDefault="00E6368C">
            <w:pPr>
              <w:jc w:val="right"/>
            </w:pPr>
            <w:r>
              <w:rPr>
                <w:rFonts w:asciiTheme="minorEastAsia" w:eastAsiaTheme="minorEastAsia" w:hAnsiTheme="minorEastAsia"/>
                <w:color w:val="000000" w:themeColor="text1"/>
                <w:sz w:val="24"/>
              </w:rPr>
              <w:t>3.88</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8</w:t>
            </w:r>
          </w:p>
        </w:tc>
        <w:tc>
          <w:tcPr>
            <w:tcW w:w="0" w:type="auto"/>
            <w:vAlign w:val="center"/>
          </w:tcPr>
          <w:p w:rsidR="00B90611" w:rsidRDefault="00E6368C">
            <w:pPr>
              <w:jc w:val="center"/>
            </w:pPr>
            <w:r>
              <w:rPr>
                <w:rFonts w:asciiTheme="minorEastAsia" w:eastAsiaTheme="minorEastAsia" w:hAnsiTheme="minorEastAsia"/>
                <w:color w:val="000000" w:themeColor="text1"/>
                <w:sz w:val="24"/>
              </w:rPr>
              <w:t>012381641</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23</w:t>
            </w:r>
            <w:r>
              <w:rPr>
                <w:rFonts w:asciiTheme="minorEastAsia" w:eastAsiaTheme="minorEastAsia" w:hAnsiTheme="minorEastAsia"/>
                <w:color w:val="000000" w:themeColor="text1"/>
                <w:sz w:val="24"/>
              </w:rPr>
              <w:t>苏交通</w:t>
            </w:r>
            <w:r>
              <w:rPr>
                <w:rFonts w:asciiTheme="minorEastAsia" w:eastAsiaTheme="minorEastAsia" w:hAnsiTheme="minorEastAsia"/>
                <w:color w:val="000000" w:themeColor="text1"/>
                <w:sz w:val="24"/>
              </w:rPr>
              <w:t>SCP009</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10,037,603.51</w:t>
            </w:r>
          </w:p>
        </w:tc>
        <w:tc>
          <w:tcPr>
            <w:tcW w:w="0" w:type="auto"/>
            <w:vAlign w:val="center"/>
          </w:tcPr>
          <w:p w:rsidR="00B90611" w:rsidRDefault="00E6368C">
            <w:pPr>
              <w:jc w:val="right"/>
            </w:pPr>
            <w:r>
              <w:rPr>
                <w:rFonts w:asciiTheme="minorEastAsia" w:eastAsiaTheme="minorEastAsia" w:hAnsiTheme="minorEastAsia"/>
                <w:color w:val="000000" w:themeColor="text1"/>
                <w:sz w:val="24"/>
              </w:rPr>
              <w:t>3.87</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9</w:t>
            </w:r>
          </w:p>
        </w:tc>
        <w:tc>
          <w:tcPr>
            <w:tcW w:w="0" w:type="auto"/>
            <w:vAlign w:val="center"/>
          </w:tcPr>
          <w:p w:rsidR="00B90611" w:rsidRDefault="00E6368C">
            <w:pPr>
              <w:jc w:val="center"/>
            </w:pPr>
            <w:r>
              <w:rPr>
                <w:rFonts w:asciiTheme="minorEastAsia" w:eastAsiaTheme="minorEastAsia" w:hAnsiTheme="minorEastAsia"/>
                <w:color w:val="000000" w:themeColor="text1"/>
                <w:sz w:val="24"/>
              </w:rPr>
              <w:t>012381540</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23</w:t>
            </w:r>
            <w:r>
              <w:rPr>
                <w:rFonts w:asciiTheme="minorEastAsia" w:eastAsiaTheme="minorEastAsia" w:hAnsiTheme="minorEastAsia"/>
                <w:color w:val="000000" w:themeColor="text1"/>
                <w:sz w:val="24"/>
              </w:rPr>
              <w:t>中化股</w:t>
            </w:r>
            <w:r>
              <w:rPr>
                <w:rFonts w:asciiTheme="minorEastAsia" w:eastAsiaTheme="minorEastAsia" w:hAnsiTheme="minorEastAsia"/>
                <w:color w:val="000000" w:themeColor="text1"/>
                <w:sz w:val="24"/>
              </w:rPr>
              <w:t>SCP013</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10,036,145.73</w:t>
            </w:r>
          </w:p>
        </w:tc>
        <w:tc>
          <w:tcPr>
            <w:tcW w:w="0" w:type="auto"/>
            <w:vAlign w:val="center"/>
          </w:tcPr>
          <w:p w:rsidR="00B90611" w:rsidRDefault="00E6368C">
            <w:pPr>
              <w:jc w:val="right"/>
            </w:pPr>
            <w:r>
              <w:rPr>
                <w:rFonts w:asciiTheme="minorEastAsia" w:eastAsiaTheme="minorEastAsia" w:hAnsiTheme="minorEastAsia"/>
                <w:color w:val="000000" w:themeColor="text1"/>
                <w:sz w:val="24"/>
              </w:rPr>
              <w:t>3.87</w:t>
            </w:r>
          </w:p>
        </w:tc>
      </w:tr>
      <w:tr w:rsidR="00B90611">
        <w:tc>
          <w:tcPr>
            <w:tcW w:w="0" w:type="auto"/>
            <w:vAlign w:val="center"/>
          </w:tcPr>
          <w:p w:rsidR="00B90611" w:rsidRDefault="00E6368C">
            <w:pPr>
              <w:jc w:val="center"/>
            </w:pPr>
            <w:r>
              <w:rPr>
                <w:rFonts w:asciiTheme="minorEastAsia" w:eastAsiaTheme="minorEastAsia" w:hAnsiTheme="minorEastAsia"/>
                <w:color w:val="000000" w:themeColor="text1"/>
                <w:sz w:val="24"/>
              </w:rPr>
              <w:t>10</w:t>
            </w:r>
          </w:p>
        </w:tc>
        <w:tc>
          <w:tcPr>
            <w:tcW w:w="0" w:type="auto"/>
            <w:vAlign w:val="center"/>
          </w:tcPr>
          <w:p w:rsidR="00B90611" w:rsidRDefault="00E6368C">
            <w:pPr>
              <w:jc w:val="center"/>
            </w:pPr>
            <w:r>
              <w:rPr>
                <w:rFonts w:asciiTheme="minorEastAsia" w:eastAsiaTheme="minorEastAsia" w:hAnsiTheme="minorEastAsia"/>
                <w:color w:val="000000" w:themeColor="text1"/>
                <w:sz w:val="24"/>
              </w:rPr>
              <w:t>012382037</w:t>
            </w:r>
          </w:p>
        </w:tc>
        <w:tc>
          <w:tcPr>
            <w:tcW w:w="0" w:type="auto"/>
            <w:vAlign w:val="center"/>
          </w:tcPr>
          <w:p w:rsidR="00B90611" w:rsidRDefault="00E6368C">
            <w:pPr>
              <w:jc w:val="center"/>
            </w:pPr>
            <w:r>
              <w:rPr>
                <w:rFonts w:asciiTheme="minorEastAsia" w:eastAsiaTheme="minorEastAsia" w:hAnsiTheme="minorEastAsia"/>
                <w:color w:val="000000" w:themeColor="text1"/>
                <w:sz w:val="24"/>
              </w:rPr>
              <w:t>23</w:t>
            </w:r>
            <w:r>
              <w:rPr>
                <w:rFonts w:asciiTheme="minorEastAsia" w:eastAsiaTheme="minorEastAsia" w:hAnsiTheme="minorEastAsia"/>
                <w:color w:val="000000" w:themeColor="text1"/>
                <w:sz w:val="24"/>
              </w:rPr>
              <w:t>申能集</w:t>
            </w:r>
            <w:r>
              <w:rPr>
                <w:rFonts w:asciiTheme="minorEastAsia" w:eastAsiaTheme="minorEastAsia" w:hAnsiTheme="minorEastAsia"/>
                <w:color w:val="000000" w:themeColor="text1"/>
                <w:sz w:val="24"/>
              </w:rPr>
              <w:t>SCP001</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100,000.00</w:t>
            </w:r>
          </w:p>
        </w:tc>
        <w:tc>
          <w:tcPr>
            <w:tcW w:w="0" w:type="auto"/>
            <w:vAlign w:val="center"/>
          </w:tcPr>
          <w:p w:rsidR="00B90611" w:rsidRDefault="00E6368C">
            <w:pPr>
              <w:jc w:val="right"/>
            </w:pPr>
            <w:r>
              <w:rPr>
                <w:rFonts w:asciiTheme="minorEastAsia" w:eastAsiaTheme="minorEastAsia" w:hAnsiTheme="minorEastAsia"/>
                <w:color w:val="000000" w:themeColor="text1"/>
                <w:sz w:val="24"/>
              </w:rPr>
              <w:t>10,009,309.26</w:t>
            </w:r>
          </w:p>
        </w:tc>
        <w:tc>
          <w:tcPr>
            <w:tcW w:w="0" w:type="auto"/>
            <w:vAlign w:val="center"/>
          </w:tcPr>
          <w:p w:rsidR="00B90611" w:rsidRDefault="00E6368C">
            <w:pPr>
              <w:jc w:val="right"/>
            </w:pPr>
            <w:r>
              <w:rPr>
                <w:rFonts w:asciiTheme="minorEastAsia" w:eastAsiaTheme="minorEastAsia" w:hAnsiTheme="minorEastAsia"/>
                <w:color w:val="000000" w:themeColor="text1"/>
                <w:sz w:val="24"/>
              </w:rPr>
              <w:t>3.86</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0.0477%</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0.0165%</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0.0314%</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lastRenderedPageBreak/>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5.9.2报告期内本基金投资的前十名证券的发行主体本期没有出现被监管部门立案调查，或在报告编制日前一年内受到公开谴责、处罚的情形。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112,310.69</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11,356.40</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123,667.09</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因四舍五入原因，投资组合报告中分项之和与合计可能存在尾差。</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摩根天添宝货币A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摩根天添宝货币B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29,650,560.70</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243,284,422.91</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58,763,202.79</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176,029,251.98</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57,931,029.26</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190,368,178.37</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lastRenderedPageBreak/>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30,482,734.23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228,945,496.52</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AF3D19"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影响投资者决策的其他重要信息</w:t>
      </w:r>
    </w:p>
    <w:p w:rsidR="002855EF" w:rsidRPr="002855EF" w:rsidRDefault="002855EF" w:rsidP="002855EF">
      <w:pPr>
        <w:autoSpaceDE w:val="0"/>
        <w:autoSpaceDN w:val="0"/>
        <w:adjustRightInd w:val="0"/>
        <w:spacing w:line="360" w:lineRule="auto"/>
        <w:jc w:val="left"/>
        <w:rPr>
          <w:rFonts w:ascii="宋体" w:hAnsi="宋体"/>
          <w:b/>
          <w:bCs/>
          <w:color w:val="000000"/>
          <w:kern w:val="0"/>
          <w:sz w:val="24"/>
        </w:rPr>
      </w:pPr>
      <w:r w:rsidRPr="002855EF">
        <w:rPr>
          <w:rFonts w:ascii="宋体" w:hAnsi="宋体"/>
          <w:b/>
          <w:bCs/>
          <w:color w:val="000000"/>
          <w:kern w:val="0"/>
          <w:sz w:val="24"/>
        </w:rPr>
        <w:t>8.</w:t>
      </w:r>
      <w:r w:rsidRPr="002855EF">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855EF" w:rsidRPr="00090DA4" w:rsidTr="0038354C">
        <w:tc>
          <w:tcPr>
            <w:tcW w:w="993" w:type="dxa"/>
            <w:vMerge w:val="restart"/>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投资者类别</w:t>
            </w:r>
            <w:r w:rsidRPr="00090DA4">
              <w:rPr>
                <w:rFonts w:ascii="宋体" w:hAnsi="宋体"/>
                <w:color w:val="000000"/>
                <w:kern w:val="0"/>
                <w:szCs w:val="21"/>
              </w:rPr>
              <w:t xml:space="preserve">  </w:t>
            </w:r>
          </w:p>
        </w:tc>
        <w:tc>
          <w:tcPr>
            <w:tcW w:w="5670" w:type="dxa"/>
            <w:gridSpan w:val="5"/>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报告期内持有基金份额变化情况</w:t>
            </w:r>
          </w:p>
        </w:tc>
        <w:tc>
          <w:tcPr>
            <w:tcW w:w="2549" w:type="dxa"/>
            <w:gridSpan w:val="2"/>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报告期末持有基金情况</w:t>
            </w:r>
          </w:p>
        </w:tc>
      </w:tr>
      <w:tr w:rsidR="002855EF" w:rsidRPr="00090DA4" w:rsidTr="0038354C">
        <w:tc>
          <w:tcPr>
            <w:tcW w:w="993" w:type="dxa"/>
            <w:vMerge/>
            <w:vAlign w:val="center"/>
          </w:tcPr>
          <w:p w:rsidR="002855EF" w:rsidRPr="00090DA4" w:rsidRDefault="002855EF" w:rsidP="0038354C">
            <w:pPr>
              <w:autoSpaceDE w:val="0"/>
              <w:autoSpaceDN w:val="0"/>
              <w:adjustRightInd w:val="0"/>
              <w:jc w:val="center"/>
              <w:rPr>
                <w:rFonts w:ascii="宋体" w:hAnsi="宋体"/>
                <w:b/>
                <w:bCs/>
                <w:color w:val="000000"/>
                <w:kern w:val="0"/>
                <w:szCs w:val="21"/>
              </w:rPr>
            </w:pPr>
          </w:p>
        </w:tc>
        <w:tc>
          <w:tcPr>
            <w:tcW w:w="992"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序号</w:t>
            </w:r>
          </w:p>
        </w:tc>
        <w:tc>
          <w:tcPr>
            <w:tcW w:w="1843"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持有基金份额比例达到或者超过20%的时间区间</w:t>
            </w:r>
          </w:p>
        </w:tc>
        <w:tc>
          <w:tcPr>
            <w:tcW w:w="851" w:type="dxa"/>
            <w:vAlign w:val="center"/>
          </w:tcPr>
          <w:p w:rsidR="002855EF" w:rsidRPr="00090DA4" w:rsidRDefault="002855EF" w:rsidP="0038354C">
            <w:pPr>
              <w:widowControl/>
              <w:jc w:val="center"/>
              <w:rPr>
                <w:rFonts w:ascii="宋体" w:hAnsi="宋体"/>
                <w:b/>
                <w:bCs/>
                <w:color w:val="000000"/>
                <w:kern w:val="0"/>
                <w:szCs w:val="21"/>
              </w:rPr>
            </w:pPr>
            <w:r w:rsidRPr="00090DA4">
              <w:rPr>
                <w:rFonts w:ascii="宋体" w:hAnsi="宋体" w:hint="eastAsia"/>
                <w:color w:val="000000"/>
                <w:kern w:val="0"/>
                <w:szCs w:val="21"/>
              </w:rPr>
              <w:t>期初份额</w:t>
            </w:r>
          </w:p>
        </w:tc>
        <w:tc>
          <w:tcPr>
            <w:tcW w:w="850" w:type="dxa"/>
            <w:vAlign w:val="center"/>
          </w:tcPr>
          <w:p w:rsidR="002855EF" w:rsidRPr="00090DA4" w:rsidRDefault="002855EF" w:rsidP="0038354C">
            <w:pPr>
              <w:widowControl/>
              <w:jc w:val="center"/>
              <w:rPr>
                <w:rFonts w:ascii="宋体" w:hAnsi="宋体"/>
                <w:b/>
                <w:bCs/>
                <w:color w:val="000000"/>
                <w:kern w:val="0"/>
                <w:szCs w:val="21"/>
              </w:rPr>
            </w:pPr>
            <w:r w:rsidRPr="00090DA4">
              <w:rPr>
                <w:rFonts w:ascii="宋体" w:hAnsi="宋体" w:hint="eastAsia"/>
                <w:color w:val="000000"/>
                <w:kern w:val="0"/>
                <w:szCs w:val="21"/>
              </w:rPr>
              <w:t>申购份额</w:t>
            </w:r>
          </w:p>
        </w:tc>
        <w:tc>
          <w:tcPr>
            <w:tcW w:w="1134" w:type="dxa"/>
            <w:vAlign w:val="center"/>
          </w:tcPr>
          <w:p w:rsidR="002855EF" w:rsidRPr="00090DA4" w:rsidRDefault="002855EF" w:rsidP="0038354C">
            <w:pPr>
              <w:widowControl/>
              <w:jc w:val="center"/>
              <w:rPr>
                <w:rFonts w:ascii="宋体" w:hAnsi="宋体"/>
                <w:b/>
                <w:bCs/>
                <w:color w:val="000000"/>
                <w:kern w:val="0"/>
                <w:szCs w:val="21"/>
              </w:rPr>
            </w:pPr>
            <w:r w:rsidRPr="00090DA4">
              <w:rPr>
                <w:rFonts w:ascii="宋体" w:hAnsi="宋体" w:hint="eastAsia"/>
                <w:color w:val="000000"/>
                <w:kern w:val="0"/>
                <w:szCs w:val="21"/>
              </w:rPr>
              <w:t>赎回份额</w:t>
            </w:r>
          </w:p>
        </w:tc>
        <w:tc>
          <w:tcPr>
            <w:tcW w:w="1419"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持有份额</w:t>
            </w:r>
          </w:p>
        </w:tc>
        <w:tc>
          <w:tcPr>
            <w:tcW w:w="1130" w:type="dxa"/>
            <w:vAlign w:val="center"/>
          </w:tcPr>
          <w:p w:rsidR="002855EF" w:rsidRPr="00090DA4" w:rsidRDefault="002855EF" w:rsidP="0038354C">
            <w:pPr>
              <w:autoSpaceDE w:val="0"/>
              <w:autoSpaceDN w:val="0"/>
              <w:adjustRightInd w:val="0"/>
              <w:jc w:val="center"/>
              <w:rPr>
                <w:rFonts w:ascii="宋体" w:hAnsi="宋体"/>
                <w:b/>
                <w:bCs/>
                <w:color w:val="000000"/>
                <w:kern w:val="0"/>
                <w:szCs w:val="21"/>
              </w:rPr>
            </w:pPr>
            <w:r w:rsidRPr="00090DA4">
              <w:rPr>
                <w:rFonts w:ascii="宋体" w:hAnsi="宋体" w:hint="eastAsia"/>
                <w:color w:val="000000"/>
                <w:kern w:val="0"/>
                <w:szCs w:val="21"/>
              </w:rPr>
              <w:t>份额占比</w:t>
            </w:r>
          </w:p>
        </w:tc>
      </w:tr>
      <w:tr w:rsidR="00B90611">
        <w:tc>
          <w:tcPr>
            <w:tcW w:w="993" w:type="dxa"/>
            <w:vMerge w:val="restart"/>
            <w:vAlign w:val="center"/>
          </w:tcPr>
          <w:p w:rsidR="00B90611" w:rsidRDefault="00E6368C">
            <w:r>
              <w:rPr>
                <w:rFonts w:ascii="宋体" w:hAnsi="宋体" w:hint="eastAsia"/>
                <w:bCs/>
                <w:color w:val="000000"/>
                <w:kern w:val="0"/>
                <w:szCs w:val="21"/>
              </w:rPr>
              <w:t>机构</w:t>
            </w:r>
          </w:p>
        </w:tc>
        <w:tc>
          <w:tcPr>
            <w:tcW w:w="992" w:type="dxa"/>
            <w:vAlign w:val="center"/>
          </w:tcPr>
          <w:p w:rsidR="00B90611" w:rsidRDefault="00E6368C">
            <w:pPr>
              <w:jc w:val="center"/>
            </w:pPr>
            <w:r>
              <w:rPr>
                <w:rFonts w:ascii="宋体" w:hAnsi="宋体"/>
                <w:color w:val="000000"/>
                <w:kern w:val="0"/>
                <w:szCs w:val="21"/>
              </w:rPr>
              <w:t>1</w:t>
            </w:r>
          </w:p>
        </w:tc>
        <w:tc>
          <w:tcPr>
            <w:tcW w:w="1843" w:type="dxa"/>
            <w:vAlign w:val="center"/>
          </w:tcPr>
          <w:p w:rsidR="00B90611" w:rsidRDefault="00E6368C">
            <w:pPr>
              <w:jc w:val="center"/>
            </w:pPr>
            <w:r>
              <w:rPr>
                <w:rFonts w:ascii="宋体" w:hAnsi="宋体"/>
                <w:color w:val="000000"/>
                <w:kern w:val="0"/>
                <w:szCs w:val="21"/>
              </w:rPr>
              <w:t>20230401-20230630</w:t>
            </w:r>
          </w:p>
        </w:tc>
        <w:tc>
          <w:tcPr>
            <w:tcW w:w="851" w:type="dxa"/>
            <w:vAlign w:val="center"/>
          </w:tcPr>
          <w:p w:rsidR="00B90611" w:rsidRDefault="00E6368C">
            <w:pPr>
              <w:jc w:val="center"/>
            </w:pPr>
            <w:r>
              <w:rPr>
                <w:rFonts w:ascii="宋体" w:hAnsi="宋体"/>
                <w:color w:val="000000"/>
                <w:kern w:val="0"/>
                <w:szCs w:val="21"/>
              </w:rPr>
              <w:t>73,842,011.92</w:t>
            </w:r>
          </w:p>
        </w:tc>
        <w:tc>
          <w:tcPr>
            <w:tcW w:w="850" w:type="dxa"/>
            <w:vAlign w:val="center"/>
          </w:tcPr>
          <w:p w:rsidR="00B90611" w:rsidRDefault="00E6368C">
            <w:pPr>
              <w:jc w:val="center"/>
            </w:pPr>
            <w:r>
              <w:rPr>
                <w:rFonts w:ascii="宋体" w:hAnsi="宋体"/>
                <w:color w:val="000000"/>
                <w:kern w:val="0"/>
                <w:szCs w:val="21"/>
              </w:rPr>
              <w:t>348,426.26</w:t>
            </w:r>
          </w:p>
        </w:tc>
        <w:tc>
          <w:tcPr>
            <w:tcW w:w="1134" w:type="dxa"/>
            <w:vAlign w:val="center"/>
          </w:tcPr>
          <w:p w:rsidR="00B90611" w:rsidRDefault="00E6368C">
            <w:pPr>
              <w:jc w:val="center"/>
            </w:pPr>
            <w:r>
              <w:rPr>
                <w:rFonts w:ascii="宋体" w:hAnsi="宋体"/>
                <w:color w:val="000000"/>
                <w:kern w:val="0"/>
                <w:szCs w:val="21"/>
              </w:rPr>
              <w:t>0.00</w:t>
            </w:r>
          </w:p>
        </w:tc>
        <w:tc>
          <w:tcPr>
            <w:tcW w:w="1419" w:type="dxa"/>
            <w:vAlign w:val="center"/>
          </w:tcPr>
          <w:p w:rsidR="00B90611" w:rsidRDefault="00E6368C">
            <w:pPr>
              <w:jc w:val="center"/>
            </w:pPr>
            <w:r>
              <w:rPr>
                <w:rFonts w:ascii="宋体" w:hAnsi="宋体"/>
                <w:color w:val="000000"/>
                <w:kern w:val="0"/>
                <w:szCs w:val="21"/>
              </w:rPr>
              <w:t>74,190,438.18</w:t>
            </w:r>
          </w:p>
        </w:tc>
        <w:tc>
          <w:tcPr>
            <w:tcW w:w="1130" w:type="dxa"/>
            <w:vAlign w:val="center"/>
          </w:tcPr>
          <w:p w:rsidR="00B90611" w:rsidRDefault="00E6368C">
            <w:pPr>
              <w:jc w:val="center"/>
            </w:pPr>
            <w:r>
              <w:rPr>
                <w:rFonts w:ascii="宋体" w:hAnsi="宋体"/>
                <w:color w:val="000000"/>
                <w:kern w:val="0"/>
                <w:szCs w:val="21"/>
              </w:rPr>
              <w:t>28.60%</w:t>
            </w:r>
          </w:p>
        </w:tc>
      </w:tr>
      <w:tr w:rsidR="002855EF" w:rsidRPr="00090DA4" w:rsidTr="0038354C">
        <w:tc>
          <w:tcPr>
            <w:tcW w:w="9212" w:type="dxa"/>
            <w:gridSpan w:val="8"/>
            <w:vAlign w:val="center"/>
          </w:tcPr>
          <w:p w:rsidR="002855EF" w:rsidRPr="00090DA4" w:rsidRDefault="002855EF" w:rsidP="0038354C">
            <w:pPr>
              <w:autoSpaceDE w:val="0"/>
              <w:autoSpaceDN w:val="0"/>
              <w:adjustRightInd w:val="0"/>
              <w:jc w:val="center"/>
              <w:rPr>
                <w:rFonts w:ascii="宋体" w:hAnsi="宋体"/>
                <w:kern w:val="0"/>
                <w:szCs w:val="21"/>
              </w:rPr>
            </w:pPr>
            <w:r w:rsidRPr="00090DA4">
              <w:rPr>
                <w:rFonts w:ascii="宋体" w:hAnsi="宋体"/>
                <w:color w:val="000000"/>
                <w:kern w:val="0"/>
                <w:szCs w:val="21"/>
              </w:rPr>
              <w:t>产品特有风险</w:t>
            </w:r>
          </w:p>
        </w:tc>
      </w:tr>
      <w:tr w:rsidR="002855EF" w:rsidRPr="00090DA4" w:rsidTr="0038354C">
        <w:tc>
          <w:tcPr>
            <w:tcW w:w="9212" w:type="dxa"/>
            <w:gridSpan w:val="8"/>
            <w:vAlign w:val="center"/>
          </w:tcPr>
          <w:p w:rsidR="002855EF" w:rsidRPr="00090DA4" w:rsidRDefault="002855EF" w:rsidP="0038354C">
            <w:pPr>
              <w:autoSpaceDE w:val="0"/>
              <w:autoSpaceDN w:val="0"/>
              <w:adjustRightInd w:val="0"/>
              <w:jc w:val="left"/>
              <w:rPr>
                <w:rFonts w:ascii="宋体" w:hAnsi="宋体"/>
                <w:kern w:val="0"/>
                <w:szCs w:val="21"/>
              </w:rPr>
            </w:pPr>
            <w:r w:rsidRPr="00090DA4">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2855EF" w:rsidRPr="002855EF" w:rsidRDefault="002855EF" w:rsidP="002855EF">
      <w:pPr>
        <w:autoSpaceDE w:val="0"/>
        <w:autoSpaceDN w:val="0"/>
        <w:adjustRightInd w:val="0"/>
        <w:spacing w:line="360" w:lineRule="auto"/>
        <w:jc w:val="left"/>
        <w:rPr>
          <w:rFonts w:ascii="宋体" w:hAnsi="宋体"/>
          <w:b/>
          <w:bCs/>
          <w:color w:val="000000"/>
          <w:kern w:val="0"/>
          <w:sz w:val="24"/>
        </w:rPr>
      </w:pPr>
      <w:r w:rsidRPr="002855EF">
        <w:rPr>
          <w:rFonts w:ascii="宋体" w:hAnsi="宋体" w:hint="eastAsia"/>
          <w:b/>
          <w:bCs/>
          <w:color w:val="000000"/>
          <w:kern w:val="0"/>
          <w:sz w:val="24"/>
        </w:rPr>
        <w:t>8.2 影响投资者决策的其他重要信息</w:t>
      </w:r>
    </w:p>
    <w:p w:rsidR="002855EF" w:rsidRPr="00090DA4" w:rsidRDefault="002855EF" w:rsidP="002855EF">
      <w:pPr>
        <w:spacing w:line="360" w:lineRule="auto"/>
        <w:ind w:firstLineChars="200" w:firstLine="420"/>
        <w:rPr>
          <w:rFonts w:ascii="宋体" w:hAnsi="宋体"/>
          <w:color w:val="000000"/>
          <w:szCs w:val="21"/>
        </w:rPr>
      </w:pPr>
      <w:r w:rsidRPr="00090DA4">
        <w:rPr>
          <w:rFonts w:ascii="宋体" w:hAnsi="宋体"/>
          <w:color w:val="000000"/>
          <w:szCs w:val="21"/>
        </w:rPr>
        <w:t>无。</w:t>
      </w: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9</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一</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中国证监会批准本基金募集的文件</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二</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摩根天添宝货币市场基金基金合同</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三</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摩根天添宝货币市场基金托管协议</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四</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法律意见书</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五</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基金管理人业务资格批件、营业执照</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六</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基金托管人业务资格批件、营业执照</w:t>
      </w:r>
    </w:p>
    <w:p w:rsidR="00B90611" w:rsidRDefault="00E6368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七</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摩根基金管理（中国）有限公司开放式基金业务规则</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(八) 中国证监会要求的其他文件</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lastRenderedPageBreak/>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摩根基金管理（中国）有限公司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二〇二三年七月二十一日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0E" w:rsidRDefault="00E84C0E">
      <w:r>
        <w:separator/>
      </w:r>
    </w:p>
  </w:endnote>
  <w:endnote w:type="continuationSeparator" w:id="0">
    <w:p w:rsidR="00E84C0E" w:rsidRDefault="00E8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E6368C">
      <w:rPr>
        <w:noProof/>
        <w:kern w:val="0"/>
        <w:szCs w:val="21"/>
      </w:rPr>
      <w:t>2</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E6368C">
      <w:rPr>
        <w:noProof/>
        <w:kern w:val="0"/>
        <w:szCs w:val="21"/>
      </w:rPr>
      <w:t>15</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0E" w:rsidRDefault="00E84C0E">
      <w:r>
        <w:separator/>
      </w:r>
    </w:p>
  </w:footnote>
  <w:footnote w:type="continuationSeparator" w:id="0">
    <w:p w:rsidR="00E84C0E" w:rsidRDefault="00E8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摩根天添宝货币市场基金</w:t>
    </w:r>
    <w:r w:rsidRPr="000C5A36">
      <w:t>2023</w:t>
    </w:r>
    <w:r w:rsidRPr="000C5A36">
      <w:t>年第</w:t>
    </w:r>
    <w:r w:rsidRPr="000C5A36">
      <w:t>2</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1E74"/>
    <w:rsid w:val="0024424F"/>
    <w:rsid w:val="002507FE"/>
    <w:rsid w:val="002525C7"/>
    <w:rsid w:val="002611C3"/>
    <w:rsid w:val="002622E8"/>
    <w:rsid w:val="00267283"/>
    <w:rsid w:val="00274FAC"/>
    <w:rsid w:val="002855EF"/>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0611"/>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68C"/>
    <w:rsid w:val="00E63B3D"/>
    <w:rsid w:val="00E64479"/>
    <w:rsid w:val="00E67D99"/>
    <w:rsid w:val="00E75556"/>
    <w:rsid w:val="00E76F1F"/>
    <w:rsid w:val="00E80BE2"/>
    <w:rsid w:val="00E8309D"/>
    <w:rsid w:val="00E84C0E"/>
    <w:rsid w:val="00E90A9C"/>
    <w:rsid w:val="00E92BEC"/>
    <w:rsid w:val="00E95356"/>
    <w:rsid w:val="00E966E5"/>
    <w:rsid w:val="00EA3D96"/>
    <w:rsid w:val="00EA6B69"/>
    <w:rsid w:val="00EA6B7B"/>
    <w:rsid w:val="00EA6EC8"/>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61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15</Pages>
  <Words>1300</Words>
  <Characters>7410</Characters>
  <Application>Microsoft Office Word</Application>
  <DocSecurity>0</DocSecurity>
  <Lines>61</Lines>
  <Paragraphs>17</Paragraphs>
  <ScaleCrop>false</ScaleCrop>
  <Company>jysld</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217</cp:revision>
  <cp:lastPrinted>2009-01-22T10:11:00Z</cp:lastPrinted>
  <dcterms:created xsi:type="dcterms:W3CDTF">2012-11-21T05:49:00Z</dcterms:created>
  <dcterms:modified xsi:type="dcterms:W3CDTF">2023-07-20T05:28:00Z</dcterms:modified>
</cp:coreProperties>
</file>