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摩根天添宝货币市场基金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2023年第3季度报告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2023年9月30日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摩根基金管理（中国）有限公司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二〇二三年十月二十五日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5F4FD4" w:rsidRDefault="006B32B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5F4FD4" w:rsidRDefault="006B32B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基金托管人中国建设银行股份有限公司根据本基金合同规定，于2023年10月24日复核了本报告中的财务指标、净值表现和投资组合报告等内容，保证复核内容不存在虚假记载、误导性陈述或者重大遗漏。 </w:t>
      </w:r>
    </w:p>
    <w:p w:rsidR="005F4FD4" w:rsidRDefault="006B32B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5F4FD4" w:rsidRDefault="006B32B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5F4FD4" w:rsidRDefault="006B32B5">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本报告期自2023年7月1日起至9月30日止。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摩根天添宝货币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000712</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2014年11月25日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221,827,936.01</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在有效控制投资风险和保持较高流动性的基础上，力争获得高于业绩比较基准的稳定回报。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5F4FD4" w:rsidRDefault="006B32B5">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w:t>
            </w:r>
            <w:r>
              <w:rPr>
                <w:rFonts w:asciiTheme="minorEastAsia" w:eastAsiaTheme="minorEastAsia" w:hAnsiTheme="minorEastAsia"/>
                <w:color w:val="000000" w:themeColor="text1"/>
                <w:kern w:val="0"/>
                <w:szCs w:val="21"/>
              </w:rPr>
              <w:lastRenderedPageBreak/>
              <w:t>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其他投资策略：包括息差策略、套利策略、现金流管理策略。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5F4FD4" w:rsidRDefault="006B32B5">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本基金为货币市场基金，是证券投资基金中的低风险品种。本基金的风险和预期收益低于股票型基金、混合型基金和债券型基金。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摩根基金管理（中国）有限公司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摩根天添宝货币A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摩根天添宝货币B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000712</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000713</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27,841,695.11</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193,986,240.90</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2023年7月1日-2023年9月30日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摩根天添宝货币A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摩根天添宝货币B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116,760.97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1,158,679.79</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116,760.97</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1,158,679.79</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27,841,695.11</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193,986,240.90</w:t>
            </w:r>
          </w:p>
        </w:tc>
      </w:tr>
    </w:tbl>
    <w:p w:rsidR="005F4FD4" w:rsidRDefault="006B32B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摩根天添宝货币A: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过去三个月</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0.3820%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0.3403%</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0.0417%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过去六个月</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0.7950%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0.6768%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0.1182%</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过去一年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1.6185%</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1.3500%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0.2685%</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过去三年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5.6877%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4.0500%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1.6377%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0.0017%</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过去五年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10.0072%</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0.0016%</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6.7537%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3.2535%</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0.0016%</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22.4338%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0.0033%</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11.9540%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10.4798%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0.0033%</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摩根天添宝货币B：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过去三个月</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0.4428%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0.3403%</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0.1025%</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过去六个月</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0.9164%</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0.6768%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0.2396%</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过去一年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1.8628%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1.3500%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0.5128%</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0.0020%</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过去三年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6.4514%</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4.0500%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2.4014%</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0.0017%</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t>过去五年</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11.3364%</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0.0016%</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6.7537%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4.5827%</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0.0016%</w:t>
            </w:r>
          </w:p>
        </w:tc>
      </w:tr>
      <w:tr w:rsidR="005F4FD4">
        <w:tc>
          <w:tcPr>
            <w:tcW w:w="1328" w:type="dxa"/>
            <w:vAlign w:val="center"/>
          </w:tcPr>
          <w:p w:rsidR="005F4FD4" w:rsidRDefault="006B32B5">
            <w:pPr>
              <w:jc w:val="left"/>
            </w:pPr>
            <w:r>
              <w:rPr>
                <w:rFonts w:asciiTheme="minorEastAsia" w:eastAsiaTheme="minorEastAsia" w:hAnsiTheme="minorEastAsia"/>
                <w:color w:val="000000" w:themeColor="text1"/>
                <w:szCs w:val="21"/>
              </w:rPr>
              <w:lastRenderedPageBreak/>
              <w:t>自基金合同生效起至今</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25.0652%</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0.0033%</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11.9540%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0.0000%</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13.1112%</w:t>
            </w:r>
          </w:p>
        </w:tc>
        <w:tc>
          <w:tcPr>
            <w:tcW w:w="1329" w:type="dxa"/>
            <w:vAlign w:val="center"/>
          </w:tcPr>
          <w:p w:rsidR="005F4FD4" w:rsidRDefault="006B32B5">
            <w:pPr>
              <w:jc w:val="center"/>
            </w:pPr>
            <w:r>
              <w:rPr>
                <w:rFonts w:asciiTheme="minorEastAsia" w:eastAsiaTheme="minorEastAsia" w:hAnsiTheme="minorEastAsia"/>
                <w:color w:val="000000" w:themeColor="text1"/>
                <w:szCs w:val="21"/>
              </w:rPr>
              <w:t>0.0033%</w:t>
            </w:r>
          </w:p>
        </w:tc>
      </w:tr>
    </w:tbl>
    <w:p w:rsidR="0064191E" w:rsidRPr="00221340" w:rsidRDefault="0064191E"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注：本基金收益分配按日结转份额。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摩根天添宝货币市场基金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2014年11月25日</w:t>
      </w:r>
      <w:r w:rsidRPr="00221340">
        <w:rPr>
          <w:rFonts w:asciiTheme="minorEastAsia" w:eastAsiaTheme="minorEastAsia" w:hAnsiTheme="minorEastAsia" w:hint="eastAsia"/>
          <w:color w:val="000000" w:themeColor="text1"/>
          <w:kern w:val="0"/>
          <w:szCs w:val="21"/>
        </w:rPr>
        <w:t>至2023年9月30日)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摩根天添宝货币A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摩根天添宝货币B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5F4FD4" w:rsidRDefault="006B32B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注：本基金合同生效日为2014年11月25日，图示的时间段为合同生效日至本报告期末。</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本基金建仓期为本基金合同生效日起 6 个月，建仓期结束时资产配置比例符合本基金基金合同规定。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5F4FD4">
        <w:tc>
          <w:tcPr>
            <w:tcW w:w="952" w:type="dxa"/>
            <w:vAlign w:val="center"/>
          </w:tcPr>
          <w:p w:rsidR="005F4FD4" w:rsidRDefault="006B32B5">
            <w:pPr>
              <w:jc w:val="center"/>
            </w:pPr>
            <w:r>
              <w:rPr>
                <w:rFonts w:asciiTheme="minorEastAsia" w:eastAsiaTheme="minorEastAsia" w:hAnsiTheme="minorEastAsia"/>
                <w:color w:val="000000" w:themeColor="text1"/>
                <w:szCs w:val="21"/>
              </w:rPr>
              <w:t>鞠婷</w:t>
            </w:r>
          </w:p>
        </w:tc>
        <w:tc>
          <w:tcPr>
            <w:tcW w:w="1600" w:type="dxa"/>
            <w:vAlign w:val="center"/>
          </w:tcPr>
          <w:p w:rsidR="005F4FD4" w:rsidRDefault="006B32B5">
            <w:pPr>
              <w:jc w:val="center"/>
            </w:pPr>
            <w:r>
              <w:rPr>
                <w:rFonts w:asciiTheme="minorEastAsia" w:eastAsiaTheme="minorEastAsia" w:hAnsiTheme="minorEastAsia"/>
                <w:color w:val="000000" w:themeColor="text1"/>
                <w:szCs w:val="21"/>
              </w:rPr>
              <w:t>本基金基金经理</w:t>
            </w:r>
          </w:p>
        </w:tc>
        <w:tc>
          <w:tcPr>
            <w:tcW w:w="1488" w:type="dxa"/>
            <w:vAlign w:val="center"/>
          </w:tcPr>
          <w:p w:rsidR="005F4FD4" w:rsidRDefault="006B32B5">
            <w:pPr>
              <w:jc w:val="center"/>
            </w:pPr>
            <w:r>
              <w:rPr>
                <w:rFonts w:asciiTheme="minorEastAsia" w:eastAsiaTheme="minorEastAsia" w:hAnsiTheme="minorEastAsia"/>
                <w:color w:val="000000" w:themeColor="text1"/>
                <w:szCs w:val="21"/>
              </w:rPr>
              <w:t>2016-05-27</w:t>
            </w:r>
          </w:p>
        </w:tc>
        <w:tc>
          <w:tcPr>
            <w:tcW w:w="1489" w:type="dxa"/>
            <w:vAlign w:val="center"/>
          </w:tcPr>
          <w:p w:rsidR="005F4FD4" w:rsidRDefault="006B32B5">
            <w:pPr>
              <w:jc w:val="center"/>
            </w:pPr>
            <w:r>
              <w:rPr>
                <w:rFonts w:asciiTheme="minorEastAsia" w:eastAsiaTheme="minorEastAsia" w:hAnsiTheme="minorEastAsia"/>
                <w:color w:val="000000" w:themeColor="text1"/>
                <w:szCs w:val="21"/>
              </w:rPr>
              <w:t>-</w:t>
            </w:r>
          </w:p>
        </w:tc>
        <w:tc>
          <w:tcPr>
            <w:tcW w:w="992" w:type="dxa"/>
            <w:vAlign w:val="center"/>
          </w:tcPr>
          <w:p w:rsidR="005F4FD4" w:rsidRDefault="006B32B5">
            <w:pPr>
              <w:jc w:val="center"/>
            </w:pPr>
            <w:r>
              <w:rPr>
                <w:rFonts w:asciiTheme="minorEastAsia" w:eastAsiaTheme="minorEastAsia" w:hAnsiTheme="minorEastAsia"/>
                <w:color w:val="000000" w:themeColor="text1"/>
                <w:szCs w:val="21"/>
              </w:rPr>
              <w:t>18年</w:t>
            </w:r>
          </w:p>
        </w:tc>
        <w:tc>
          <w:tcPr>
            <w:tcW w:w="2410" w:type="dxa"/>
            <w:vAlign w:val="center"/>
          </w:tcPr>
          <w:p w:rsidR="005F4FD4" w:rsidRDefault="006B32B5">
            <w:r>
              <w:rPr>
                <w:rFonts w:asciiTheme="minorEastAsia" w:eastAsiaTheme="minorEastAsia" w:hAnsiTheme="minorEastAsia"/>
                <w:color w:val="000000" w:themeColor="text1"/>
                <w:szCs w:val="21"/>
              </w:rPr>
              <w:t>鞠婷女士曾任中国建设银行第一支行助理经济师，瑞穗银行总行总经理助理。2014年10月起加入摩根基金管理（中国）有限公司（原上投摩根基金管理有限公司），历任基金经理助理、基金经理，高级基金经理，现任货币市场投资部副总监兼资深基金经理。</w:t>
            </w:r>
          </w:p>
        </w:tc>
      </w:tr>
      <w:tr w:rsidR="005F4FD4">
        <w:tc>
          <w:tcPr>
            <w:tcW w:w="952" w:type="dxa"/>
            <w:vAlign w:val="center"/>
          </w:tcPr>
          <w:p w:rsidR="005F4FD4" w:rsidRDefault="006B32B5">
            <w:pPr>
              <w:jc w:val="center"/>
            </w:pPr>
            <w:r>
              <w:rPr>
                <w:rFonts w:asciiTheme="minorEastAsia" w:eastAsiaTheme="minorEastAsia" w:hAnsiTheme="minorEastAsia"/>
                <w:color w:val="000000" w:themeColor="text1"/>
                <w:szCs w:val="21"/>
              </w:rPr>
              <w:t>孟晨波</w:t>
            </w:r>
          </w:p>
        </w:tc>
        <w:tc>
          <w:tcPr>
            <w:tcW w:w="1600" w:type="dxa"/>
            <w:vAlign w:val="center"/>
          </w:tcPr>
          <w:p w:rsidR="005F4FD4" w:rsidRDefault="006B32B5">
            <w:pPr>
              <w:jc w:val="center"/>
            </w:pPr>
            <w:r>
              <w:rPr>
                <w:rFonts w:asciiTheme="minorEastAsia" w:eastAsiaTheme="minorEastAsia" w:hAnsiTheme="minorEastAsia"/>
                <w:color w:val="000000" w:themeColor="text1"/>
                <w:szCs w:val="21"/>
              </w:rPr>
              <w:t>本基金基金经理、货币市场投资部总监、总经</w:t>
            </w:r>
            <w:r>
              <w:rPr>
                <w:rFonts w:asciiTheme="minorEastAsia" w:eastAsiaTheme="minorEastAsia" w:hAnsiTheme="minorEastAsia"/>
                <w:color w:val="000000" w:themeColor="text1"/>
                <w:szCs w:val="21"/>
              </w:rPr>
              <w:lastRenderedPageBreak/>
              <w:t>理助理</w:t>
            </w:r>
          </w:p>
        </w:tc>
        <w:tc>
          <w:tcPr>
            <w:tcW w:w="1488" w:type="dxa"/>
            <w:vAlign w:val="center"/>
          </w:tcPr>
          <w:p w:rsidR="005F4FD4" w:rsidRDefault="006B32B5">
            <w:pPr>
              <w:jc w:val="center"/>
            </w:pPr>
            <w:r>
              <w:rPr>
                <w:rFonts w:asciiTheme="minorEastAsia" w:eastAsiaTheme="minorEastAsia" w:hAnsiTheme="minorEastAsia"/>
                <w:color w:val="000000" w:themeColor="text1"/>
                <w:szCs w:val="21"/>
              </w:rPr>
              <w:lastRenderedPageBreak/>
              <w:t>2014-11-25</w:t>
            </w:r>
          </w:p>
        </w:tc>
        <w:tc>
          <w:tcPr>
            <w:tcW w:w="1489" w:type="dxa"/>
            <w:vAlign w:val="center"/>
          </w:tcPr>
          <w:p w:rsidR="005F4FD4" w:rsidRDefault="006B32B5">
            <w:pPr>
              <w:jc w:val="center"/>
            </w:pPr>
            <w:r>
              <w:rPr>
                <w:rFonts w:asciiTheme="minorEastAsia" w:eastAsiaTheme="minorEastAsia" w:hAnsiTheme="minorEastAsia"/>
                <w:color w:val="000000" w:themeColor="text1"/>
                <w:szCs w:val="21"/>
              </w:rPr>
              <w:t>-</w:t>
            </w:r>
          </w:p>
        </w:tc>
        <w:tc>
          <w:tcPr>
            <w:tcW w:w="992" w:type="dxa"/>
            <w:vAlign w:val="center"/>
          </w:tcPr>
          <w:p w:rsidR="005F4FD4" w:rsidRDefault="006B32B5">
            <w:pPr>
              <w:jc w:val="center"/>
            </w:pPr>
            <w:r>
              <w:rPr>
                <w:rFonts w:asciiTheme="minorEastAsia" w:eastAsiaTheme="minorEastAsia" w:hAnsiTheme="minorEastAsia"/>
                <w:color w:val="000000" w:themeColor="text1"/>
                <w:szCs w:val="21"/>
              </w:rPr>
              <w:t>18年（金融领域从业经</w:t>
            </w:r>
            <w:r>
              <w:rPr>
                <w:rFonts w:asciiTheme="minorEastAsia" w:eastAsiaTheme="minorEastAsia" w:hAnsiTheme="minorEastAsia"/>
                <w:color w:val="000000" w:themeColor="text1"/>
                <w:szCs w:val="21"/>
              </w:rPr>
              <w:lastRenderedPageBreak/>
              <w:t>验28年）</w:t>
            </w:r>
          </w:p>
        </w:tc>
        <w:tc>
          <w:tcPr>
            <w:tcW w:w="2410" w:type="dxa"/>
            <w:vAlign w:val="center"/>
          </w:tcPr>
          <w:p w:rsidR="005F4FD4" w:rsidRDefault="006B32B5">
            <w:r>
              <w:rPr>
                <w:rFonts w:asciiTheme="minorEastAsia" w:eastAsiaTheme="minorEastAsia" w:hAnsiTheme="minorEastAsia"/>
                <w:color w:val="000000" w:themeColor="text1"/>
                <w:szCs w:val="21"/>
              </w:rPr>
              <w:lastRenderedPageBreak/>
              <w:t>孟晨波女士曾任荷兰银行资金部高级交易员，星展银行上海分行资金</w:t>
            </w:r>
            <w:r>
              <w:rPr>
                <w:rFonts w:asciiTheme="minorEastAsia" w:eastAsiaTheme="minorEastAsia" w:hAnsiTheme="minorEastAsia"/>
                <w:color w:val="000000" w:themeColor="text1"/>
                <w:szCs w:val="21"/>
              </w:rPr>
              <w:lastRenderedPageBreak/>
              <w:t>部经理，比利时富通银行资金部联席董事，花旗银行金融市场部副总监。2009年5月加入摩根基金管理（中国）有限公司（原上投摩根基金管理有限公司）担任固定收益部总监，现任总经理助理/货币市场投资部总监兼资深基金经理。</w:t>
            </w:r>
          </w:p>
        </w:tc>
      </w:tr>
    </w:tbl>
    <w:p w:rsidR="005F4FD4" w:rsidRDefault="006B32B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注：1.任职日期和离任日期均指根据公司决定确定的聘任日期和解聘日期。</w:t>
      </w:r>
    </w:p>
    <w:p w:rsidR="005F4FD4" w:rsidRDefault="006B32B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2.孟晨波女士为本基金首任基金经理，其任职日期指本基金基金合同生效之日。 </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3.证券从业的含义遵从行业协会《证券业从业人员资格管理办法》的相关规定。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2023年三季度，随着一系列推动宏观经济向好回升政策的效果不断显现，经济延续恢复态势。1-8月全国规模以上工业企业利润同比下降11.7%，降幅较1—7月份收窄3.8个百分点，回升明显加快；1-8月全国固定资产投资同比增加3.2%，重点领域投资持续较快增长；8月社会消费品零售总额增长4.6%，服务消费保持较快增长；9月制造业采购经理人指数（PMI）为50.2%，重返扩张区间，制造业生产扩张步伐有所加快；8月消费者价格指数（CPI）当月同比上涨0.1%，生产者价格指数（PPI）当月同比下降3.0%。 </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三季度，央行坚持稳健的货币政策精准有力，加大逆周期调节力度，积极应对人民币汇率变动，巩固经济回升向好态势。总量上，继3月降准后，9月央行再次降准0.25个百分点，释放中长期流动性约5000亿元，同时维持中期借贷便利超额续作，保持银行体系流动性合理充裕；价格上，8月公开市场操作利率、中期借贷便利利率分别下降10个、15个基点，降低二套房利率下限和存量首套房利率，指导金融机构合理调降中长期定期存款利率，促进储蓄向消费、投资转化。在近期人民币汇率压力较大的背景下，央行于9月15日下调金融机构外汇存款准备金率2个百分点，对单边、顺周期行为予以纠偏，稳定了汇率的预期。随着政策组合拳效应逐步显现，三季度债市短端收益率先下后上，季末1年期同业存单收益率上行至2.5%附近，1年期国开债收益率上行至2.3%附近。 </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本基金在三季度继续以流动性和安全性为优先目标，在市场收益率震荡过程中及时调整久期，保持流动性较好资产配置比例，同时密切关注客户现金流动向，在季末关键时点做好流动性前瞻性管理，预备充足流动性满足客户的赎回要求，力求平衡基金收益率和安全性，把握组合整体风险。 </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未来，政策仍将围绕经济恢复继续发力，为推动经济实现质的有效提升和量的合理增长服务。消费有望保持温和修复，重点领域投资持续较快增长，投资结构不断优化，稳定房地产市场政策逐步显效。货币政策预计仍将以稳健为主，加强逆周期调节，保持流动性合理充裕，保持社会融资规模增速同名义经济增速基本匹配。本基金在未来仍会谨记货币基金现金管理工具的原则，时刻关注国内外市场各种动向，坚决防范各类信用风险，灵活调整资产配置，遵守各项监管要求，同时始终把基金安全性、流动性以及投资人利益放在首位，力争为投资人提供安全稳健的长期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本报告期摩根天添宝A份额净值增长率为:0.3820%，同期业绩比较基准收益率为:0.3403%</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摩根天添宝B份额净值增长率为:0.4428%，同期业绩比较基准收益率为:0.3403%。</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200,815,875.28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90.00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200,815,875.28</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90.00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19,851,672.80</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8.90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2,424,672.96</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1.09</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46,184.42</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0.02</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223,138,405.46</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5F4FD4" w:rsidRDefault="006B32B5">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注：1. 银行存款和结算备付金合计其中银行存款</w:t>
      </w:r>
      <w:r w:rsidRPr="006B32B5">
        <w:rPr>
          <w:rFonts w:asciiTheme="minorEastAsia" w:eastAsiaTheme="minorEastAsia" w:hAnsiTheme="minorEastAsia"/>
          <w:color w:val="000000" w:themeColor="text1"/>
          <w:szCs w:val="21"/>
        </w:rPr>
        <w:t>2,027,864.13</w:t>
      </w:r>
      <w:r>
        <w:rPr>
          <w:rFonts w:asciiTheme="minorEastAsia" w:eastAsiaTheme="minorEastAsia" w:hAnsiTheme="minorEastAsia" w:hint="eastAsia"/>
          <w:color w:val="000000" w:themeColor="text1"/>
          <w:szCs w:val="21"/>
        </w:rPr>
        <w:t>元。</w:t>
      </w:r>
    </w:p>
    <w:p w:rsidR="00B4354A" w:rsidRPr="00221340" w:rsidRDefault="00B4354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 买入返售金融资产其中买入返售金融资产（交易所）为</w:t>
      </w:r>
      <w:r w:rsidR="006B32B5" w:rsidRPr="006B32B5">
        <w:rPr>
          <w:rFonts w:asciiTheme="minorEastAsia" w:eastAsiaTheme="minorEastAsia" w:hAnsiTheme="minorEastAsia"/>
          <w:color w:val="000000" w:themeColor="text1"/>
          <w:szCs w:val="21"/>
        </w:rPr>
        <w:t>19,851,672.80</w:t>
      </w:r>
      <w:r w:rsidRPr="00221340">
        <w:rPr>
          <w:rFonts w:asciiTheme="minorEastAsia" w:eastAsiaTheme="minorEastAsia" w:hAnsiTheme="minorEastAsia" w:hint="eastAsia"/>
          <w:color w:val="000000" w:themeColor="text1"/>
          <w:szCs w:val="21"/>
        </w:rPr>
        <w:t>元。</w:t>
      </w:r>
    </w:p>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p w:rsidR="00AC7564" w:rsidRPr="00FB0B97" w:rsidRDefault="00AC7564" w:rsidP="00AC7564">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w:t>
      </w:r>
      <w:r w:rsidRPr="00FB0B97">
        <w:rPr>
          <w:rFonts w:asciiTheme="minorEastAsia" w:eastAsiaTheme="minorEastAsia" w:hAnsiTheme="minorEastAsia" w:hint="eastAsia"/>
          <w:color w:val="000000" w:themeColor="text1"/>
          <w:szCs w:val="21"/>
        </w:rPr>
        <w:t>报告期无债券回购融资。</w:t>
      </w:r>
    </w:p>
    <w:p w:rsidR="00DB2873" w:rsidRPr="00AC7564"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48</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52</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27</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32.60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0.45</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31.50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26.99</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4.52</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w:t>
            </w:r>
            <w:r w:rsidRPr="003025FA">
              <w:rPr>
                <w:rFonts w:asciiTheme="minorEastAsia" w:eastAsiaTheme="minorEastAsia" w:hAnsiTheme="minorEastAsia"/>
                <w:color w:val="000000" w:themeColor="text1"/>
                <w:sz w:val="24"/>
              </w:rPr>
              <w:lastRenderedPageBreak/>
              <w:t>（含）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lastRenderedPageBreak/>
              <w:t>4.53</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100.14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0.45</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F761E3" w:rsidP="00182D82">
            <w:pPr>
              <w:spacing w:before="29" w:line="360" w:lineRule="auto"/>
              <w:ind w:left="17"/>
              <w:jc w:val="center"/>
              <w:rPr>
                <w:rFonts w:asciiTheme="minorEastAsia" w:eastAsiaTheme="minorEastAsia" w:hAnsiTheme="minorEastAsia" w:cs="宋体"/>
                <w:color w:val="000000" w:themeColor="text1"/>
                <w:sz w:val="24"/>
              </w:rPr>
            </w:pPr>
            <w:r>
              <w:rPr>
                <w:rFonts w:ascii="宋体" w:hAnsi="宋体" w:hint="eastAsia"/>
                <w:color w:val="000000" w:themeColor="text1"/>
                <w:sz w:val="24"/>
              </w:rPr>
              <w:t>摊余成本</w:t>
            </w:r>
            <w:r w:rsidR="00AB0A2B" w:rsidRPr="003025FA">
              <w:rPr>
                <w:rFonts w:asciiTheme="minorEastAsia" w:eastAsiaTheme="minorEastAsia" w:hAnsiTheme="minorEastAsia" w:cs="宋体" w:hint="eastAsia"/>
                <w:color w:val="000000" w:themeColor="text1"/>
                <w:sz w:val="24"/>
              </w:rPr>
              <w:t>(元)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30,695,540.44</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13.84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30,695,540.44</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13.84</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60,387,437.73</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27.22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109,732,897.11</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49.47</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200,815,875.28</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90.53</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278"/>
        <w:gridCol w:w="1485"/>
        <w:gridCol w:w="1835"/>
        <w:gridCol w:w="1515"/>
        <w:gridCol w:w="1776"/>
        <w:gridCol w:w="1398"/>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1</w:t>
            </w:r>
          </w:p>
        </w:tc>
        <w:tc>
          <w:tcPr>
            <w:tcW w:w="0" w:type="auto"/>
            <w:vAlign w:val="center"/>
          </w:tcPr>
          <w:p w:rsidR="005F4FD4" w:rsidRDefault="006B32B5">
            <w:pPr>
              <w:jc w:val="center"/>
            </w:pPr>
            <w:r>
              <w:rPr>
                <w:rFonts w:asciiTheme="minorEastAsia" w:eastAsiaTheme="minorEastAsia" w:hAnsiTheme="minorEastAsia"/>
                <w:color w:val="000000" w:themeColor="text1"/>
                <w:sz w:val="24"/>
              </w:rPr>
              <w:t>112317185</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23光大银行</w:t>
            </w:r>
            <w:r>
              <w:rPr>
                <w:rFonts w:asciiTheme="minorEastAsia" w:eastAsiaTheme="minorEastAsia" w:hAnsiTheme="minorEastAsia"/>
                <w:color w:val="000000" w:themeColor="text1"/>
                <w:sz w:val="24"/>
              </w:rPr>
              <w:lastRenderedPageBreak/>
              <w:t>CD185</w:t>
            </w:r>
          </w:p>
        </w:tc>
        <w:tc>
          <w:tcPr>
            <w:tcW w:w="0" w:type="auto"/>
            <w:vAlign w:val="center"/>
          </w:tcPr>
          <w:p w:rsidR="005F4FD4" w:rsidRDefault="006B32B5">
            <w:pPr>
              <w:jc w:val="right"/>
            </w:pPr>
            <w:r>
              <w:rPr>
                <w:rFonts w:asciiTheme="minorEastAsia" w:eastAsiaTheme="minorEastAsia" w:hAnsiTheme="minorEastAsia"/>
                <w:color w:val="000000" w:themeColor="text1"/>
                <w:sz w:val="24"/>
              </w:rPr>
              <w:lastRenderedPageBreak/>
              <w:t>200,000.00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19,956,878.70</w:t>
            </w:r>
          </w:p>
        </w:tc>
        <w:tc>
          <w:tcPr>
            <w:tcW w:w="0" w:type="auto"/>
            <w:vAlign w:val="center"/>
          </w:tcPr>
          <w:p w:rsidR="005F4FD4" w:rsidRDefault="006B32B5">
            <w:pPr>
              <w:jc w:val="right"/>
            </w:pPr>
            <w:r>
              <w:rPr>
                <w:rFonts w:asciiTheme="minorEastAsia" w:eastAsiaTheme="minorEastAsia" w:hAnsiTheme="minorEastAsia"/>
                <w:color w:val="000000" w:themeColor="text1"/>
                <w:sz w:val="24"/>
              </w:rPr>
              <w:t>9.00</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2</w:t>
            </w:r>
          </w:p>
        </w:tc>
        <w:tc>
          <w:tcPr>
            <w:tcW w:w="0" w:type="auto"/>
            <w:vAlign w:val="center"/>
          </w:tcPr>
          <w:p w:rsidR="005F4FD4" w:rsidRDefault="006B32B5">
            <w:pPr>
              <w:jc w:val="center"/>
            </w:pPr>
            <w:r>
              <w:rPr>
                <w:rFonts w:asciiTheme="minorEastAsia" w:eastAsiaTheme="minorEastAsia" w:hAnsiTheme="minorEastAsia"/>
                <w:color w:val="000000" w:themeColor="text1"/>
                <w:sz w:val="24"/>
              </w:rPr>
              <w:t>190203</w:t>
            </w:r>
          </w:p>
        </w:tc>
        <w:tc>
          <w:tcPr>
            <w:tcW w:w="0" w:type="auto"/>
            <w:vAlign w:val="center"/>
          </w:tcPr>
          <w:p w:rsidR="005F4FD4" w:rsidRDefault="006B32B5">
            <w:pPr>
              <w:jc w:val="center"/>
            </w:pPr>
            <w:r>
              <w:rPr>
                <w:rFonts w:asciiTheme="minorEastAsia" w:eastAsiaTheme="minorEastAsia" w:hAnsiTheme="minorEastAsia"/>
                <w:color w:val="000000" w:themeColor="text1"/>
                <w:sz w:val="24"/>
              </w:rPr>
              <w:t>19国开03</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10,265,258.65</w:t>
            </w:r>
          </w:p>
        </w:tc>
        <w:tc>
          <w:tcPr>
            <w:tcW w:w="0" w:type="auto"/>
            <w:vAlign w:val="center"/>
          </w:tcPr>
          <w:p w:rsidR="005F4FD4" w:rsidRDefault="006B32B5">
            <w:pPr>
              <w:jc w:val="right"/>
            </w:pPr>
            <w:r>
              <w:rPr>
                <w:rFonts w:asciiTheme="minorEastAsia" w:eastAsiaTheme="minorEastAsia" w:hAnsiTheme="minorEastAsia"/>
                <w:color w:val="000000" w:themeColor="text1"/>
                <w:sz w:val="24"/>
              </w:rPr>
              <w:t>4.63</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3</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210202</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21国开02</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10,248,808.90</w:t>
            </w:r>
          </w:p>
        </w:tc>
        <w:tc>
          <w:tcPr>
            <w:tcW w:w="0" w:type="auto"/>
            <w:vAlign w:val="center"/>
          </w:tcPr>
          <w:p w:rsidR="005F4FD4" w:rsidRDefault="006B32B5">
            <w:pPr>
              <w:jc w:val="right"/>
            </w:pPr>
            <w:r>
              <w:rPr>
                <w:rFonts w:asciiTheme="minorEastAsia" w:eastAsiaTheme="minorEastAsia" w:hAnsiTheme="minorEastAsia"/>
                <w:color w:val="000000" w:themeColor="text1"/>
                <w:sz w:val="24"/>
              </w:rPr>
              <w:t>4.62</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4</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220411</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22农发11</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10,181,472.89</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4.59</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5</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072310015</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23国泰君安CP001</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10,149,478.63</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4.58</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6</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012381081</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23中广核SCP001</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10,107,184.54</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4.56</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7</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012382009</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23厦翔业SCP004</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10,055,629.92</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4.53</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8</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012382533</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23宁沪高SCP017</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10,038,825.29</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4.53</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9</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012382941</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23沪电力SCP014</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10,024,266.32</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4.52</w:t>
            </w:r>
          </w:p>
        </w:tc>
      </w:tr>
      <w:tr w:rsidR="005F4FD4">
        <w:tc>
          <w:tcPr>
            <w:tcW w:w="0" w:type="auto"/>
            <w:vAlign w:val="center"/>
          </w:tcPr>
          <w:p w:rsidR="005F4FD4" w:rsidRDefault="006B32B5">
            <w:pPr>
              <w:jc w:val="center"/>
            </w:pPr>
            <w:r>
              <w:rPr>
                <w:rFonts w:asciiTheme="minorEastAsia" w:eastAsiaTheme="minorEastAsia" w:hAnsiTheme="minorEastAsia"/>
                <w:color w:val="000000" w:themeColor="text1"/>
                <w:sz w:val="24"/>
              </w:rPr>
              <w:t>10</w:t>
            </w:r>
          </w:p>
        </w:tc>
        <w:tc>
          <w:tcPr>
            <w:tcW w:w="0" w:type="auto"/>
            <w:vAlign w:val="center"/>
          </w:tcPr>
          <w:p w:rsidR="005F4FD4" w:rsidRDefault="006B32B5">
            <w:pPr>
              <w:jc w:val="center"/>
            </w:pPr>
            <w:r>
              <w:rPr>
                <w:rFonts w:asciiTheme="minorEastAsia" w:eastAsiaTheme="minorEastAsia" w:hAnsiTheme="minorEastAsia"/>
                <w:color w:val="000000" w:themeColor="text1"/>
                <w:sz w:val="24"/>
              </w:rPr>
              <w:t>012383154</w:t>
            </w:r>
          </w:p>
        </w:tc>
        <w:tc>
          <w:tcPr>
            <w:tcW w:w="0" w:type="auto"/>
            <w:vAlign w:val="center"/>
          </w:tcPr>
          <w:p w:rsidR="005F4FD4" w:rsidRDefault="006B32B5">
            <w:pPr>
              <w:jc w:val="center"/>
            </w:pPr>
            <w:r>
              <w:rPr>
                <w:rFonts w:asciiTheme="minorEastAsia" w:eastAsiaTheme="minorEastAsia" w:hAnsiTheme="minorEastAsia"/>
                <w:color w:val="000000" w:themeColor="text1"/>
                <w:sz w:val="24"/>
              </w:rPr>
              <w:t>23中交建SCP008</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100,000.00</w:t>
            </w:r>
          </w:p>
        </w:tc>
        <w:tc>
          <w:tcPr>
            <w:tcW w:w="0" w:type="auto"/>
            <w:vAlign w:val="center"/>
          </w:tcPr>
          <w:p w:rsidR="005F4FD4" w:rsidRDefault="006B32B5">
            <w:pPr>
              <w:jc w:val="right"/>
            </w:pPr>
            <w:r>
              <w:rPr>
                <w:rFonts w:asciiTheme="minorEastAsia" w:eastAsiaTheme="minorEastAsia" w:hAnsiTheme="minorEastAsia"/>
                <w:color w:val="000000" w:themeColor="text1"/>
                <w:sz w:val="24"/>
              </w:rPr>
              <w:t>10,012,053.03</w:t>
            </w:r>
          </w:p>
        </w:tc>
        <w:tc>
          <w:tcPr>
            <w:tcW w:w="0" w:type="auto"/>
            <w:vAlign w:val="center"/>
          </w:tcPr>
          <w:p w:rsidR="005F4FD4" w:rsidRDefault="006B32B5">
            <w:pPr>
              <w:jc w:val="right"/>
            </w:pPr>
            <w:r>
              <w:rPr>
                <w:rFonts w:asciiTheme="minorEastAsia" w:eastAsiaTheme="minorEastAsia" w:hAnsiTheme="minorEastAsia"/>
                <w:color w:val="000000" w:themeColor="text1"/>
                <w:sz w:val="24"/>
              </w:rPr>
              <w:t>4.51</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0.0529%</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-0.0334%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0.0273%</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w:t>
      </w:r>
      <w:r w:rsidRPr="003025FA">
        <w:rPr>
          <w:rFonts w:asciiTheme="minorEastAsia" w:eastAsiaTheme="minorEastAsia" w:hAnsiTheme="minorEastAsia"/>
          <w:color w:val="000000" w:themeColor="text1"/>
          <w:sz w:val="24"/>
        </w:rPr>
        <w:lastRenderedPageBreak/>
        <w:t>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5.9.2报告期内本基金投资的前十名证券的发行主体本期没有出现被监管部门立案调查，或在报告编制日前一年内受到公开谴责、处罚的情形。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46,069.42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115.00</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46,184.42</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因四舍五入原因，投资组合报告中分项之和与合计可能存在尾差。</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摩根天添宝货币A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摩根天添宝货币B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30,482,734.23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228,945,496.52</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61,643,406.07</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246,417,228.11</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64,284,445.19</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281,376,483.73</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27,841,695.11</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193,986,240.90</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lastRenderedPageBreak/>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AF3D19"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影响投资者决策的其他重要信息</w:t>
      </w:r>
    </w:p>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b/>
          <w:bCs/>
          <w:color w:val="000000"/>
          <w:kern w:val="0"/>
          <w:sz w:val="24"/>
        </w:rPr>
        <w:t>8.</w:t>
      </w:r>
      <w:r w:rsidRPr="002855E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855EF" w:rsidRPr="00090DA4" w:rsidTr="0038354C">
        <w:tc>
          <w:tcPr>
            <w:tcW w:w="993" w:type="dxa"/>
            <w:vMerge w:val="restart"/>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投资者类别</w:t>
            </w:r>
            <w:r w:rsidRPr="00090DA4">
              <w:rPr>
                <w:rFonts w:ascii="宋体" w:hAnsi="宋体"/>
                <w:color w:val="000000"/>
                <w:kern w:val="0"/>
                <w:szCs w:val="21"/>
              </w:rPr>
              <w:t xml:space="preserve">  </w:t>
            </w:r>
          </w:p>
        </w:tc>
        <w:tc>
          <w:tcPr>
            <w:tcW w:w="5670" w:type="dxa"/>
            <w:gridSpan w:val="5"/>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报告期内持有基金份额变化情况</w:t>
            </w:r>
          </w:p>
        </w:tc>
        <w:tc>
          <w:tcPr>
            <w:tcW w:w="2549" w:type="dxa"/>
            <w:gridSpan w:val="2"/>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报告期末持有基金情况</w:t>
            </w:r>
          </w:p>
        </w:tc>
      </w:tr>
      <w:tr w:rsidR="002855EF" w:rsidRPr="00090DA4" w:rsidTr="0038354C">
        <w:tc>
          <w:tcPr>
            <w:tcW w:w="993" w:type="dxa"/>
            <w:vMerge/>
            <w:vAlign w:val="center"/>
          </w:tcPr>
          <w:p w:rsidR="002855EF" w:rsidRPr="00090DA4" w:rsidRDefault="002855EF" w:rsidP="0038354C">
            <w:pPr>
              <w:autoSpaceDE w:val="0"/>
              <w:autoSpaceDN w:val="0"/>
              <w:adjustRightInd w:val="0"/>
              <w:jc w:val="center"/>
              <w:rPr>
                <w:rFonts w:ascii="宋体" w:hAnsi="宋体"/>
                <w:b/>
                <w:bCs/>
                <w:color w:val="000000"/>
                <w:kern w:val="0"/>
                <w:szCs w:val="21"/>
              </w:rPr>
            </w:pPr>
          </w:p>
        </w:tc>
        <w:tc>
          <w:tcPr>
            <w:tcW w:w="992"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序号</w:t>
            </w:r>
          </w:p>
        </w:tc>
        <w:tc>
          <w:tcPr>
            <w:tcW w:w="1843"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持有基金份额比例达到或者超过20%的时间区间</w:t>
            </w:r>
          </w:p>
        </w:tc>
        <w:tc>
          <w:tcPr>
            <w:tcW w:w="851"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期初份额</w:t>
            </w:r>
          </w:p>
        </w:tc>
        <w:tc>
          <w:tcPr>
            <w:tcW w:w="850"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申购份额</w:t>
            </w:r>
          </w:p>
        </w:tc>
        <w:tc>
          <w:tcPr>
            <w:tcW w:w="1134" w:type="dxa"/>
            <w:vAlign w:val="center"/>
          </w:tcPr>
          <w:p w:rsidR="002855EF" w:rsidRPr="00090DA4" w:rsidRDefault="002855EF" w:rsidP="0038354C">
            <w:pPr>
              <w:widowControl/>
              <w:jc w:val="center"/>
              <w:rPr>
                <w:rFonts w:ascii="宋体" w:hAnsi="宋体"/>
                <w:b/>
                <w:bCs/>
                <w:color w:val="000000"/>
                <w:kern w:val="0"/>
                <w:szCs w:val="21"/>
              </w:rPr>
            </w:pPr>
            <w:r w:rsidRPr="00090DA4">
              <w:rPr>
                <w:rFonts w:ascii="宋体" w:hAnsi="宋体" w:hint="eastAsia"/>
                <w:color w:val="000000"/>
                <w:kern w:val="0"/>
                <w:szCs w:val="21"/>
              </w:rPr>
              <w:t>赎回份额</w:t>
            </w:r>
          </w:p>
        </w:tc>
        <w:tc>
          <w:tcPr>
            <w:tcW w:w="1419"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持有份额</w:t>
            </w:r>
          </w:p>
        </w:tc>
        <w:tc>
          <w:tcPr>
            <w:tcW w:w="1130" w:type="dxa"/>
            <w:vAlign w:val="center"/>
          </w:tcPr>
          <w:p w:rsidR="002855EF" w:rsidRPr="00090DA4" w:rsidRDefault="002855EF" w:rsidP="0038354C">
            <w:pPr>
              <w:autoSpaceDE w:val="0"/>
              <w:autoSpaceDN w:val="0"/>
              <w:adjustRightInd w:val="0"/>
              <w:jc w:val="center"/>
              <w:rPr>
                <w:rFonts w:ascii="宋体" w:hAnsi="宋体"/>
                <w:b/>
                <w:bCs/>
                <w:color w:val="000000"/>
                <w:kern w:val="0"/>
                <w:szCs w:val="21"/>
              </w:rPr>
            </w:pPr>
            <w:r w:rsidRPr="00090DA4">
              <w:rPr>
                <w:rFonts w:ascii="宋体" w:hAnsi="宋体" w:hint="eastAsia"/>
                <w:color w:val="000000"/>
                <w:kern w:val="0"/>
                <w:szCs w:val="21"/>
              </w:rPr>
              <w:t>份额占比</w:t>
            </w:r>
          </w:p>
        </w:tc>
      </w:tr>
      <w:tr w:rsidR="005F4FD4">
        <w:tc>
          <w:tcPr>
            <w:tcW w:w="993" w:type="dxa"/>
            <w:vMerge w:val="restart"/>
            <w:vAlign w:val="center"/>
          </w:tcPr>
          <w:p w:rsidR="005F4FD4" w:rsidRDefault="006B32B5">
            <w:r>
              <w:rPr>
                <w:rFonts w:ascii="宋体" w:hAnsi="宋体" w:hint="eastAsia"/>
                <w:bCs/>
                <w:color w:val="000000"/>
                <w:kern w:val="0"/>
                <w:szCs w:val="21"/>
              </w:rPr>
              <w:t>机构</w:t>
            </w:r>
          </w:p>
        </w:tc>
        <w:tc>
          <w:tcPr>
            <w:tcW w:w="992" w:type="dxa"/>
            <w:vAlign w:val="center"/>
          </w:tcPr>
          <w:p w:rsidR="005F4FD4" w:rsidRDefault="006B32B5">
            <w:pPr>
              <w:jc w:val="center"/>
            </w:pPr>
            <w:r>
              <w:rPr>
                <w:rFonts w:ascii="宋体" w:hAnsi="宋体"/>
                <w:color w:val="000000"/>
                <w:kern w:val="0"/>
                <w:szCs w:val="21"/>
              </w:rPr>
              <w:t>1</w:t>
            </w:r>
          </w:p>
        </w:tc>
        <w:tc>
          <w:tcPr>
            <w:tcW w:w="1843" w:type="dxa"/>
            <w:vAlign w:val="center"/>
          </w:tcPr>
          <w:p w:rsidR="005F4FD4" w:rsidRDefault="006B32B5">
            <w:pPr>
              <w:jc w:val="center"/>
            </w:pPr>
            <w:r>
              <w:rPr>
                <w:rFonts w:ascii="宋体" w:hAnsi="宋体"/>
                <w:color w:val="000000"/>
                <w:kern w:val="0"/>
                <w:szCs w:val="21"/>
              </w:rPr>
              <w:t>20230726-20230930</w:t>
            </w:r>
          </w:p>
        </w:tc>
        <w:tc>
          <w:tcPr>
            <w:tcW w:w="851" w:type="dxa"/>
            <w:vAlign w:val="center"/>
          </w:tcPr>
          <w:p w:rsidR="005F4FD4" w:rsidRDefault="006B32B5">
            <w:pPr>
              <w:jc w:val="center"/>
            </w:pPr>
            <w:r>
              <w:rPr>
                <w:rFonts w:ascii="宋体" w:hAnsi="宋体"/>
                <w:color w:val="000000"/>
                <w:kern w:val="0"/>
                <w:szCs w:val="21"/>
              </w:rPr>
              <w:t>74,190,438.18</w:t>
            </w:r>
          </w:p>
        </w:tc>
        <w:tc>
          <w:tcPr>
            <w:tcW w:w="850" w:type="dxa"/>
            <w:vAlign w:val="center"/>
          </w:tcPr>
          <w:p w:rsidR="005F4FD4" w:rsidRDefault="006B32B5">
            <w:pPr>
              <w:jc w:val="center"/>
            </w:pPr>
            <w:r>
              <w:rPr>
                <w:rFonts w:ascii="宋体" w:hAnsi="宋体"/>
                <w:color w:val="000000"/>
                <w:kern w:val="0"/>
                <w:szCs w:val="21"/>
              </w:rPr>
              <w:t>323,087.70</w:t>
            </w:r>
          </w:p>
        </w:tc>
        <w:tc>
          <w:tcPr>
            <w:tcW w:w="1134" w:type="dxa"/>
            <w:vAlign w:val="center"/>
          </w:tcPr>
          <w:p w:rsidR="005F4FD4" w:rsidRDefault="006B32B5">
            <w:pPr>
              <w:jc w:val="center"/>
            </w:pPr>
            <w:r>
              <w:rPr>
                <w:rFonts w:ascii="宋体" w:hAnsi="宋体"/>
                <w:color w:val="000000"/>
                <w:kern w:val="0"/>
                <w:szCs w:val="21"/>
              </w:rPr>
              <w:t>0.00</w:t>
            </w:r>
          </w:p>
        </w:tc>
        <w:tc>
          <w:tcPr>
            <w:tcW w:w="1419" w:type="dxa"/>
            <w:vAlign w:val="center"/>
          </w:tcPr>
          <w:p w:rsidR="005F4FD4" w:rsidRDefault="006B32B5">
            <w:pPr>
              <w:jc w:val="center"/>
            </w:pPr>
            <w:r>
              <w:rPr>
                <w:rFonts w:ascii="宋体" w:hAnsi="宋体"/>
                <w:color w:val="000000"/>
                <w:kern w:val="0"/>
                <w:szCs w:val="21"/>
              </w:rPr>
              <w:t>74,513,525.88</w:t>
            </w:r>
          </w:p>
        </w:tc>
        <w:tc>
          <w:tcPr>
            <w:tcW w:w="1130" w:type="dxa"/>
            <w:vAlign w:val="center"/>
          </w:tcPr>
          <w:p w:rsidR="005F4FD4" w:rsidRDefault="006B32B5">
            <w:pPr>
              <w:jc w:val="center"/>
            </w:pPr>
            <w:r>
              <w:rPr>
                <w:rFonts w:ascii="宋体" w:hAnsi="宋体"/>
                <w:color w:val="000000"/>
                <w:kern w:val="0"/>
                <w:szCs w:val="21"/>
              </w:rPr>
              <w:t>33.59%</w:t>
            </w:r>
          </w:p>
        </w:tc>
      </w:tr>
      <w:tr w:rsidR="005F4FD4">
        <w:tc>
          <w:tcPr>
            <w:tcW w:w="993" w:type="dxa"/>
            <w:vMerge/>
          </w:tcPr>
          <w:p w:rsidR="005F4FD4" w:rsidRDefault="005F4FD4"/>
        </w:tc>
        <w:tc>
          <w:tcPr>
            <w:tcW w:w="992" w:type="dxa"/>
            <w:vAlign w:val="center"/>
          </w:tcPr>
          <w:p w:rsidR="005F4FD4" w:rsidRDefault="006B32B5">
            <w:pPr>
              <w:jc w:val="center"/>
            </w:pPr>
            <w:r>
              <w:rPr>
                <w:rFonts w:ascii="宋体" w:hAnsi="宋体"/>
                <w:color w:val="000000"/>
                <w:kern w:val="0"/>
                <w:szCs w:val="21"/>
              </w:rPr>
              <w:t>2</w:t>
            </w:r>
          </w:p>
        </w:tc>
        <w:tc>
          <w:tcPr>
            <w:tcW w:w="1843" w:type="dxa"/>
            <w:vAlign w:val="center"/>
          </w:tcPr>
          <w:p w:rsidR="005F4FD4" w:rsidRDefault="006B32B5">
            <w:pPr>
              <w:jc w:val="center"/>
            </w:pPr>
            <w:r>
              <w:rPr>
                <w:rFonts w:ascii="宋体" w:hAnsi="宋体"/>
                <w:color w:val="000000"/>
                <w:kern w:val="0"/>
                <w:szCs w:val="21"/>
              </w:rPr>
              <w:t>20230701-20230724</w:t>
            </w:r>
          </w:p>
        </w:tc>
        <w:tc>
          <w:tcPr>
            <w:tcW w:w="851" w:type="dxa"/>
            <w:vAlign w:val="center"/>
          </w:tcPr>
          <w:p w:rsidR="005F4FD4" w:rsidRDefault="006B32B5">
            <w:pPr>
              <w:jc w:val="center"/>
            </w:pPr>
            <w:r>
              <w:rPr>
                <w:rFonts w:ascii="宋体" w:hAnsi="宋体"/>
                <w:color w:val="000000"/>
                <w:kern w:val="0"/>
                <w:szCs w:val="21"/>
              </w:rPr>
              <w:t>74,190,438.18</w:t>
            </w:r>
          </w:p>
        </w:tc>
        <w:tc>
          <w:tcPr>
            <w:tcW w:w="850" w:type="dxa"/>
            <w:vAlign w:val="center"/>
          </w:tcPr>
          <w:p w:rsidR="005F4FD4" w:rsidRDefault="006B32B5">
            <w:pPr>
              <w:jc w:val="center"/>
            </w:pPr>
            <w:r>
              <w:rPr>
                <w:rFonts w:ascii="宋体" w:hAnsi="宋体"/>
                <w:color w:val="000000"/>
                <w:kern w:val="0"/>
                <w:szCs w:val="21"/>
              </w:rPr>
              <w:t>323,087.70</w:t>
            </w:r>
          </w:p>
        </w:tc>
        <w:tc>
          <w:tcPr>
            <w:tcW w:w="1134" w:type="dxa"/>
            <w:vAlign w:val="center"/>
          </w:tcPr>
          <w:p w:rsidR="005F4FD4" w:rsidRDefault="006B32B5">
            <w:pPr>
              <w:jc w:val="center"/>
            </w:pPr>
            <w:r>
              <w:rPr>
                <w:rFonts w:ascii="宋体" w:hAnsi="宋体"/>
                <w:color w:val="000000"/>
                <w:kern w:val="0"/>
                <w:szCs w:val="21"/>
              </w:rPr>
              <w:t>0.00</w:t>
            </w:r>
          </w:p>
        </w:tc>
        <w:tc>
          <w:tcPr>
            <w:tcW w:w="1419" w:type="dxa"/>
            <w:vAlign w:val="center"/>
          </w:tcPr>
          <w:p w:rsidR="005F4FD4" w:rsidRDefault="006B32B5">
            <w:pPr>
              <w:jc w:val="center"/>
            </w:pPr>
            <w:r>
              <w:rPr>
                <w:rFonts w:ascii="宋体" w:hAnsi="宋体"/>
                <w:color w:val="000000"/>
                <w:kern w:val="0"/>
                <w:szCs w:val="21"/>
              </w:rPr>
              <w:t>74,513,525.88</w:t>
            </w:r>
          </w:p>
        </w:tc>
        <w:tc>
          <w:tcPr>
            <w:tcW w:w="1130" w:type="dxa"/>
            <w:vAlign w:val="center"/>
          </w:tcPr>
          <w:p w:rsidR="005F4FD4" w:rsidRDefault="006B32B5">
            <w:pPr>
              <w:jc w:val="center"/>
            </w:pPr>
            <w:r>
              <w:rPr>
                <w:rFonts w:ascii="宋体" w:hAnsi="宋体"/>
                <w:color w:val="000000"/>
                <w:kern w:val="0"/>
                <w:szCs w:val="21"/>
              </w:rPr>
              <w:t>33.59%</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center"/>
              <w:rPr>
                <w:rFonts w:ascii="宋体" w:hAnsi="宋体"/>
                <w:kern w:val="0"/>
                <w:szCs w:val="21"/>
              </w:rPr>
            </w:pPr>
            <w:r w:rsidRPr="00090DA4">
              <w:rPr>
                <w:rFonts w:ascii="宋体" w:hAnsi="宋体"/>
                <w:color w:val="000000"/>
                <w:kern w:val="0"/>
                <w:szCs w:val="21"/>
              </w:rPr>
              <w:t>产品特有风险</w:t>
            </w:r>
          </w:p>
        </w:tc>
      </w:tr>
      <w:tr w:rsidR="002855EF" w:rsidRPr="00090DA4" w:rsidTr="0038354C">
        <w:tc>
          <w:tcPr>
            <w:tcW w:w="9212" w:type="dxa"/>
            <w:gridSpan w:val="8"/>
            <w:vAlign w:val="center"/>
          </w:tcPr>
          <w:p w:rsidR="002855EF" w:rsidRPr="00090DA4" w:rsidRDefault="002855EF" w:rsidP="0038354C">
            <w:pPr>
              <w:autoSpaceDE w:val="0"/>
              <w:autoSpaceDN w:val="0"/>
              <w:adjustRightInd w:val="0"/>
              <w:jc w:val="left"/>
              <w:rPr>
                <w:rFonts w:ascii="宋体" w:hAnsi="宋体"/>
                <w:kern w:val="0"/>
                <w:szCs w:val="21"/>
              </w:rPr>
            </w:pPr>
            <w:r w:rsidRPr="00090DA4">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hint="eastAsia"/>
          <w:b/>
          <w:bCs/>
          <w:color w:val="000000"/>
          <w:kern w:val="0"/>
          <w:sz w:val="24"/>
        </w:rPr>
        <w:t>8.2 影响投资者决策的其他重要信息</w:t>
      </w:r>
    </w:p>
    <w:p w:rsidR="002855EF" w:rsidRPr="00090DA4" w:rsidRDefault="002855EF" w:rsidP="002855EF">
      <w:pPr>
        <w:spacing w:line="360" w:lineRule="auto"/>
        <w:ind w:firstLineChars="200" w:firstLine="420"/>
        <w:rPr>
          <w:rFonts w:ascii="宋体" w:hAnsi="宋体"/>
          <w:color w:val="000000"/>
          <w:szCs w:val="21"/>
        </w:rPr>
      </w:pPr>
      <w:r w:rsidRPr="00090DA4">
        <w:rPr>
          <w:rFonts w:ascii="宋体" w:hAnsi="宋体"/>
          <w:color w:val="000000"/>
          <w:szCs w:val="21"/>
        </w:rPr>
        <w:t>无。</w:t>
      </w: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9</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中国证监会批准本基金募集的文件</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摩根天添宝货币市场基金基金合同</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摩根天添宝货币市场基金托管协议</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法律意见书</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基金管理人业务资格批件、营业执照</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基金托管人业务资格批件、营业执照</w:t>
      </w:r>
    </w:p>
    <w:p w:rsidR="005F4FD4" w:rsidRDefault="006B32B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(七) 摩根基金管理（中国）有限公司开放式基金业务规则</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(八) 中国证监会要求的其他文件</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lastRenderedPageBreak/>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摩根基金管理（中国）有限公司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二〇二三年十月二十五日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0E" w:rsidRDefault="00E84C0E">
      <w:r>
        <w:separator/>
      </w:r>
    </w:p>
  </w:endnote>
  <w:endnote w:type="continuationSeparator" w:id="0">
    <w:p w:rsidR="00E84C0E" w:rsidRDefault="00E8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6F0057">
      <w:rPr>
        <w:noProof/>
        <w:kern w:val="0"/>
        <w:szCs w:val="21"/>
      </w:rPr>
      <w:t>13</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6F0057">
      <w:rPr>
        <w:noProof/>
        <w:kern w:val="0"/>
        <w:szCs w:val="21"/>
      </w:rPr>
      <w:t>15</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0E" w:rsidRDefault="00E84C0E">
      <w:r>
        <w:separator/>
      </w:r>
    </w:p>
  </w:footnote>
  <w:footnote w:type="continuationSeparator" w:id="0">
    <w:p w:rsidR="00E84C0E" w:rsidRDefault="00E8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摩根天添宝货币市场基金</w:t>
    </w:r>
    <w:r w:rsidRPr="000C5A36">
      <w:t>2023</w:t>
    </w:r>
    <w:r w:rsidRPr="000C5A36">
      <w:t>年第</w:t>
    </w:r>
    <w:r w:rsidRPr="000C5A36">
      <w:t>3</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1E74"/>
    <w:rsid w:val="0024424F"/>
    <w:rsid w:val="002507FE"/>
    <w:rsid w:val="002525C7"/>
    <w:rsid w:val="002611C3"/>
    <w:rsid w:val="002622E8"/>
    <w:rsid w:val="00267283"/>
    <w:rsid w:val="00274FAC"/>
    <w:rsid w:val="002855EF"/>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4FD4"/>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32B5"/>
    <w:rsid w:val="006B4C67"/>
    <w:rsid w:val="006B5FCA"/>
    <w:rsid w:val="006D27DD"/>
    <w:rsid w:val="006D4647"/>
    <w:rsid w:val="006D4C22"/>
    <w:rsid w:val="006E4EB5"/>
    <w:rsid w:val="006F0057"/>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C7564"/>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84C0E"/>
    <w:rsid w:val="00E90A9C"/>
    <w:rsid w:val="00E92BEC"/>
    <w:rsid w:val="00E95356"/>
    <w:rsid w:val="00E966E5"/>
    <w:rsid w:val="00EA3D96"/>
    <w:rsid w:val="00EA6B69"/>
    <w:rsid w:val="00EA6B7B"/>
    <w:rsid w:val="00EA6EC8"/>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61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15</Pages>
  <Words>1324</Words>
  <Characters>7551</Characters>
  <Application>Microsoft Office Word</Application>
  <DocSecurity>0</DocSecurity>
  <Lines>62</Lines>
  <Paragraphs>17</Paragraphs>
  <ScaleCrop>false</ScaleCrop>
  <Company>jysld</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219</cp:revision>
  <cp:lastPrinted>2009-01-22T10:11:00Z</cp:lastPrinted>
  <dcterms:created xsi:type="dcterms:W3CDTF">2012-11-21T05:49:00Z</dcterms:created>
  <dcterms:modified xsi:type="dcterms:W3CDTF">2023-10-24T07:14:00Z</dcterms:modified>
</cp:coreProperties>
</file>