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ECE2"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2CA373DE"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15A0D65B"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564C1834"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4049771B"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5D6B1615" w14:textId="77777777" w:rsidR="005E6DF3" w:rsidRPr="0073597F" w:rsidRDefault="005C671B">
      <w:pPr>
        <w:spacing w:line="360" w:lineRule="auto"/>
        <w:jc w:val="center"/>
        <w:rPr>
          <w:rFonts w:eastAsiaTheme="minorEastAsia"/>
          <w:b/>
          <w:color w:val="000000" w:themeColor="text1"/>
          <w:sz w:val="36"/>
          <w:szCs w:val="36"/>
        </w:rPr>
      </w:pPr>
      <w:proofErr w:type="gramStart"/>
      <w:r w:rsidRPr="0073597F">
        <w:rPr>
          <w:rFonts w:eastAsiaTheme="minorEastAsia"/>
          <w:b/>
          <w:color w:val="000000" w:themeColor="text1"/>
          <w:sz w:val="36"/>
          <w:szCs w:val="36"/>
        </w:rPr>
        <w:t>摩根纯债丰利</w:t>
      </w:r>
      <w:proofErr w:type="gramEnd"/>
      <w:r w:rsidRPr="0073597F">
        <w:rPr>
          <w:rFonts w:eastAsiaTheme="minorEastAsia"/>
          <w:b/>
          <w:color w:val="000000" w:themeColor="text1"/>
          <w:sz w:val="36"/>
          <w:szCs w:val="36"/>
        </w:rPr>
        <w:t>债券型证券投资基金</w:t>
      </w:r>
    </w:p>
    <w:p w14:paraId="703B0435"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2</w:t>
      </w:r>
      <w:r w:rsidRPr="0073597F">
        <w:rPr>
          <w:rFonts w:eastAsiaTheme="minorEastAsia"/>
          <w:b/>
          <w:color w:val="000000" w:themeColor="text1"/>
          <w:sz w:val="36"/>
          <w:szCs w:val="36"/>
        </w:rPr>
        <w:t>季度报告</w:t>
      </w:r>
    </w:p>
    <w:p w14:paraId="231D6AA1"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6</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14:paraId="3A906241" w14:textId="77777777" w:rsidR="005E6DF3" w:rsidRPr="0073597F" w:rsidRDefault="005E6DF3">
      <w:pPr>
        <w:spacing w:line="360" w:lineRule="auto"/>
        <w:jc w:val="center"/>
        <w:rPr>
          <w:rFonts w:eastAsiaTheme="minorEastAsia"/>
          <w:b/>
          <w:color w:val="000000" w:themeColor="text1"/>
          <w:szCs w:val="21"/>
        </w:rPr>
      </w:pPr>
    </w:p>
    <w:p w14:paraId="50162131" w14:textId="77777777" w:rsidR="005E6DF3" w:rsidRPr="0073597F" w:rsidRDefault="005E6DF3">
      <w:pPr>
        <w:spacing w:line="360" w:lineRule="auto"/>
        <w:jc w:val="center"/>
        <w:rPr>
          <w:rFonts w:eastAsiaTheme="minorEastAsia"/>
          <w:b/>
          <w:color w:val="000000" w:themeColor="text1"/>
          <w:szCs w:val="21"/>
        </w:rPr>
      </w:pPr>
    </w:p>
    <w:p w14:paraId="7C043CDF" w14:textId="77777777" w:rsidR="005E6DF3" w:rsidRPr="0073597F" w:rsidRDefault="005E6DF3">
      <w:pPr>
        <w:spacing w:line="360" w:lineRule="auto"/>
        <w:jc w:val="center"/>
        <w:rPr>
          <w:rFonts w:eastAsiaTheme="minorEastAsia"/>
          <w:b/>
          <w:color w:val="000000" w:themeColor="text1"/>
          <w:szCs w:val="21"/>
        </w:rPr>
      </w:pPr>
    </w:p>
    <w:p w14:paraId="49A042AE" w14:textId="77777777" w:rsidR="005E6DF3" w:rsidRPr="0073597F" w:rsidRDefault="005E6DF3">
      <w:pPr>
        <w:spacing w:line="360" w:lineRule="auto"/>
        <w:jc w:val="center"/>
        <w:rPr>
          <w:rFonts w:eastAsiaTheme="minorEastAsia"/>
          <w:b/>
          <w:color w:val="000000" w:themeColor="text1"/>
          <w:szCs w:val="21"/>
        </w:rPr>
      </w:pPr>
    </w:p>
    <w:p w14:paraId="242AD6DE" w14:textId="77777777" w:rsidR="005E6DF3" w:rsidRPr="0073597F" w:rsidRDefault="005E6DF3">
      <w:pPr>
        <w:spacing w:line="360" w:lineRule="auto"/>
        <w:jc w:val="center"/>
        <w:rPr>
          <w:rFonts w:eastAsiaTheme="minorEastAsia"/>
          <w:b/>
          <w:color w:val="000000" w:themeColor="text1"/>
          <w:szCs w:val="21"/>
        </w:rPr>
      </w:pPr>
    </w:p>
    <w:p w14:paraId="1A81CB55" w14:textId="77777777" w:rsidR="005E6DF3" w:rsidRPr="0073597F" w:rsidRDefault="005E6DF3">
      <w:pPr>
        <w:spacing w:line="360" w:lineRule="auto"/>
        <w:jc w:val="center"/>
        <w:rPr>
          <w:rFonts w:eastAsiaTheme="minorEastAsia"/>
          <w:b/>
          <w:color w:val="000000" w:themeColor="text1"/>
          <w:szCs w:val="21"/>
        </w:rPr>
      </w:pPr>
    </w:p>
    <w:p w14:paraId="006236B4" w14:textId="77777777" w:rsidR="005E6DF3" w:rsidRPr="0073597F" w:rsidRDefault="005E6DF3">
      <w:pPr>
        <w:spacing w:line="360" w:lineRule="auto"/>
        <w:jc w:val="center"/>
        <w:rPr>
          <w:rFonts w:eastAsiaTheme="minorEastAsia"/>
          <w:b/>
          <w:color w:val="000000" w:themeColor="text1"/>
          <w:szCs w:val="21"/>
        </w:rPr>
      </w:pPr>
    </w:p>
    <w:p w14:paraId="52D93B0E" w14:textId="77777777" w:rsidR="005E6DF3" w:rsidRPr="0073597F" w:rsidRDefault="005E6DF3">
      <w:pPr>
        <w:spacing w:line="360" w:lineRule="auto"/>
        <w:jc w:val="center"/>
        <w:rPr>
          <w:rFonts w:eastAsiaTheme="minorEastAsia"/>
          <w:b/>
          <w:color w:val="000000" w:themeColor="text1"/>
          <w:szCs w:val="21"/>
        </w:rPr>
      </w:pPr>
    </w:p>
    <w:p w14:paraId="72BB739B" w14:textId="77777777" w:rsidR="005E6DF3" w:rsidRPr="0073597F" w:rsidRDefault="005E6DF3">
      <w:pPr>
        <w:spacing w:line="360" w:lineRule="auto"/>
        <w:jc w:val="center"/>
        <w:rPr>
          <w:rFonts w:eastAsiaTheme="minorEastAsia"/>
          <w:b/>
          <w:color w:val="000000" w:themeColor="text1"/>
          <w:szCs w:val="21"/>
        </w:rPr>
      </w:pPr>
    </w:p>
    <w:p w14:paraId="1C4F02A3" w14:textId="77777777" w:rsidR="005E6DF3" w:rsidRPr="0073597F" w:rsidRDefault="005E6DF3">
      <w:pPr>
        <w:spacing w:line="360" w:lineRule="auto"/>
        <w:jc w:val="center"/>
        <w:rPr>
          <w:rFonts w:eastAsiaTheme="minorEastAsia"/>
          <w:b/>
          <w:color w:val="000000" w:themeColor="text1"/>
          <w:szCs w:val="21"/>
        </w:rPr>
      </w:pPr>
    </w:p>
    <w:p w14:paraId="1E24EE79" w14:textId="77777777" w:rsidR="005E6DF3" w:rsidRPr="0073597F" w:rsidRDefault="005E6DF3">
      <w:pPr>
        <w:spacing w:line="360" w:lineRule="auto"/>
        <w:jc w:val="center"/>
        <w:rPr>
          <w:rFonts w:eastAsiaTheme="minorEastAsia"/>
          <w:b/>
          <w:color w:val="000000" w:themeColor="text1"/>
          <w:szCs w:val="21"/>
        </w:rPr>
      </w:pPr>
    </w:p>
    <w:p w14:paraId="09DD67D6" w14:textId="77777777" w:rsidR="005E6DF3" w:rsidRPr="0073597F" w:rsidRDefault="005E6DF3">
      <w:pPr>
        <w:spacing w:line="360" w:lineRule="auto"/>
        <w:jc w:val="center"/>
        <w:rPr>
          <w:rFonts w:eastAsiaTheme="minorEastAsia"/>
          <w:b/>
          <w:color w:val="000000" w:themeColor="text1"/>
          <w:szCs w:val="21"/>
        </w:rPr>
      </w:pPr>
    </w:p>
    <w:p w14:paraId="0DE521FC" w14:textId="77777777" w:rsidR="005E6DF3" w:rsidRPr="0073597F" w:rsidRDefault="005E6DF3">
      <w:pPr>
        <w:spacing w:line="360" w:lineRule="auto"/>
        <w:jc w:val="center"/>
        <w:rPr>
          <w:rFonts w:eastAsiaTheme="minorEastAsia"/>
          <w:b/>
          <w:color w:val="000000" w:themeColor="text1"/>
          <w:szCs w:val="21"/>
        </w:rPr>
      </w:pPr>
    </w:p>
    <w:p w14:paraId="2A557E97" w14:textId="77777777" w:rsidR="005E6DF3" w:rsidRPr="0073597F" w:rsidRDefault="005E6DF3">
      <w:pPr>
        <w:spacing w:line="360" w:lineRule="auto"/>
        <w:rPr>
          <w:rFonts w:eastAsiaTheme="minorEastAsia"/>
          <w:b/>
          <w:color w:val="000000" w:themeColor="text1"/>
          <w:szCs w:val="21"/>
        </w:rPr>
      </w:pPr>
    </w:p>
    <w:p w14:paraId="2CE6299E"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14D7662C"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基金托管人：中国银行股份有限公司</w:t>
      </w:r>
    </w:p>
    <w:p w14:paraId="26775C4F"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报告送出日期：二〇二四年七月十九日</w:t>
      </w:r>
    </w:p>
    <w:p w14:paraId="4C1D10A0"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1213A05F"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5FC129D"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262CA0F"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2EE5DB2"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2D8D2AA4"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1BA9B02B"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14:paraId="57D82C40"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6898FBBE" w14:textId="77777777" w:rsidTr="0033334C">
        <w:tc>
          <w:tcPr>
            <w:tcW w:w="1985" w:type="dxa"/>
            <w:vAlign w:val="center"/>
          </w:tcPr>
          <w:p w14:paraId="1B2669CB"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0" w:name="_Hlk91495099"/>
            <w:r w:rsidRPr="0073597F">
              <w:rPr>
                <w:rFonts w:eastAsiaTheme="minorEastAsia"/>
                <w:color w:val="000000" w:themeColor="text1"/>
                <w:kern w:val="0"/>
                <w:szCs w:val="21"/>
              </w:rPr>
              <w:t>基金简称</w:t>
            </w:r>
          </w:p>
        </w:tc>
        <w:tc>
          <w:tcPr>
            <w:tcW w:w="6329" w:type="dxa"/>
            <w:gridSpan w:val="3"/>
          </w:tcPr>
          <w:p w14:paraId="2BB562B8"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proofErr w:type="gramStart"/>
            <w:r w:rsidRPr="0073597F">
              <w:rPr>
                <w:rFonts w:eastAsiaTheme="minorEastAsia"/>
                <w:color w:val="000000" w:themeColor="text1"/>
                <w:kern w:val="0"/>
                <w:szCs w:val="21"/>
              </w:rPr>
              <w:t>摩根纯债丰利</w:t>
            </w:r>
            <w:proofErr w:type="gramEnd"/>
            <w:r w:rsidRPr="0073597F">
              <w:rPr>
                <w:rFonts w:eastAsiaTheme="minorEastAsia"/>
                <w:color w:val="000000" w:themeColor="text1"/>
                <w:kern w:val="0"/>
                <w:szCs w:val="21"/>
              </w:rPr>
              <w:t>债券</w:t>
            </w:r>
          </w:p>
        </w:tc>
      </w:tr>
      <w:tr w:rsidR="009A0307" w:rsidRPr="0073597F" w14:paraId="431A576A" w14:textId="77777777" w:rsidTr="0033334C">
        <w:tc>
          <w:tcPr>
            <w:tcW w:w="1985" w:type="dxa"/>
            <w:vAlign w:val="center"/>
          </w:tcPr>
          <w:p w14:paraId="4FFE8C21"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73529B3D"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000839</w:t>
            </w:r>
          </w:p>
        </w:tc>
      </w:tr>
      <w:tr w:rsidR="009A0307" w:rsidRPr="0073597F" w14:paraId="4FD51C91" w14:textId="77777777" w:rsidTr="0033334C">
        <w:tc>
          <w:tcPr>
            <w:tcW w:w="1985" w:type="dxa"/>
            <w:vAlign w:val="center"/>
          </w:tcPr>
          <w:p w14:paraId="649858D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4395406B"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7E056886" w14:textId="77777777" w:rsidTr="0033334C">
        <w:tc>
          <w:tcPr>
            <w:tcW w:w="1985" w:type="dxa"/>
            <w:vAlign w:val="center"/>
          </w:tcPr>
          <w:p w14:paraId="3DB5BC6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000940BE"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2014</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18</w:t>
            </w:r>
            <w:r w:rsidRPr="0073597F">
              <w:rPr>
                <w:rFonts w:eastAsiaTheme="minorEastAsia"/>
                <w:color w:val="000000" w:themeColor="text1"/>
                <w:kern w:val="0"/>
                <w:szCs w:val="21"/>
              </w:rPr>
              <w:t>日</w:t>
            </w:r>
          </w:p>
        </w:tc>
      </w:tr>
      <w:tr w:rsidR="009A0307" w:rsidRPr="0073597F" w14:paraId="49CDC7B0" w14:textId="77777777" w:rsidTr="0033334C">
        <w:tc>
          <w:tcPr>
            <w:tcW w:w="1985" w:type="dxa"/>
            <w:vAlign w:val="center"/>
          </w:tcPr>
          <w:p w14:paraId="3087E30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681D5EE1"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488,953,687.86</w:t>
            </w:r>
            <w:r w:rsidRPr="0073597F">
              <w:rPr>
                <w:rFonts w:eastAsiaTheme="minorEastAsia"/>
                <w:color w:val="000000" w:themeColor="text1"/>
                <w:kern w:val="0"/>
                <w:szCs w:val="21"/>
              </w:rPr>
              <w:t>份</w:t>
            </w:r>
          </w:p>
        </w:tc>
      </w:tr>
      <w:tr w:rsidR="009A0307" w:rsidRPr="0073597F" w14:paraId="02B0CD17" w14:textId="77777777" w:rsidTr="0033334C">
        <w:tc>
          <w:tcPr>
            <w:tcW w:w="1985" w:type="dxa"/>
            <w:vAlign w:val="center"/>
          </w:tcPr>
          <w:p w14:paraId="76727EA1"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2170E29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在严格控制风险的前提下，通过积极主动地投资管理，力争实现长期稳定的投资回报。</w:t>
            </w:r>
          </w:p>
        </w:tc>
      </w:tr>
      <w:tr w:rsidR="009A0307" w:rsidRPr="0073597F" w14:paraId="6F139B62" w14:textId="77777777" w:rsidTr="0033334C">
        <w:tc>
          <w:tcPr>
            <w:tcW w:w="1985" w:type="dxa"/>
            <w:vAlign w:val="center"/>
          </w:tcPr>
          <w:p w14:paraId="53B89AD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14:paraId="6C19C9E8" w14:textId="77777777" w:rsidR="00DE6D28" w:rsidRDefault="00D232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本基金将采用自上而下的方法，对宏观经济形势和货币政策进行分析，并结合债券市场供需状况、市场流动性水平等重要市场指标，对不同债券板块之间的相对投资价值进行</w:t>
            </w:r>
            <w:proofErr w:type="gramStart"/>
            <w:r>
              <w:rPr>
                <w:rFonts w:eastAsiaTheme="minorEastAsia"/>
                <w:color w:val="000000" w:themeColor="text1"/>
                <w:kern w:val="0"/>
                <w:szCs w:val="21"/>
              </w:rPr>
              <w:t>考量</w:t>
            </w:r>
            <w:proofErr w:type="gramEnd"/>
            <w:r>
              <w:rPr>
                <w:rFonts w:eastAsiaTheme="minorEastAsia"/>
                <w:color w:val="000000" w:themeColor="text1"/>
                <w:kern w:val="0"/>
                <w:szCs w:val="21"/>
              </w:rPr>
              <w:t>，确定债券类属配置策略，并根据市场变化及时进行调整，从而选择既能匹配目标久期、同时又能获得较高持有期收益的类属债券配置比例。本基金将以内部信用评级为主、外部信用评级为辅，研究债券发行主体的基本面，</w:t>
            </w:r>
            <w:r>
              <w:rPr>
                <w:rFonts w:eastAsiaTheme="minorEastAsia"/>
                <w:color w:val="000000" w:themeColor="text1"/>
                <w:kern w:val="0"/>
                <w:szCs w:val="21"/>
              </w:rPr>
              <w:lastRenderedPageBreak/>
              <w:t>以确定债券的违约风险和合理的信用利差水平，判断债券的投资价值。本基金将重点分析债券发行人所处行业的发展前景、市场竞争地位、财务质量（包括资产负债水平、资产变现能</w:t>
            </w:r>
            <w:r>
              <w:rPr>
                <w:rFonts w:eastAsiaTheme="minorEastAsia"/>
                <w:color w:val="000000" w:themeColor="text1"/>
                <w:kern w:val="0"/>
                <w:szCs w:val="21"/>
              </w:rPr>
              <w:t>力、偿债能力、运营效率以及现金流质量）等要素，综合评价其信用等级，谨慎选择债券发行人基本面良好、债券条款优惠的信用类债券进行投资。</w:t>
            </w:r>
          </w:p>
          <w:p w14:paraId="3463ADE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具体的投资策略包括：债权类属配置策略、信用策略、</w:t>
            </w:r>
            <w:proofErr w:type="gramStart"/>
            <w:r w:rsidRPr="0073597F">
              <w:rPr>
                <w:rFonts w:eastAsiaTheme="minorEastAsia"/>
                <w:color w:val="000000" w:themeColor="text1"/>
                <w:kern w:val="0"/>
                <w:szCs w:val="21"/>
              </w:rPr>
              <w:t>久期调整</w:t>
            </w:r>
            <w:proofErr w:type="gramEnd"/>
            <w:r w:rsidRPr="0073597F">
              <w:rPr>
                <w:rFonts w:eastAsiaTheme="minorEastAsia"/>
                <w:color w:val="000000" w:themeColor="text1"/>
                <w:kern w:val="0"/>
                <w:szCs w:val="21"/>
              </w:rPr>
              <w:t>策略、期限结构配置策略、息差策略、中小企业私募债券投资策略、资产支持证券投资策略。</w:t>
            </w:r>
          </w:p>
        </w:tc>
      </w:tr>
      <w:tr w:rsidR="009A0307" w:rsidRPr="0073597F" w14:paraId="15792917" w14:textId="77777777" w:rsidTr="0033334C">
        <w:tc>
          <w:tcPr>
            <w:tcW w:w="1985" w:type="dxa"/>
            <w:vAlign w:val="center"/>
          </w:tcPr>
          <w:p w14:paraId="5E3CF35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14:paraId="63502A71"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w:t>
            </w:r>
          </w:p>
        </w:tc>
      </w:tr>
      <w:tr w:rsidR="009A0307" w:rsidRPr="0073597F" w14:paraId="793AF88A" w14:textId="77777777" w:rsidTr="0033334C">
        <w:tc>
          <w:tcPr>
            <w:tcW w:w="1985" w:type="dxa"/>
            <w:vAlign w:val="center"/>
          </w:tcPr>
          <w:p w14:paraId="642A0A61"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3BDD1FD4" w14:textId="77777777" w:rsidR="00DE6D28" w:rsidRDefault="00D232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w:t>
            </w:r>
          </w:p>
          <w:p w14:paraId="2D1AD3C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14:paraId="16EA85FE" w14:textId="77777777" w:rsidTr="0033334C">
        <w:tc>
          <w:tcPr>
            <w:tcW w:w="1985" w:type="dxa"/>
            <w:vAlign w:val="center"/>
          </w:tcPr>
          <w:p w14:paraId="665DCD6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14:paraId="379CD6D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40752332" w14:textId="77777777" w:rsidTr="0033334C">
        <w:tc>
          <w:tcPr>
            <w:tcW w:w="1985" w:type="dxa"/>
            <w:vAlign w:val="center"/>
          </w:tcPr>
          <w:p w14:paraId="3E23283B"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65CB39C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中国银行股份有限公司</w:t>
            </w:r>
          </w:p>
        </w:tc>
      </w:tr>
      <w:tr w:rsidR="009A0307" w:rsidRPr="0073597F" w14:paraId="2223C12A" w14:textId="77777777" w:rsidTr="0033334C">
        <w:tc>
          <w:tcPr>
            <w:tcW w:w="1985" w:type="dxa"/>
            <w:vAlign w:val="center"/>
          </w:tcPr>
          <w:p w14:paraId="68D41811"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2BAC3B63" w14:textId="77777777" w:rsidR="00B079FF" w:rsidRPr="0073597F" w:rsidRDefault="00B079FF" w:rsidP="0033334C">
            <w:pP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6" w:type="dxa"/>
            <w:vAlign w:val="center"/>
          </w:tcPr>
          <w:p w14:paraId="096F1E6F" w14:textId="77777777" w:rsidR="00B079FF" w:rsidRPr="0073597F" w:rsidRDefault="00B079FF" w:rsidP="0033334C">
            <w:pP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077" w:type="dxa"/>
            <w:vAlign w:val="center"/>
          </w:tcPr>
          <w:p w14:paraId="06EF3729" w14:textId="77777777" w:rsidR="00B079FF" w:rsidRPr="0073597F" w:rsidRDefault="006F1F9D" w:rsidP="0033334C">
            <w:pPr>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债券</w:t>
            </w:r>
            <w:r>
              <w:rPr>
                <w:rFonts w:eastAsiaTheme="minorEastAsia"/>
                <w:color w:val="000000" w:themeColor="text1"/>
                <w:szCs w:val="21"/>
              </w:rPr>
              <w:t>D</w:t>
            </w:r>
          </w:p>
        </w:tc>
      </w:tr>
      <w:tr w:rsidR="009A0307" w:rsidRPr="0073597F" w14:paraId="5843C58F" w14:textId="77777777" w:rsidTr="0033334C">
        <w:tc>
          <w:tcPr>
            <w:tcW w:w="1985" w:type="dxa"/>
            <w:vAlign w:val="center"/>
          </w:tcPr>
          <w:p w14:paraId="50B6349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14:paraId="790D2208"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000839</w:t>
            </w:r>
          </w:p>
        </w:tc>
        <w:tc>
          <w:tcPr>
            <w:tcW w:w="2126" w:type="dxa"/>
            <w:vAlign w:val="center"/>
          </w:tcPr>
          <w:p w14:paraId="07DF7330"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000840</w:t>
            </w:r>
          </w:p>
        </w:tc>
        <w:tc>
          <w:tcPr>
            <w:tcW w:w="2077" w:type="dxa"/>
            <w:vAlign w:val="center"/>
          </w:tcPr>
          <w:p w14:paraId="2252A9AB"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020959</w:t>
            </w:r>
          </w:p>
        </w:tc>
      </w:tr>
      <w:tr w:rsidR="009A0307" w:rsidRPr="0073597F" w14:paraId="0DB76D78" w14:textId="77777777" w:rsidTr="0033334C">
        <w:tc>
          <w:tcPr>
            <w:tcW w:w="1985" w:type="dxa"/>
            <w:vAlign w:val="center"/>
          </w:tcPr>
          <w:p w14:paraId="3AFEE0E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5F060116"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3,217,037.26</w:t>
            </w:r>
            <w:r w:rsidRPr="0073597F">
              <w:rPr>
                <w:rFonts w:eastAsiaTheme="minorEastAsia"/>
                <w:color w:val="000000" w:themeColor="text1"/>
                <w:kern w:val="0"/>
                <w:szCs w:val="21"/>
              </w:rPr>
              <w:t>份</w:t>
            </w:r>
          </w:p>
        </w:tc>
        <w:tc>
          <w:tcPr>
            <w:tcW w:w="2126" w:type="dxa"/>
            <w:vAlign w:val="center"/>
          </w:tcPr>
          <w:p w14:paraId="046491AC"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1,521,660.16</w:t>
            </w:r>
            <w:r w:rsidRPr="0073597F">
              <w:rPr>
                <w:rFonts w:eastAsiaTheme="minorEastAsia"/>
                <w:color w:val="000000" w:themeColor="text1"/>
                <w:kern w:val="0"/>
                <w:szCs w:val="21"/>
              </w:rPr>
              <w:t>份</w:t>
            </w:r>
          </w:p>
        </w:tc>
        <w:tc>
          <w:tcPr>
            <w:tcW w:w="2077" w:type="dxa"/>
            <w:vAlign w:val="center"/>
          </w:tcPr>
          <w:p w14:paraId="21351D72"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484,214,990.44</w:t>
            </w:r>
            <w:r w:rsidR="00B079FF" w:rsidRPr="0073597F">
              <w:rPr>
                <w:rFonts w:eastAsiaTheme="minorEastAsia"/>
                <w:color w:val="000000" w:themeColor="text1"/>
                <w:kern w:val="0"/>
                <w:szCs w:val="21"/>
              </w:rPr>
              <w:t>份</w:t>
            </w:r>
          </w:p>
        </w:tc>
      </w:tr>
    </w:tbl>
    <w:bookmarkEnd w:id="0"/>
    <w:p w14:paraId="50EF39E8"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048D64A8"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3F5B3FAC"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lastRenderedPageBreak/>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68C7D4CF" w14:textId="77777777" w:rsidTr="0033334C">
        <w:tc>
          <w:tcPr>
            <w:tcW w:w="1843" w:type="dxa"/>
            <w:vMerge w:val="restart"/>
            <w:vAlign w:val="center"/>
          </w:tcPr>
          <w:p w14:paraId="2AA67DA1"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502E62A7"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1E8B805B"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38DB0AEF" w14:textId="77777777" w:rsidTr="0033334C">
        <w:tc>
          <w:tcPr>
            <w:tcW w:w="1843" w:type="dxa"/>
            <w:vMerge/>
            <w:vAlign w:val="center"/>
          </w:tcPr>
          <w:p w14:paraId="553BFA6A"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79029FF4"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7" w:type="dxa"/>
            <w:vAlign w:val="center"/>
          </w:tcPr>
          <w:p w14:paraId="74BF3F9C"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268" w:type="dxa"/>
            <w:vAlign w:val="center"/>
          </w:tcPr>
          <w:p w14:paraId="67F83A22"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债券</w:t>
            </w:r>
            <w:r>
              <w:rPr>
                <w:rFonts w:eastAsiaTheme="minorEastAsia"/>
                <w:color w:val="000000" w:themeColor="text1"/>
                <w:szCs w:val="21"/>
              </w:rPr>
              <w:t>D</w:t>
            </w:r>
          </w:p>
        </w:tc>
      </w:tr>
      <w:tr w:rsidR="009A0307" w:rsidRPr="0073597F" w14:paraId="15745807" w14:textId="77777777" w:rsidTr="0033334C">
        <w:tc>
          <w:tcPr>
            <w:tcW w:w="1843" w:type="dxa"/>
            <w:vAlign w:val="center"/>
          </w:tcPr>
          <w:p w14:paraId="463F51D5"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06333E83"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27,045.76</w:t>
            </w:r>
          </w:p>
        </w:tc>
        <w:tc>
          <w:tcPr>
            <w:tcW w:w="2127" w:type="dxa"/>
            <w:vAlign w:val="center"/>
          </w:tcPr>
          <w:p w14:paraId="76F1CACE"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41,674.83</w:t>
            </w:r>
          </w:p>
        </w:tc>
        <w:tc>
          <w:tcPr>
            <w:tcW w:w="2268" w:type="dxa"/>
            <w:vAlign w:val="center"/>
          </w:tcPr>
          <w:p w14:paraId="34FE28EA"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2,819,613.81</w:t>
            </w:r>
          </w:p>
        </w:tc>
      </w:tr>
      <w:tr w:rsidR="009A0307" w:rsidRPr="0073597F" w14:paraId="27FE1378" w14:textId="77777777" w:rsidTr="0033334C">
        <w:tc>
          <w:tcPr>
            <w:tcW w:w="1843" w:type="dxa"/>
            <w:vAlign w:val="center"/>
          </w:tcPr>
          <w:p w14:paraId="2B61AECE"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5D7BD965"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45,018.80</w:t>
            </w:r>
          </w:p>
        </w:tc>
        <w:tc>
          <w:tcPr>
            <w:tcW w:w="2127" w:type="dxa"/>
            <w:vAlign w:val="center"/>
          </w:tcPr>
          <w:p w14:paraId="734FD93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72,471.42</w:t>
            </w:r>
          </w:p>
        </w:tc>
        <w:tc>
          <w:tcPr>
            <w:tcW w:w="2268" w:type="dxa"/>
            <w:vAlign w:val="center"/>
          </w:tcPr>
          <w:p w14:paraId="594E32C2"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5,750,175.48</w:t>
            </w:r>
          </w:p>
        </w:tc>
      </w:tr>
      <w:tr w:rsidR="009A0307" w:rsidRPr="0073597F" w14:paraId="78DA2B8C" w14:textId="77777777" w:rsidTr="0033334C">
        <w:tc>
          <w:tcPr>
            <w:tcW w:w="1843" w:type="dxa"/>
            <w:vAlign w:val="center"/>
          </w:tcPr>
          <w:p w14:paraId="593DB803"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2FC927A1"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0.0104</w:t>
            </w:r>
          </w:p>
        </w:tc>
        <w:tc>
          <w:tcPr>
            <w:tcW w:w="2127" w:type="dxa"/>
            <w:vAlign w:val="center"/>
          </w:tcPr>
          <w:p w14:paraId="53020B7A"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0.0108</w:t>
            </w:r>
          </w:p>
        </w:tc>
        <w:tc>
          <w:tcPr>
            <w:tcW w:w="2268" w:type="dxa"/>
            <w:vAlign w:val="center"/>
          </w:tcPr>
          <w:p w14:paraId="107F25CF"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0.0119</w:t>
            </w:r>
          </w:p>
        </w:tc>
      </w:tr>
      <w:tr w:rsidR="009A0307" w:rsidRPr="0073597F" w14:paraId="4BCE6F1A" w14:textId="77777777" w:rsidTr="0033334C">
        <w:tc>
          <w:tcPr>
            <w:tcW w:w="1843" w:type="dxa"/>
            <w:vAlign w:val="center"/>
          </w:tcPr>
          <w:p w14:paraId="64C58049"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07D7560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3,364,417.58</w:t>
            </w:r>
          </w:p>
        </w:tc>
        <w:tc>
          <w:tcPr>
            <w:tcW w:w="2127" w:type="dxa"/>
            <w:vAlign w:val="center"/>
          </w:tcPr>
          <w:p w14:paraId="6B0CE8EB"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1,587,442.81</w:t>
            </w:r>
          </w:p>
        </w:tc>
        <w:tc>
          <w:tcPr>
            <w:tcW w:w="2268" w:type="dxa"/>
            <w:vAlign w:val="center"/>
          </w:tcPr>
          <w:p w14:paraId="6950620D"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506,376,923.31</w:t>
            </w:r>
          </w:p>
        </w:tc>
      </w:tr>
      <w:tr w:rsidR="009A0307" w:rsidRPr="0073597F" w14:paraId="222C73A7" w14:textId="77777777" w:rsidTr="0033334C">
        <w:trPr>
          <w:trHeight w:val="158"/>
        </w:trPr>
        <w:tc>
          <w:tcPr>
            <w:tcW w:w="1843" w:type="dxa"/>
            <w:vAlign w:val="center"/>
          </w:tcPr>
          <w:p w14:paraId="4989253E"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14:paraId="2D668B79"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1.0458</w:t>
            </w:r>
          </w:p>
        </w:tc>
        <w:tc>
          <w:tcPr>
            <w:tcW w:w="2127" w:type="dxa"/>
            <w:vAlign w:val="center"/>
          </w:tcPr>
          <w:p w14:paraId="52017387"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1.0432</w:t>
            </w:r>
          </w:p>
        </w:tc>
        <w:tc>
          <w:tcPr>
            <w:tcW w:w="2268" w:type="dxa"/>
            <w:vAlign w:val="center"/>
          </w:tcPr>
          <w:p w14:paraId="1CB9E254"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1.0458</w:t>
            </w:r>
          </w:p>
        </w:tc>
      </w:tr>
    </w:tbl>
    <w:p w14:paraId="1E5D9DEB" w14:textId="77777777" w:rsidR="00DE6D28" w:rsidRDefault="00D232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8800875"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2D119F1"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1ADCF730"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w:t>
      </w:r>
      <w:proofErr w:type="gramStart"/>
      <w:r w:rsidRPr="0073597F">
        <w:rPr>
          <w:rFonts w:eastAsiaTheme="minorEastAsia"/>
          <w:b/>
          <w:color w:val="000000" w:themeColor="text1"/>
          <w:kern w:val="0"/>
          <w:szCs w:val="21"/>
        </w:rPr>
        <w:t>期基金</w:t>
      </w:r>
      <w:proofErr w:type="gramEnd"/>
      <w:r w:rsidRPr="0073597F">
        <w:rPr>
          <w:rFonts w:eastAsiaTheme="minorEastAsia"/>
          <w:b/>
          <w:color w:val="000000" w:themeColor="text1"/>
          <w:kern w:val="0"/>
          <w:szCs w:val="21"/>
        </w:rPr>
        <w:t>份额净值增长率及其与同期业绩比较基准收益率的比较</w:t>
      </w:r>
    </w:p>
    <w:p w14:paraId="2A03AE9A"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proofErr w:type="gramStart"/>
      <w:r w:rsidRPr="0073597F">
        <w:rPr>
          <w:rFonts w:eastAsiaTheme="minorEastAsia"/>
          <w:b/>
          <w:color w:val="000000" w:themeColor="text1"/>
          <w:kern w:val="0"/>
          <w:szCs w:val="21"/>
        </w:rPr>
        <w:t>摩根纯债丰利</w:t>
      </w:r>
      <w:proofErr w:type="gramEnd"/>
      <w:r w:rsidRPr="0073597F">
        <w:rPr>
          <w:rFonts w:eastAsiaTheme="minorEastAsia"/>
          <w:b/>
          <w:color w:val="000000" w:themeColor="text1"/>
          <w:kern w:val="0"/>
          <w:szCs w:val="21"/>
        </w:rPr>
        <w:t>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7EBC96D5" w14:textId="77777777">
        <w:tc>
          <w:tcPr>
            <w:tcW w:w="1290" w:type="dxa"/>
            <w:vAlign w:val="center"/>
          </w:tcPr>
          <w:p w14:paraId="6A4E0C54"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4F3BF02B"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497992EA"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5805E70F"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757E124C"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0090E460"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5195E69B"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DE6D28" w14:paraId="42459C16" w14:textId="77777777">
        <w:tc>
          <w:tcPr>
            <w:tcW w:w="1290" w:type="dxa"/>
            <w:vAlign w:val="center"/>
          </w:tcPr>
          <w:p w14:paraId="23F35C79" w14:textId="77777777" w:rsidR="00DE6D28" w:rsidRDefault="00D23241">
            <w:pPr>
              <w:jc w:val="left"/>
            </w:pPr>
            <w:r>
              <w:rPr>
                <w:rFonts w:eastAsiaTheme="minorEastAsia"/>
                <w:color w:val="000000" w:themeColor="text1"/>
                <w:szCs w:val="21"/>
              </w:rPr>
              <w:t>过去三个月</w:t>
            </w:r>
          </w:p>
        </w:tc>
        <w:tc>
          <w:tcPr>
            <w:tcW w:w="1291" w:type="dxa"/>
            <w:vAlign w:val="center"/>
          </w:tcPr>
          <w:p w14:paraId="4A2F416F" w14:textId="77777777" w:rsidR="00DE6D28" w:rsidRDefault="00D23241">
            <w:pPr>
              <w:jc w:val="right"/>
            </w:pPr>
            <w:r>
              <w:rPr>
                <w:rFonts w:eastAsiaTheme="minorEastAsia"/>
                <w:color w:val="000000" w:themeColor="text1"/>
                <w:szCs w:val="21"/>
              </w:rPr>
              <w:t>1.15%</w:t>
            </w:r>
          </w:p>
        </w:tc>
        <w:tc>
          <w:tcPr>
            <w:tcW w:w="1291" w:type="dxa"/>
            <w:vAlign w:val="center"/>
          </w:tcPr>
          <w:p w14:paraId="11EE1100" w14:textId="77777777" w:rsidR="00DE6D28" w:rsidRDefault="00D23241">
            <w:pPr>
              <w:jc w:val="right"/>
            </w:pPr>
            <w:r>
              <w:rPr>
                <w:rFonts w:eastAsiaTheme="minorEastAsia"/>
                <w:color w:val="000000" w:themeColor="text1"/>
                <w:szCs w:val="21"/>
              </w:rPr>
              <w:t>0.05%</w:t>
            </w:r>
          </w:p>
        </w:tc>
        <w:tc>
          <w:tcPr>
            <w:tcW w:w="1291" w:type="dxa"/>
            <w:vAlign w:val="center"/>
          </w:tcPr>
          <w:p w14:paraId="750EE006" w14:textId="77777777" w:rsidR="00DE6D28" w:rsidRDefault="00D23241">
            <w:pPr>
              <w:jc w:val="right"/>
            </w:pPr>
            <w:r>
              <w:rPr>
                <w:rFonts w:eastAsiaTheme="minorEastAsia"/>
                <w:color w:val="000000" w:themeColor="text1"/>
                <w:szCs w:val="21"/>
              </w:rPr>
              <w:t>1.74%</w:t>
            </w:r>
          </w:p>
        </w:tc>
        <w:tc>
          <w:tcPr>
            <w:tcW w:w="1291" w:type="dxa"/>
            <w:vAlign w:val="center"/>
          </w:tcPr>
          <w:p w14:paraId="56B53AC4" w14:textId="77777777" w:rsidR="00DE6D28" w:rsidRDefault="00D23241">
            <w:pPr>
              <w:jc w:val="right"/>
            </w:pPr>
            <w:r>
              <w:rPr>
                <w:rFonts w:eastAsiaTheme="minorEastAsia"/>
                <w:color w:val="000000" w:themeColor="text1"/>
                <w:szCs w:val="21"/>
              </w:rPr>
              <w:t>0.07%</w:t>
            </w:r>
          </w:p>
        </w:tc>
        <w:tc>
          <w:tcPr>
            <w:tcW w:w="1291" w:type="dxa"/>
            <w:vAlign w:val="center"/>
          </w:tcPr>
          <w:p w14:paraId="019C6353" w14:textId="77777777" w:rsidR="00DE6D28" w:rsidRDefault="00D23241">
            <w:pPr>
              <w:jc w:val="right"/>
            </w:pPr>
            <w:r>
              <w:rPr>
                <w:rFonts w:eastAsiaTheme="minorEastAsia"/>
                <w:color w:val="000000" w:themeColor="text1"/>
                <w:szCs w:val="21"/>
              </w:rPr>
              <w:t>-0.59%</w:t>
            </w:r>
          </w:p>
        </w:tc>
        <w:tc>
          <w:tcPr>
            <w:tcW w:w="1291" w:type="dxa"/>
            <w:vAlign w:val="center"/>
          </w:tcPr>
          <w:p w14:paraId="679B0CC4" w14:textId="77777777" w:rsidR="00DE6D28" w:rsidRDefault="00D23241">
            <w:pPr>
              <w:jc w:val="right"/>
            </w:pPr>
            <w:r>
              <w:rPr>
                <w:rFonts w:eastAsiaTheme="minorEastAsia"/>
                <w:color w:val="000000" w:themeColor="text1"/>
                <w:szCs w:val="21"/>
              </w:rPr>
              <w:t>-0.02%</w:t>
            </w:r>
          </w:p>
        </w:tc>
      </w:tr>
      <w:tr w:rsidR="00DE6D28" w14:paraId="4C7AE2B8" w14:textId="77777777">
        <w:tc>
          <w:tcPr>
            <w:tcW w:w="1290" w:type="dxa"/>
            <w:vAlign w:val="center"/>
          </w:tcPr>
          <w:p w14:paraId="0381D7FB" w14:textId="77777777" w:rsidR="00DE6D28" w:rsidRDefault="00D23241">
            <w:pPr>
              <w:jc w:val="left"/>
            </w:pPr>
            <w:r>
              <w:rPr>
                <w:rFonts w:eastAsiaTheme="minorEastAsia"/>
                <w:color w:val="000000" w:themeColor="text1"/>
                <w:szCs w:val="21"/>
              </w:rPr>
              <w:t>过去六个月</w:t>
            </w:r>
          </w:p>
        </w:tc>
        <w:tc>
          <w:tcPr>
            <w:tcW w:w="1291" w:type="dxa"/>
            <w:vAlign w:val="center"/>
          </w:tcPr>
          <w:p w14:paraId="27475F73" w14:textId="77777777" w:rsidR="00DE6D28" w:rsidRDefault="00D23241">
            <w:pPr>
              <w:jc w:val="right"/>
            </w:pPr>
            <w:r>
              <w:rPr>
                <w:rFonts w:eastAsiaTheme="minorEastAsia"/>
                <w:color w:val="000000" w:themeColor="text1"/>
                <w:szCs w:val="21"/>
              </w:rPr>
              <w:t>2.62%</w:t>
            </w:r>
          </w:p>
        </w:tc>
        <w:tc>
          <w:tcPr>
            <w:tcW w:w="1291" w:type="dxa"/>
            <w:vAlign w:val="center"/>
          </w:tcPr>
          <w:p w14:paraId="78257925" w14:textId="77777777" w:rsidR="00DE6D28" w:rsidRDefault="00D23241">
            <w:pPr>
              <w:jc w:val="right"/>
            </w:pPr>
            <w:r>
              <w:rPr>
                <w:rFonts w:eastAsiaTheme="minorEastAsia"/>
                <w:color w:val="000000" w:themeColor="text1"/>
                <w:szCs w:val="21"/>
              </w:rPr>
              <w:t>0.06%</w:t>
            </w:r>
          </w:p>
        </w:tc>
        <w:tc>
          <w:tcPr>
            <w:tcW w:w="1291" w:type="dxa"/>
            <w:vAlign w:val="center"/>
          </w:tcPr>
          <w:p w14:paraId="50A56D63" w14:textId="77777777" w:rsidR="00DE6D28" w:rsidRDefault="00D23241">
            <w:pPr>
              <w:jc w:val="right"/>
            </w:pPr>
            <w:r>
              <w:rPr>
                <w:rFonts w:eastAsiaTheme="minorEastAsia"/>
                <w:color w:val="000000" w:themeColor="text1"/>
                <w:szCs w:val="21"/>
              </w:rPr>
              <w:t>3.87%</w:t>
            </w:r>
          </w:p>
        </w:tc>
        <w:tc>
          <w:tcPr>
            <w:tcW w:w="1291" w:type="dxa"/>
            <w:vAlign w:val="center"/>
          </w:tcPr>
          <w:p w14:paraId="75624CFF" w14:textId="77777777" w:rsidR="00DE6D28" w:rsidRDefault="00D23241">
            <w:pPr>
              <w:jc w:val="right"/>
            </w:pPr>
            <w:r>
              <w:rPr>
                <w:rFonts w:eastAsiaTheme="minorEastAsia"/>
                <w:color w:val="000000" w:themeColor="text1"/>
                <w:szCs w:val="21"/>
              </w:rPr>
              <w:t>0.07%</w:t>
            </w:r>
          </w:p>
        </w:tc>
        <w:tc>
          <w:tcPr>
            <w:tcW w:w="1291" w:type="dxa"/>
            <w:vAlign w:val="center"/>
          </w:tcPr>
          <w:p w14:paraId="5730D144" w14:textId="77777777" w:rsidR="00DE6D28" w:rsidRDefault="00D23241">
            <w:pPr>
              <w:jc w:val="right"/>
            </w:pPr>
            <w:r>
              <w:rPr>
                <w:rFonts w:eastAsiaTheme="minorEastAsia"/>
                <w:color w:val="000000" w:themeColor="text1"/>
                <w:szCs w:val="21"/>
              </w:rPr>
              <w:t>-1.25%</w:t>
            </w:r>
          </w:p>
        </w:tc>
        <w:tc>
          <w:tcPr>
            <w:tcW w:w="1291" w:type="dxa"/>
            <w:vAlign w:val="center"/>
          </w:tcPr>
          <w:p w14:paraId="06D8F6A6" w14:textId="77777777" w:rsidR="00DE6D28" w:rsidRDefault="00D23241">
            <w:pPr>
              <w:jc w:val="right"/>
            </w:pPr>
            <w:r>
              <w:rPr>
                <w:rFonts w:eastAsiaTheme="minorEastAsia"/>
                <w:color w:val="000000" w:themeColor="text1"/>
                <w:szCs w:val="21"/>
              </w:rPr>
              <w:t>-0.01%</w:t>
            </w:r>
          </w:p>
        </w:tc>
      </w:tr>
      <w:tr w:rsidR="00DE6D28" w14:paraId="6F8DC63F" w14:textId="77777777">
        <w:tc>
          <w:tcPr>
            <w:tcW w:w="1290" w:type="dxa"/>
            <w:vAlign w:val="center"/>
          </w:tcPr>
          <w:p w14:paraId="21589153" w14:textId="77777777" w:rsidR="00DE6D28" w:rsidRDefault="00D23241">
            <w:pPr>
              <w:jc w:val="left"/>
            </w:pPr>
            <w:r>
              <w:rPr>
                <w:rFonts w:eastAsiaTheme="minorEastAsia"/>
                <w:color w:val="000000" w:themeColor="text1"/>
                <w:szCs w:val="21"/>
              </w:rPr>
              <w:t>过去一年</w:t>
            </w:r>
          </w:p>
        </w:tc>
        <w:tc>
          <w:tcPr>
            <w:tcW w:w="1291" w:type="dxa"/>
            <w:vAlign w:val="center"/>
          </w:tcPr>
          <w:p w14:paraId="5DCBE6E1" w14:textId="77777777" w:rsidR="00DE6D28" w:rsidRDefault="00D23241">
            <w:pPr>
              <w:jc w:val="right"/>
            </w:pPr>
            <w:r>
              <w:rPr>
                <w:rFonts w:eastAsiaTheme="minorEastAsia"/>
                <w:color w:val="000000" w:themeColor="text1"/>
                <w:szCs w:val="21"/>
              </w:rPr>
              <w:t>2.60%</w:t>
            </w:r>
          </w:p>
        </w:tc>
        <w:tc>
          <w:tcPr>
            <w:tcW w:w="1291" w:type="dxa"/>
            <w:vAlign w:val="center"/>
          </w:tcPr>
          <w:p w14:paraId="72653BBF" w14:textId="77777777" w:rsidR="00DE6D28" w:rsidRDefault="00D23241">
            <w:pPr>
              <w:jc w:val="right"/>
            </w:pPr>
            <w:r>
              <w:rPr>
                <w:rFonts w:eastAsiaTheme="minorEastAsia"/>
                <w:color w:val="000000" w:themeColor="text1"/>
                <w:szCs w:val="21"/>
              </w:rPr>
              <w:t>0.06%</w:t>
            </w:r>
          </w:p>
        </w:tc>
        <w:tc>
          <w:tcPr>
            <w:tcW w:w="1291" w:type="dxa"/>
            <w:vAlign w:val="center"/>
          </w:tcPr>
          <w:p w14:paraId="30B211D0" w14:textId="77777777" w:rsidR="00DE6D28" w:rsidRDefault="00D23241">
            <w:pPr>
              <w:jc w:val="right"/>
            </w:pPr>
            <w:r>
              <w:rPr>
                <w:rFonts w:eastAsiaTheme="minorEastAsia"/>
                <w:color w:val="000000" w:themeColor="text1"/>
                <w:szCs w:val="21"/>
              </w:rPr>
              <w:t>5.98%</w:t>
            </w:r>
          </w:p>
        </w:tc>
        <w:tc>
          <w:tcPr>
            <w:tcW w:w="1291" w:type="dxa"/>
            <w:vAlign w:val="center"/>
          </w:tcPr>
          <w:p w14:paraId="3A62231E" w14:textId="77777777" w:rsidR="00DE6D28" w:rsidRDefault="00D23241">
            <w:pPr>
              <w:jc w:val="right"/>
            </w:pPr>
            <w:r>
              <w:rPr>
                <w:rFonts w:eastAsiaTheme="minorEastAsia"/>
                <w:color w:val="000000" w:themeColor="text1"/>
                <w:szCs w:val="21"/>
              </w:rPr>
              <w:t>0.06%</w:t>
            </w:r>
          </w:p>
        </w:tc>
        <w:tc>
          <w:tcPr>
            <w:tcW w:w="1291" w:type="dxa"/>
            <w:vAlign w:val="center"/>
          </w:tcPr>
          <w:p w14:paraId="61EA0578" w14:textId="77777777" w:rsidR="00DE6D28" w:rsidRDefault="00D23241">
            <w:pPr>
              <w:jc w:val="right"/>
            </w:pPr>
            <w:r>
              <w:rPr>
                <w:rFonts w:eastAsiaTheme="minorEastAsia"/>
                <w:color w:val="000000" w:themeColor="text1"/>
                <w:szCs w:val="21"/>
              </w:rPr>
              <w:t>-3.38%</w:t>
            </w:r>
          </w:p>
        </w:tc>
        <w:tc>
          <w:tcPr>
            <w:tcW w:w="1291" w:type="dxa"/>
            <w:vAlign w:val="center"/>
          </w:tcPr>
          <w:p w14:paraId="69E0C90C" w14:textId="77777777" w:rsidR="00DE6D28" w:rsidRDefault="00D23241">
            <w:pPr>
              <w:jc w:val="right"/>
            </w:pPr>
            <w:r>
              <w:rPr>
                <w:rFonts w:eastAsiaTheme="minorEastAsia"/>
                <w:color w:val="000000" w:themeColor="text1"/>
                <w:szCs w:val="21"/>
              </w:rPr>
              <w:t>0.00%</w:t>
            </w:r>
          </w:p>
        </w:tc>
      </w:tr>
      <w:tr w:rsidR="00DE6D28" w14:paraId="266644AC" w14:textId="77777777">
        <w:tc>
          <w:tcPr>
            <w:tcW w:w="1290" w:type="dxa"/>
            <w:vAlign w:val="center"/>
          </w:tcPr>
          <w:p w14:paraId="2CFB4684" w14:textId="77777777" w:rsidR="00DE6D28" w:rsidRDefault="00D23241">
            <w:pPr>
              <w:jc w:val="left"/>
            </w:pPr>
            <w:r>
              <w:rPr>
                <w:rFonts w:eastAsiaTheme="minorEastAsia"/>
                <w:color w:val="000000" w:themeColor="text1"/>
                <w:szCs w:val="21"/>
              </w:rPr>
              <w:t>过去三年</w:t>
            </w:r>
          </w:p>
        </w:tc>
        <w:tc>
          <w:tcPr>
            <w:tcW w:w="1291" w:type="dxa"/>
            <w:vAlign w:val="center"/>
          </w:tcPr>
          <w:p w14:paraId="3ECCF186" w14:textId="77777777" w:rsidR="00DE6D28" w:rsidRDefault="00D23241">
            <w:pPr>
              <w:jc w:val="right"/>
            </w:pPr>
            <w:r>
              <w:rPr>
                <w:rFonts w:eastAsiaTheme="minorEastAsia"/>
                <w:color w:val="000000" w:themeColor="text1"/>
                <w:szCs w:val="21"/>
              </w:rPr>
              <w:t>7.03%</w:t>
            </w:r>
          </w:p>
        </w:tc>
        <w:tc>
          <w:tcPr>
            <w:tcW w:w="1291" w:type="dxa"/>
            <w:vAlign w:val="center"/>
          </w:tcPr>
          <w:p w14:paraId="575A64AA" w14:textId="77777777" w:rsidR="00DE6D28" w:rsidRDefault="00D23241">
            <w:pPr>
              <w:jc w:val="right"/>
            </w:pPr>
            <w:r>
              <w:rPr>
                <w:rFonts w:eastAsiaTheme="minorEastAsia"/>
                <w:color w:val="000000" w:themeColor="text1"/>
                <w:szCs w:val="21"/>
              </w:rPr>
              <w:t>0.06%</w:t>
            </w:r>
          </w:p>
        </w:tc>
        <w:tc>
          <w:tcPr>
            <w:tcW w:w="1291" w:type="dxa"/>
            <w:vAlign w:val="center"/>
          </w:tcPr>
          <w:p w14:paraId="41D4B66F" w14:textId="77777777" w:rsidR="00DE6D28" w:rsidRDefault="00D23241">
            <w:pPr>
              <w:jc w:val="right"/>
            </w:pPr>
            <w:r>
              <w:rPr>
                <w:rFonts w:eastAsiaTheme="minorEastAsia"/>
                <w:color w:val="000000" w:themeColor="text1"/>
                <w:szCs w:val="21"/>
              </w:rPr>
              <w:t>15.83%</w:t>
            </w:r>
          </w:p>
        </w:tc>
        <w:tc>
          <w:tcPr>
            <w:tcW w:w="1291" w:type="dxa"/>
            <w:vAlign w:val="center"/>
          </w:tcPr>
          <w:p w14:paraId="186790A6" w14:textId="77777777" w:rsidR="00DE6D28" w:rsidRDefault="00D23241">
            <w:pPr>
              <w:jc w:val="right"/>
            </w:pPr>
            <w:r>
              <w:rPr>
                <w:rFonts w:eastAsiaTheme="minorEastAsia"/>
                <w:color w:val="000000" w:themeColor="text1"/>
                <w:szCs w:val="21"/>
              </w:rPr>
              <w:t>0.06%</w:t>
            </w:r>
          </w:p>
        </w:tc>
        <w:tc>
          <w:tcPr>
            <w:tcW w:w="1291" w:type="dxa"/>
            <w:vAlign w:val="center"/>
          </w:tcPr>
          <w:p w14:paraId="5824FF5A" w14:textId="77777777" w:rsidR="00DE6D28" w:rsidRDefault="00D23241">
            <w:pPr>
              <w:jc w:val="right"/>
            </w:pPr>
            <w:r>
              <w:rPr>
                <w:rFonts w:eastAsiaTheme="minorEastAsia"/>
                <w:color w:val="000000" w:themeColor="text1"/>
                <w:szCs w:val="21"/>
              </w:rPr>
              <w:t>-8.80%</w:t>
            </w:r>
          </w:p>
        </w:tc>
        <w:tc>
          <w:tcPr>
            <w:tcW w:w="1291" w:type="dxa"/>
            <w:vAlign w:val="center"/>
          </w:tcPr>
          <w:p w14:paraId="1E6511BD" w14:textId="77777777" w:rsidR="00DE6D28" w:rsidRDefault="00D23241">
            <w:pPr>
              <w:jc w:val="right"/>
            </w:pPr>
            <w:r>
              <w:rPr>
                <w:rFonts w:eastAsiaTheme="minorEastAsia"/>
                <w:color w:val="000000" w:themeColor="text1"/>
                <w:szCs w:val="21"/>
              </w:rPr>
              <w:t>0.00%</w:t>
            </w:r>
          </w:p>
        </w:tc>
      </w:tr>
      <w:tr w:rsidR="00DE6D28" w14:paraId="188B8248" w14:textId="77777777">
        <w:tc>
          <w:tcPr>
            <w:tcW w:w="1290" w:type="dxa"/>
            <w:vAlign w:val="center"/>
          </w:tcPr>
          <w:p w14:paraId="3C653920" w14:textId="77777777" w:rsidR="00DE6D28" w:rsidRDefault="00D23241">
            <w:pPr>
              <w:jc w:val="left"/>
            </w:pPr>
            <w:r>
              <w:rPr>
                <w:rFonts w:eastAsiaTheme="minorEastAsia"/>
                <w:color w:val="000000" w:themeColor="text1"/>
                <w:szCs w:val="21"/>
              </w:rPr>
              <w:t>过去五年</w:t>
            </w:r>
          </w:p>
        </w:tc>
        <w:tc>
          <w:tcPr>
            <w:tcW w:w="1291" w:type="dxa"/>
            <w:vAlign w:val="center"/>
          </w:tcPr>
          <w:p w14:paraId="124D54C6" w14:textId="77777777" w:rsidR="00DE6D28" w:rsidRDefault="00D23241">
            <w:pPr>
              <w:jc w:val="right"/>
            </w:pPr>
            <w:r>
              <w:rPr>
                <w:rFonts w:eastAsiaTheme="minorEastAsia"/>
                <w:color w:val="000000" w:themeColor="text1"/>
                <w:szCs w:val="21"/>
              </w:rPr>
              <w:t>13.02%</w:t>
            </w:r>
          </w:p>
        </w:tc>
        <w:tc>
          <w:tcPr>
            <w:tcW w:w="1291" w:type="dxa"/>
            <w:vAlign w:val="center"/>
          </w:tcPr>
          <w:p w14:paraId="3BB9E2BB" w14:textId="77777777" w:rsidR="00DE6D28" w:rsidRDefault="00D23241">
            <w:pPr>
              <w:jc w:val="right"/>
            </w:pPr>
            <w:r>
              <w:rPr>
                <w:rFonts w:eastAsiaTheme="minorEastAsia"/>
                <w:color w:val="000000" w:themeColor="text1"/>
                <w:szCs w:val="21"/>
              </w:rPr>
              <w:t>0.06%</w:t>
            </w:r>
          </w:p>
        </w:tc>
        <w:tc>
          <w:tcPr>
            <w:tcW w:w="1291" w:type="dxa"/>
            <w:vAlign w:val="center"/>
          </w:tcPr>
          <w:p w14:paraId="653BFF9D" w14:textId="77777777" w:rsidR="00DE6D28" w:rsidRDefault="00D23241">
            <w:pPr>
              <w:jc w:val="right"/>
            </w:pPr>
            <w:r>
              <w:rPr>
                <w:rFonts w:eastAsiaTheme="minorEastAsia"/>
                <w:color w:val="000000" w:themeColor="text1"/>
                <w:szCs w:val="21"/>
              </w:rPr>
              <w:t>25.07%</w:t>
            </w:r>
          </w:p>
        </w:tc>
        <w:tc>
          <w:tcPr>
            <w:tcW w:w="1291" w:type="dxa"/>
            <w:vAlign w:val="center"/>
          </w:tcPr>
          <w:p w14:paraId="49CA2884" w14:textId="77777777" w:rsidR="00DE6D28" w:rsidRDefault="00D23241">
            <w:pPr>
              <w:jc w:val="right"/>
            </w:pPr>
            <w:r>
              <w:rPr>
                <w:rFonts w:eastAsiaTheme="minorEastAsia"/>
                <w:color w:val="000000" w:themeColor="text1"/>
                <w:szCs w:val="21"/>
              </w:rPr>
              <w:t>0.06%</w:t>
            </w:r>
          </w:p>
        </w:tc>
        <w:tc>
          <w:tcPr>
            <w:tcW w:w="1291" w:type="dxa"/>
            <w:vAlign w:val="center"/>
          </w:tcPr>
          <w:p w14:paraId="6B811ACE" w14:textId="77777777" w:rsidR="00DE6D28" w:rsidRDefault="00D23241">
            <w:pPr>
              <w:jc w:val="right"/>
            </w:pPr>
            <w:r>
              <w:rPr>
                <w:rFonts w:eastAsiaTheme="minorEastAsia"/>
                <w:color w:val="000000" w:themeColor="text1"/>
                <w:szCs w:val="21"/>
              </w:rPr>
              <w:t>-12.05%</w:t>
            </w:r>
          </w:p>
        </w:tc>
        <w:tc>
          <w:tcPr>
            <w:tcW w:w="1291" w:type="dxa"/>
            <w:vAlign w:val="center"/>
          </w:tcPr>
          <w:p w14:paraId="52EE3C48" w14:textId="77777777" w:rsidR="00DE6D28" w:rsidRDefault="00D23241">
            <w:pPr>
              <w:jc w:val="right"/>
            </w:pPr>
            <w:r>
              <w:rPr>
                <w:rFonts w:eastAsiaTheme="minorEastAsia"/>
                <w:color w:val="000000" w:themeColor="text1"/>
                <w:szCs w:val="21"/>
              </w:rPr>
              <w:t>0.00%</w:t>
            </w:r>
          </w:p>
        </w:tc>
      </w:tr>
      <w:tr w:rsidR="00DE6D28" w14:paraId="69FA363F" w14:textId="77777777">
        <w:tc>
          <w:tcPr>
            <w:tcW w:w="1290" w:type="dxa"/>
            <w:vAlign w:val="center"/>
          </w:tcPr>
          <w:p w14:paraId="3B11BBC1" w14:textId="77777777" w:rsidR="00DE6D28" w:rsidRDefault="00D23241">
            <w:pPr>
              <w:jc w:val="left"/>
            </w:pPr>
            <w:r>
              <w:rPr>
                <w:rFonts w:eastAsiaTheme="minorEastAsia"/>
                <w:color w:val="000000" w:themeColor="text1"/>
                <w:szCs w:val="21"/>
              </w:rPr>
              <w:t>自基金合同生效起至今</w:t>
            </w:r>
          </w:p>
        </w:tc>
        <w:tc>
          <w:tcPr>
            <w:tcW w:w="1291" w:type="dxa"/>
            <w:vAlign w:val="center"/>
          </w:tcPr>
          <w:p w14:paraId="325CAC69" w14:textId="77777777" w:rsidR="00DE6D28" w:rsidRDefault="00D23241">
            <w:pPr>
              <w:jc w:val="right"/>
            </w:pPr>
            <w:r>
              <w:rPr>
                <w:rFonts w:eastAsiaTheme="minorEastAsia"/>
                <w:color w:val="000000" w:themeColor="text1"/>
                <w:szCs w:val="21"/>
              </w:rPr>
              <w:t>29.14%</w:t>
            </w:r>
          </w:p>
        </w:tc>
        <w:tc>
          <w:tcPr>
            <w:tcW w:w="1291" w:type="dxa"/>
            <w:vAlign w:val="center"/>
          </w:tcPr>
          <w:p w14:paraId="284F150F" w14:textId="77777777" w:rsidR="00DE6D28" w:rsidRDefault="00D23241">
            <w:pPr>
              <w:jc w:val="right"/>
            </w:pPr>
            <w:r>
              <w:rPr>
                <w:rFonts w:eastAsiaTheme="minorEastAsia"/>
                <w:color w:val="000000" w:themeColor="text1"/>
                <w:szCs w:val="21"/>
              </w:rPr>
              <w:t>0.08%</w:t>
            </w:r>
          </w:p>
        </w:tc>
        <w:tc>
          <w:tcPr>
            <w:tcW w:w="1291" w:type="dxa"/>
            <w:vAlign w:val="center"/>
          </w:tcPr>
          <w:p w14:paraId="7CE79CEA" w14:textId="77777777" w:rsidR="00DE6D28" w:rsidRDefault="00D23241">
            <w:pPr>
              <w:jc w:val="right"/>
            </w:pPr>
            <w:r>
              <w:rPr>
                <w:rFonts w:eastAsiaTheme="minorEastAsia"/>
                <w:color w:val="000000" w:themeColor="text1"/>
                <w:szCs w:val="21"/>
              </w:rPr>
              <w:t>51.83%</w:t>
            </w:r>
          </w:p>
        </w:tc>
        <w:tc>
          <w:tcPr>
            <w:tcW w:w="1291" w:type="dxa"/>
            <w:vAlign w:val="center"/>
          </w:tcPr>
          <w:p w14:paraId="5C7BAD40" w14:textId="77777777" w:rsidR="00DE6D28" w:rsidRDefault="00D23241">
            <w:pPr>
              <w:jc w:val="right"/>
            </w:pPr>
            <w:r>
              <w:rPr>
                <w:rFonts w:eastAsiaTheme="minorEastAsia"/>
                <w:color w:val="000000" w:themeColor="text1"/>
                <w:szCs w:val="21"/>
              </w:rPr>
              <w:t>0.07%</w:t>
            </w:r>
          </w:p>
        </w:tc>
        <w:tc>
          <w:tcPr>
            <w:tcW w:w="1291" w:type="dxa"/>
            <w:vAlign w:val="center"/>
          </w:tcPr>
          <w:p w14:paraId="0FB24DFD" w14:textId="77777777" w:rsidR="00DE6D28" w:rsidRDefault="00D23241">
            <w:pPr>
              <w:jc w:val="right"/>
            </w:pPr>
            <w:r>
              <w:rPr>
                <w:rFonts w:eastAsiaTheme="minorEastAsia"/>
                <w:color w:val="000000" w:themeColor="text1"/>
                <w:szCs w:val="21"/>
              </w:rPr>
              <w:t>-22.69%</w:t>
            </w:r>
          </w:p>
        </w:tc>
        <w:tc>
          <w:tcPr>
            <w:tcW w:w="1291" w:type="dxa"/>
            <w:vAlign w:val="center"/>
          </w:tcPr>
          <w:p w14:paraId="46669F4D" w14:textId="77777777" w:rsidR="00DE6D28" w:rsidRDefault="00D23241">
            <w:pPr>
              <w:jc w:val="right"/>
            </w:pPr>
            <w:r>
              <w:rPr>
                <w:rFonts w:eastAsiaTheme="minorEastAsia"/>
                <w:color w:val="000000" w:themeColor="text1"/>
                <w:szCs w:val="21"/>
              </w:rPr>
              <w:t>0.01%</w:t>
            </w:r>
          </w:p>
        </w:tc>
      </w:tr>
    </w:tbl>
    <w:p w14:paraId="3EFFF098"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proofErr w:type="gramStart"/>
      <w:r w:rsidRPr="0073597F">
        <w:rPr>
          <w:rFonts w:eastAsiaTheme="minorEastAsia"/>
          <w:b/>
          <w:color w:val="000000" w:themeColor="text1"/>
          <w:kern w:val="0"/>
          <w:szCs w:val="21"/>
        </w:rPr>
        <w:t>摩根纯债丰利</w:t>
      </w:r>
      <w:proofErr w:type="gramEnd"/>
      <w:r w:rsidRPr="0073597F">
        <w:rPr>
          <w:rFonts w:eastAsiaTheme="minorEastAsia"/>
          <w:b/>
          <w:color w:val="000000" w:themeColor="text1"/>
          <w:kern w:val="0"/>
          <w:szCs w:val="21"/>
        </w:rPr>
        <w:t>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76E9D7FC" w14:textId="77777777">
        <w:tc>
          <w:tcPr>
            <w:tcW w:w="1290" w:type="dxa"/>
            <w:vAlign w:val="center"/>
          </w:tcPr>
          <w:p w14:paraId="7BBDCBA9"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lastRenderedPageBreak/>
              <w:t>阶段</w:t>
            </w:r>
          </w:p>
        </w:tc>
        <w:tc>
          <w:tcPr>
            <w:tcW w:w="1291" w:type="dxa"/>
            <w:vAlign w:val="center"/>
          </w:tcPr>
          <w:p w14:paraId="3B3B076F"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6298FCAC"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22223A0A"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16194629"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62A55308"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7B6F4653"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DE6D28" w14:paraId="64FFBF86" w14:textId="77777777">
        <w:tc>
          <w:tcPr>
            <w:tcW w:w="1290" w:type="dxa"/>
            <w:vAlign w:val="center"/>
          </w:tcPr>
          <w:p w14:paraId="040FC5E1" w14:textId="77777777" w:rsidR="00DE6D28" w:rsidRDefault="00D23241">
            <w:pPr>
              <w:jc w:val="left"/>
            </w:pPr>
            <w:r>
              <w:rPr>
                <w:rFonts w:eastAsiaTheme="minorEastAsia"/>
                <w:color w:val="000000" w:themeColor="text1"/>
                <w:szCs w:val="21"/>
              </w:rPr>
              <w:t>过去三个月</w:t>
            </w:r>
          </w:p>
        </w:tc>
        <w:tc>
          <w:tcPr>
            <w:tcW w:w="1291" w:type="dxa"/>
            <w:vAlign w:val="center"/>
          </w:tcPr>
          <w:p w14:paraId="6C26E86E" w14:textId="77777777" w:rsidR="00DE6D28" w:rsidRDefault="00D23241">
            <w:pPr>
              <w:jc w:val="right"/>
            </w:pPr>
            <w:r>
              <w:rPr>
                <w:rFonts w:eastAsiaTheme="minorEastAsia"/>
                <w:color w:val="000000" w:themeColor="text1"/>
                <w:szCs w:val="21"/>
              </w:rPr>
              <w:t>1.04%</w:t>
            </w:r>
          </w:p>
        </w:tc>
        <w:tc>
          <w:tcPr>
            <w:tcW w:w="1291" w:type="dxa"/>
            <w:vAlign w:val="center"/>
          </w:tcPr>
          <w:p w14:paraId="2BAFBDCC" w14:textId="77777777" w:rsidR="00DE6D28" w:rsidRDefault="00D23241">
            <w:pPr>
              <w:jc w:val="right"/>
            </w:pPr>
            <w:r>
              <w:rPr>
                <w:rFonts w:eastAsiaTheme="minorEastAsia"/>
                <w:color w:val="000000" w:themeColor="text1"/>
                <w:szCs w:val="21"/>
              </w:rPr>
              <w:t>0.05%</w:t>
            </w:r>
          </w:p>
        </w:tc>
        <w:tc>
          <w:tcPr>
            <w:tcW w:w="1291" w:type="dxa"/>
            <w:vAlign w:val="center"/>
          </w:tcPr>
          <w:p w14:paraId="1010FC13" w14:textId="77777777" w:rsidR="00DE6D28" w:rsidRDefault="00D23241">
            <w:pPr>
              <w:jc w:val="right"/>
            </w:pPr>
            <w:r>
              <w:rPr>
                <w:rFonts w:eastAsiaTheme="minorEastAsia"/>
                <w:color w:val="000000" w:themeColor="text1"/>
                <w:szCs w:val="21"/>
              </w:rPr>
              <w:t>1.74%</w:t>
            </w:r>
          </w:p>
        </w:tc>
        <w:tc>
          <w:tcPr>
            <w:tcW w:w="1291" w:type="dxa"/>
            <w:vAlign w:val="center"/>
          </w:tcPr>
          <w:p w14:paraId="76A32AE2" w14:textId="77777777" w:rsidR="00DE6D28" w:rsidRDefault="00D23241">
            <w:pPr>
              <w:jc w:val="right"/>
            </w:pPr>
            <w:r>
              <w:rPr>
                <w:rFonts w:eastAsiaTheme="minorEastAsia"/>
                <w:color w:val="000000" w:themeColor="text1"/>
                <w:szCs w:val="21"/>
              </w:rPr>
              <w:t>0.07%</w:t>
            </w:r>
          </w:p>
        </w:tc>
        <w:tc>
          <w:tcPr>
            <w:tcW w:w="1291" w:type="dxa"/>
            <w:vAlign w:val="center"/>
          </w:tcPr>
          <w:p w14:paraId="6CB112F7" w14:textId="77777777" w:rsidR="00DE6D28" w:rsidRDefault="00D23241">
            <w:pPr>
              <w:jc w:val="right"/>
            </w:pPr>
            <w:r>
              <w:rPr>
                <w:rFonts w:eastAsiaTheme="minorEastAsia"/>
                <w:color w:val="000000" w:themeColor="text1"/>
                <w:szCs w:val="21"/>
              </w:rPr>
              <w:t>-0.70%</w:t>
            </w:r>
          </w:p>
        </w:tc>
        <w:tc>
          <w:tcPr>
            <w:tcW w:w="1291" w:type="dxa"/>
            <w:vAlign w:val="center"/>
          </w:tcPr>
          <w:p w14:paraId="6031791A" w14:textId="77777777" w:rsidR="00DE6D28" w:rsidRDefault="00D23241">
            <w:pPr>
              <w:jc w:val="right"/>
            </w:pPr>
            <w:r>
              <w:rPr>
                <w:rFonts w:eastAsiaTheme="minorEastAsia"/>
                <w:color w:val="000000" w:themeColor="text1"/>
                <w:szCs w:val="21"/>
              </w:rPr>
              <w:t>-0.02%</w:t>
            </w:r>
          </w:p>
        </w:tc>
      </w:tr>
      <w:tr w:rsidR="00DE6D28" w14:paraId="0B0A12C0" w14:textId="77777777">
        <w:tc>
          <w:tcPr>
            <w:tcW w:w="1290" w:type="dxa"/>
            <w:vAlign w:val="center"/>
          </w:tcPr>
          <w:p w14:paraId="426352CB" w14:textId="77777777" w:rsidR="00DE6D28" w:rsidRDefault="00D23241">
            <w:pPr>
              <w:jc w:val="left"/>
            </w:pPr>
            <w:r>
              <w:rPr>
                <w:rFonts w:eastAsiaTheme="minorEastAsia"/>
                <w:color w:val="000000" w:themeColor="text1"/>
                <w:szCs w:val="21"/>
              </w:rPr>
              <w:t>过去六个月</w:t>
            </w:r>
          </w:p>
        </w:tc>
        <w:tc>
          <w:tcPr>
            <w:tcW w:w="1291" w:type="dxa"/>
            <w:vAlign w:val="center"/>
          </w:tcPr>
          <w:p w14:paraId="776C0AC9" w14:textId="77777777" w:rsidR="00DE6D28" w:rsidRDefault="00D23241">
            <w:pPr>
              <w:jc w:val="right"/>
            </w:pPr>
            <w:r>
              <w:rPr>
                <w:rFonts w:eastAsiaTheme="minorEastAsia"/>
                <w:color w:val="000000" w:themeColor="text1"/>
                <w:szCs w:val="21"/>
              </w:rPr>
              <w:t>2.50%</w:t>
            </w:r>
          </w:p>
        </w:tc>
        <w:tc>
          <w:tcPr>
            <w:tcW w:w="1291" w:type="dxa"/>
            <w:vAlign w:val="center"/>
          </w:tcPr>
          <w:p w14:paraId="06E6C772" w14:textId="77777777" w:rsidR="00DE6D28" w:rsidRDefault="00D23241">
            <w:pPr>
              <w:jc w:val="right"/>
            </w:pPr>
            <w:r>
              <w:rPr>
                <w:rFonts w:eastAsiaTheme="minorEastAsia"/>
                <w:color w:val="000000" w:themeColor="text1"/>
                <w:szCs w:val="21"/>
              </w:rPr>
              <w:t>0.06%</w:t>
            </w:r>
          </w:p>
        </w:tc>
        <w:tc>
          <w:tcPr>
            <w:tcW w:w="1291" w:type="dxa"/>
            <w:vAlign w:val="center"/>
          </w:tcPr>
          <w:p w14:paraId="5E7E0ECB" w14:textId="77777777" w:rsidR="00DE6D28" w:rsidRDefault="00D23241">
            <w:pPr>
              <w:jc w:val="right"/>
            </w:pPr>
            <w:r>
              <w:rPr>
                <w:rFonts w:eastAsiaTheme="minorEastAsia"/>
                <w:color w:val="000000" w:themeColor="text1"/>
                <w:szCs w:val="21"/>
              </w:rPr>
              <w:t>3.87%</w:t>
            </w:r>
          </w:p>
        </w:tc>
        <w:tc>
          <w:tcPr>
            <w:tcW w:w="1291" w:type="dxa"/>
            <w:vAlign w:val="center"/>
          </w:tcPr>
          <w:p w14:paraId="250A6C4C" w14:textId="77777777" w:rsidR="00DE6D28" w:rsidRDefault="00D23241">
            <w:pPr>
              <w:jc w:val="right"/>
            </w:pPr>
            <w:r>
              <w:rPr>
                <w:rFonts w:eastAsiaTheme="minorEastAsia"/>
                <w:color w:val="000000" w:themeColor="text1"/>
                <w:szCs w:val="21"/>
              </w:rPr>
              <w:t>0.07%</w:t>
            </w:r>
          </w:p>
        </w:tc>
        <w:tc>
          <w:tcPr>
            <w:tcW w:w="1291" w:type="dxa"/>
            <w:vAlign w:val="center"/>
          </w:tcPr>
          <w:p w14:paraId="1BE95E54" w14:textId="77777777" w:rsidR="00DE6D28" w:rsidRDefault="00D23241">
            <w:pPr>
              <w:jc w:val="right"/>
            </w:pPr>
            <w:r>
              <w:rPr>
                <w:rFonts w:eastAsiaTheme="minorEastAsia"/>
                <w:color w:val="000000" w:themeColor="text1"/>
                <w:szCs w:val="21"/>
              </w:rPr>
              <w:t>-1.37%</w:t>
            </w:r>
          </w:p>
        </w:tc>
        <w:tc>
          <w:tcPr>
            <w:tcW w:w="1291" w:type="dxa"/>
            <w:vAlign w:val="center"/>
          </w:tcPr>
          <w:p w14:paraId="62D47143" w14:textId="77777777" w:rsidR="00DE6D28" w:rsidRDefault="00D23241">
            <w:pPr>
              <w:jc w:val="right"/>
            </w:pPr>
            <w:r>
              <w:rPr>
                <w:rFonts w:eastAsiaTheme="minorEastAsia"/>
                <w:color w:val="000000" w:themeColor="text1"/>
                <w:szCs w:val="21"/>
              </w:rPr>
              <w:t>-0.01%</w:t>
            </w:r>
          </w:p>
        </w:tc>
      </w:tr>
      <w:tr w:rsidR="00DE6D28" w14:paraId="505A67C8" w14:textId="77777777">
        <w:tc>
          <w:tcPr>
            <w:tcW w:w="1290" w:type="dxa"/>
            <w:vAlign w:val="center"/>
          </w:tcPr>
          <w:p w14:paraId="1C7E0973" w14:textId="77777777" w:rsidR="00DE6D28" w:rsidRDefault="00D23241">
            <w:pPr>
              <w:jc w:val="left"/>
            </w:pPr>
            <w:r>
              <w:rPr>
                <w:rFonts w:eastAsiaTheme="minorEastAsia"/>
                <w:color w:val="000000" w:themeColor="text1"/>
                <w:szCs w:val="21"/>
              </w:rPr>
              <w:t>过去一年</w:t>
            </w:r>
          </w:p>
        </w:tc>
        <w:tc>
          <w:tcPr>
            <w:tcW w:w="1291" w:type="dxa"/>
            <w:vAlign w:val="center"/>
          </w:tcPr>
          <w:p w14:paraId="2A3D2F02" w14:textId="77777777" w:rsidR="00DE6D28" w:rsidRDefault="00D23241">
            <w:pPr>
              <w:jc w:val="right"/>
            </w:pPr>
            <w:r>
              <w:rPr>
                <w:rFonts w:eastAsiaTheme="minorEastAsia"/>
                <w:color w:val="000000" w:themeColor="text1"/>
                <w:szCs w:val="21"/>
              </w:rPr>
              <w:t>2.42%</w:t>
            </w:r>
          </w:p>
        </w:tc>
        <w:tc>
          <w:tcPr>
            <w:tcW w:w="1291" w:type="dxa"/>
            <w:vAlign w:val="center"/>
          </w:tcPr>
          <w:p w14:paraId="08413C57" w14:textId="77777777" w:rsidR="00DE6D28" w:rsidRDefault="00D23241">
            <w:pPr>
              <w:jc w:val="right"/>
            </w:pPr>
            <w:r>
              <w:rPr>
                <w:rFonts w:eastAsiaTheme="minorEastAsia"/>
                <w:color w:val="000000" w:themeColor="text1"/>
                <w:szCs w:val="21"/>
              </w:rPr>
              <w:t>0.06%</w:t>
            </w:r>
          </w:p>
        </w:tc>
        <w:tc>
          <w:tcPr>
            <w:tcW w:w="1291" w:type="dxa"/>
            <w:vAlign w:val="center"/>
          </w:tcPr>
          <w:p w14:paraId="49B49C90" w14:textId="77777777" w:rsidR="00DE6D28" w:rsidRDefault="00D23241">
            <w:pPr>
              <w:jc w:val="right"/>
            </w:pPr>
            <w:r>
              <w:rPr>
                <w:rFonts w:eastAsiaTheme="minorEastAsia"/>
                <w:color w:val="000000" w:themeColor="text1"/>
                <w:szCs w:val="21"/>
              </w:rPr>
              <w:t>5.98%</w:t>
            </w:r>
          </w:p>
        </w:tc>
        <w:tc>
          <w:tcPr>
            <w:tcW w:w="1291" w:type="dxa"/>
            <w:vAlign w:val="center"/>
          </w:tcPr>
          <w:p w14:paraId="30E71AAD" w14:textId="77777777" w:rsidR="00DE6D28" w:rsidRDefault="00D23241">
            <w:pPr>
              <w:jc w:val="right"/>
            </w:pPr>
            <w:r>
              <w:rPr>
                <w:rFonts w:eastAsiaTheme="minorEastAsia"/>
                <w:color w:val="000000" w:themeColor="text1"/>
                <w:szCs w:val="21"/>
              </w:rPr>
              <w:t>0.06%</w:t>
            </w:r>
          </w:p>
        </w:tc>
        <w:tc>
          <w:tcPr>
            <w:tcW w:w="1291" w:type="dxa"/>
            <w:vAlign w:val="center"/>
          </w:tcPr>
          <w:p w14:paraId="2CF73AF0" w14:textId="77777777" w:rsidR="00DE6D28" w:rsidRDefault="00D23241">
            <w:pPr>
              <w:jc w:val="right"/>
            </w:pPr>
            <w:r>
              <w:rPr>
                <w:rFonts w:eastAsiaTheme="minorEastAsia"/>
                <w:color w:val="000000" w:themeColor="text1"/>
                <w:szCs w:val="21"/>
              </w:rPr>
              <w:t>-3.56%</w:t>
            </w:r>
          </w:p>
        </w:tc>
        <w:tc>
          <w:tcPr>
            <w:tcW w:w="1291" w:type="dxa"/>
            <w:vAlign w:val="center"/>
          </w:tcPr>
          <w:p w14:paraId="239CC5BB" w14:textId="77777777" w:rsidR="00DE6D28" w:rsidRDefault="00D23241">
            <w:pPr>
              <w:jc w:val="right"/>
            </w:pPr>
            <w:r>
              <w:rPr>
                <w:rFonts w:eastAsiaTheme="minorEastAsia"/>
                <w:color w:val="000000" w:themeColor="text1"/>
                <w:szCs w:val="21"/>
              </w:rPr>
              <w:t>0.00%</w:t>
            </w:r>
          </w:p>
        </w:tc>
      </w:tr>
      <w:tr w:rsidR="00DE6D28" w14:paraId="7DE13774" w14:textId="77777777">
        <w:tc>
          <w:tcPr>
            <w:tcW w:w="1290" w:type="dxa"/>
            <w:vAlign w:val="center"/>
          </w:tcPr>
          <w:p w14:paraId="374C3D1F" w14:textId="77777777" w:rsidR="00DE6D28" w:rsidRDefault="00D23241">
            <w:pPr>
              <w:jc w:val="left"/>
            </w:pPr>
            <w:r>
              <w:rPr>
                <w:rFonts w:eastAsiaTheme="minorEastAsia"/>
                <w:color w:val="000000" w:themeColor="text1"/>
                <w:szCs w:val="21"/>
              </w:rPr>
              <w:t>过去三年</w:t>
            </w:r>
          </w:p>
        </w:tc>
        <w:tc>
          <w:tcPr>
            <w:tcW w:w="1291" w:type="dxa"/>
            <w:vAlign w:val="center"/>
          </w:tcPr>
          <w:p w14:paraId="02D1A376" w14:textId="77777777" w:rsidR="00DE6D28" w:rsidRDefault="00D23241">
            <w:pPr>
              <w:jc w:val="right"/>
            </w:pPr>
            <w:r>
              <w:rPr>
                <w:rFonts w:eastAsiaTheme="minorEastAsia"/>
                <w:color w:val="000000" w:themeColor="text1"/>
                <w:szCs w:val="21"/>
              </w:rPr>
              <w:t>6.62%</w:t>
            </w:r>
          </w:p>
        </w:tc>
        <w:tc>
          <w:tcPr>
            <w:tcW w:w="1291" w:type="dxa"/>
            <w:vAlign w:val="center"/>
          </w:tcPr>
          <w:p w14:paraId="3F788723" w14:textId="77777777" w:rsidR="00DE6D28" w:rsidRDefault="00D23241">
            <w:pPr>
              <w:jc w:val="right"/>
            </w:pPr>
            <w:r>
              <w:rPr>
                <w:rFonts w:eastAsiaTheme="minorEastAsia"/>
                <w:color w:val="000000" w:themeColor="text1"/>
                <w:szCs w:val="21"/>
              </w:rPr>
              <w:t>0.06%</w:t>
            </w:r>
          </w:p>
        </w:tc>
        <w:tc>
          <w:tcPr>
            <w:tcW w:w="1291" w:type="dxa"/>
            <w:vAlign w:val="center"/>
          </w:tcPr>
          <w:p w14:paraId="0DE51613" w14:textId="77777777" w:rsidR="00DE6D28" w:rsidRDefault="00D23241">
            <w:pPr>
              <w:jc w:val="right"/>
            </w:pPr>
            <w:r>
              <w:rPr>
                <w:rFonts w:eastAsiaTheme="minorEastAsia"/>
                <w:color w:val="000000" w:themeColor="text1"/>
                <w:szCs w:val="21"/>
              </w:rPr>
              <w:t>15.83%</w:t>
            </w:r>
          </w:p>
        </w:tc>
        <w:tc>
          <w:tcPr>
            <w:tcW w:w="1291" w:type="dxa"/>
            <w:vAlign w:val="center"/>
          </w:tcPr>
          <w:p w14:paraId="288C7E8B" w14:textId="77777777" w:rsidR="00DE6D28" w:rsidRDefault="00D23241">
            <w:pPr>
              <w:jc w:val="right"/>
            </w:pPr>
            <w:r>
              <w:rPr>
                <w:rFonts w:eastAsiaTheme="minorEastAsia"/>
                <w:color w:val="000000" w:themeColor="text1"/>
                <w:szCs w:val="21"/>
              </w:rPr>
              <w:t>0.06%</w:t>
            </w:r>
          </w:p>
        </w:tc>
        <w:tc>
          <w:tcPr>
            <w:tcW w:w="1291" w:type="dxa"/>
            <w:vAlign w:val="center"/>
          </w:tcPr>
          <w:p w14:paraId="30DF5158" w14:textId="77777777" w:rsidR="00DE6D28" w:rsidRDefault="00D23241">
            <w:pPr>
              <w:jc w:val="right"/>
            </w:pPr>
            <w:r>
              <w:rPr>
                <w:rFonts w:eastAsiaTheme="minorEastAsia"/>
                <w:color w:val="000000" w:themeColor="text1"/>
                <w:szCs w:val="21"/>
              </w:rPr>
              <w:t>-9.21%</w:t>
            </w:r>
          </w:p>
        </w:tc>
        <w:tc>
          <w:tcPr>
            <w:tcW w:w="1291" w:type="dxa"/>
            <w:vAlign w:val="center"/>
          </w:tcPr>
          <w:p w14:paraId="02407550" w14:textId="77777777" w:rsidR="00DE6D28" w:rsidRDefault="00D23241">
            <w:pPr>
              <w:jc w:val="right"/>
            </w:pPr>
            <w:r>
              <w:rPr>
                <w:rFonts w:eastAsiaTheme="minorEastAsia"/>
                <w:color w:val="000000" w:themeColor="text1"/>
                <w:szCs w:val="21"/>
              </w:rPr>
              <w:t>0.00%</w:t>
            </w:r>
          </w:p>
        </w:tc>
      </w:tr>
      <w:tr w:rsidR="00DE6D28" w14:paraId="27FEB5A9" w14:textId="77777777">
        <w:tc>
          <w:tcPr>
            <w:tcW w:w="1290" w:type="dxa"/>
            <w:vAlign w:val="center"/>
          </w:tcPr>
          <w:p w14:paraId="44196297" w14:textId="77777777" w:rsidR="00DE6D28" w:rsidRDefault="00D23241">
            <w:pPr>
              <w:jc w:val="left"/>
            </w:pPr>
            <w:r>
              <w:rPr>
                <w:rFonts w:eastAsiaTheme="minorEastAsia"/>
                <w:color w:val="000000" w:themeColor="text1"/>
                <w:szCs w:val="21"/>
              </w:rPr>
              <w:t>过去五年</w:t>
            </w:r>
          </w:p>
        </w:tc>
        <w:tc>
          <w:tcPr>
            <w:tcW w:w="1291" w:type="dxa"/>
            <w:vAlign w:val="center"/>
          </w:tcPr>
          <w:p w14:paraId="1CE81898" w14:textId="77777777" w:rsidR="00DE6D28" w:rsidRDefault="00D23241">
            <w:pPr>
              <w:jc w:val="right"/>
            </w:pPr>
            <w:r>
              <w:rPr>
                <w:rFonts w:eastAsiaTheme="minorEastAsia"/>
                <w:color w:val="000000" w:themeColor="text1"/>
                <w:szCs w:val="21"/>
              </w:rPr>
              <w:t>12.41%</w:t>
            </w:r>
          </w:p>
        </w:tc>
        <w:tc>
          <w:tcPr>
            <w:tcW w:w="1291" w:type="dxa"/>
            <w:vAlign w:val="center"/>
          </w:tcPr>
          <w:p w14:paraId="0F043B9D" w14:textId="77777777" w:rsidR="00DE6D28" w:rsidRDefault="00D23241">
            <w:pPr>
              <w:jc w:val="right"/>
            </w:pPr>
            <w:r>
              <w:rPr>
                <w:rFonts w:eastAsiaTheme="minorEastAsia"/>
                <w:color w:val="000000" w:themeColor="text1"/>
                <w:szCs w:val="21"/>
              </w:rPr>
              <w:t>0.06%</w:t>
            </w:r>
          </w:p>
        </w:tc>
        <w:tc>
          <w:tcPr>
            <w:tcW w:w="1291" w:type="dxa"/>
            <w:vAlign w:val="center"/>
          </w:tcPr>
          <w:p w14:paraId="306FB8F3" w14:textId="77777777" w:rsidR="00DE6D28" w:rsidRDefault="00D23241">
            <w:pPr>
              <w:jc w:val="right"/>
            </w:pPr>
            <w:r>
              <w:rPr>
                <w:rFonts w:eastAsiaTheme="minorEastAsia"/>
                <w:color w:val="000000" w:themeColor="text1"/>
                <w:szCs w:val="21"/>
              </w:rPr>
              <w:t>25.07%</w:t>
            </w:r>
          </w:p>
        </w:tc>
        <w:tc>
          <w:tcPr>
            <w:tcW w:w="1291" w:type="dxa"/>
            <w:vAlign w:val="center"/>
          </w:tcPr>
          <w:p w14:paraId="4916FD9F" w14:textId="77777777" w:rsidR="00DE6D28" w:rsidRDefault="00D23241">
            <w:pPr>
              <w:jc w:val="right"/>
            </w:pPr>
            <w:r>
              <w:rPr>
                <w:rFonts w:eastAsiaTheme="minorEastAsia"/>
                <w:color w:val="000000" w:themeColor="text1"/>
                <w:szCs w:val="21"/>
              </w:rPr>
              <w:t>0.06%</w:t>
            </w:r>
          </w:p>
        </w:tc>
        <w:tc>
          <w:tcPr>
            <w:tcW w:w="1291" w:type="dxa"/>
            <w:vAlign w:val="center"/>
          </w:tcPr>
          <w:p w14:paraId="120C9136" w14:textId="77777777" w:rsidR="00DE6D28" w:rsidRDefault="00D23241">
            <w:pPr>
              <w:jc w:val="right"/>
            </w:pPr>
            <w:r>
              <w:rPr>
                <w:rFonts w:eastAsiaTheme="minorEastAsia"/>
                <w:color w:val="000000" w:themeColor="text1"/>
                <w:szCs w:val="21"/>
              </w:rPr>
              <w:t>-12.66%</w:t>
            </w:r>
          </w:p>
        </w:tc>
        <w:tc>
          <w:tcPr>
            <w:tcW w:w="1291" w:type="dxa"/>
            <w:vAlign w:val="center"/>
          </w:tcPr>
          <w:p w14:paraId="072B6CEF" w14:textId="77777777" w:rsidR="00DE6D28" w:rsidRDefault="00D23241">
            <w:pPr>
              <w:jc w:val="right"/>
            </w:pPr>
            <w:r>
              <w:rPr>
                <w:rFonts w:eastAsiaTheme="minorEastAsia"/>
                <w:color w:val="000000" w:themeColor="text1"/>
                <w:szCs w:val="21"/>
              </w:rPr>
              <w:t>0.00%</w:t>
            </w:r>
          </w:p>
        </w:tc>
      </w:tr>
      <w:tr w:rsidR="00DE6D28" w14:paraId="027840E8" w14:textId="77777777">
        <w:tc>
          <w:tcPr>
            <w:tcW w:w="1290" w:type="dxa"/>
            <w:vAlign w:val="center"/>
          </w:tcPr>
          <w:p w14:paraId="718BEE02" w14:textId="77777777" w:rsidR="00DE6D28" w:rsidRDefault="00D23241">
            <w:pPr>
              <w:jc w:val="left"/>
            </w:pPr>
            <w:r>
              <w:rPr>
                <w:rFonts w:eastAsiaTheme="minorEastAsia"/>
                <w:color w:val="000000" w:themeColor="text1"/>
                <w:szCs w:val="21"/>
              </w:rPr>
              <w:t>自基金合同生效起至今</w:t>
            </w:r>
          </w:p>
        </w:tc>
        <w:tc>
          <w:tcPr>
            <w:tcW w:w="1291" w:type="dxa"/>
            <w:vAlign w:val="center"/>
          </w:tcPr>
          <w:p w14:paraId="2036A5DC" w14:textId="77777777" w:rsidR="00DE6D28" w:rsidRDefault="00D23241">
            <w:pPr>
              <w:jc w:val="right"/>
            </w:pPr>
            <w:r>
              <w:rPr>
                <w:rFonts w:eastAsiaTheme="minorEastAsia"/>
                <w:color w:val="000000" w:themeColor="text1"/>
                <w:szCs w:val="21"/>
              </w:rPr>
              <w:t>27.10%</w:t>
            </w:r>
          </w:p>
        </w:tc>
        <w:tc>
          <w:tcPr>
            <w:tcW w:w="1291" w:type="dxa"/>
            <w:vAlign w:val="center"/>
          </w:tcPr>
          <w:p w14:paraId="6B85A862" w14:textId="77777777" w:rsidR="00DE6D28" w:rsidRDefault="00D23241">
            <w:pPr>
              <w:jc w:val="right"/>
            </w:pPr>
            <w:r>
              <w:rPr>
                <w:rFonts w:eastAsiaTheme="minorEastAsia"/>
                <w:color w:val="000000" w:themeColor="text1"/>
                <w:szCs w:val="21"/>
              </w:rPr>
              <w:t>0.08%</w:t>
            </w:r>
          </w:p>
        </w:tc>
        <w:tc>
          <w:tcPr>
            <w:tcW w:w="1291" w:type="dxa"/>
            <w:vAlign w:val="center"/>
          </w:tcPr>
          <w:p w14:paraId="0199B20A" w14:textId="77777777" w:rsidR="00DE6D28" w:rsidRDefault="00D23241">
            <w:pPr>
              <w:jc w:val="right"/>
            </w:pPr>
            <w:r>
              <w:rPr>
                <w:rFonts w:eastAsiaTheme="minorEastAsia"/>
                <w:color w:val="000000" w:themeColor="text1"/>
                <w:szCs w:val="21"/>
              </w:rPr>
              <w:t>51.83%</w:t>
            </w:r>
          </w:p>
        </w:tc>
        <w:tc>
          <w:tcPr>
            <w:tcW w:w="1291" w:type="dxa"/>
            <w:vAlign w:val="center"/>
          </w:tcPr>
          <w:p w14:paraId="004FD59F" w14:textId="77777777" w:rsidR="00DE6D28" w:rsidRDefault="00D23241">
            <w:pPr>
              <w:jc w:val="right"/>
            </w:pPr>
            <w:r>
              <w:rPr>
                <w:rFonts w:eastAsiaTheme="minorEastAsia"/>
                <w:color w:val="000000" w:themeColor="text1"/>
                <w:szCs w:val="21"/>
              </w:rPr>
              <w:t>0.07%</w:t>
            </w:r>
          </w:p>
        </w:tc>
        <w:tc>
          <w:tcPr>
            <w:tcW w:w="1291" w:type="dxa"/>
            <w:vAlign w:val="center"/>
          </w:tcPr>
          <w:p w14:paraId="11C2D9C8" w14:textId="77777777" w:rsidR="00DE6D28" w:rsidRDefault="00D23241">
            <w:pPr>
              <w:jc w:val="right"/>
            </w:pPr>
            <w:r>
              <w:rPr>
                <w:rFonts w:eastAsiaTheme="minorEastAsia"/>
                <w:color w:val="000000" w:themeColor="text1"/>
                <w:szCs w:val="21"/>
              </w:rPr>
              <w:t>-24.73%</w:t>
            </w:r>
          </w:p>
        </w:tc>
        <w:tc>
          <w:tcPr>
            <w:tcW w:w="1291" w:type="dxa"/>
            <w:vAlign w:val="center"/>
          </w:tcPr>
          <w:p w14:paraId="7B29824A" w14:textId="77777777" w:rsidR="00DE6D28" w:rsidRDefault="00D23241">
            <w:pPr>
              <w:jc w:val="right"/>
            </w:pPr>
            <w:r>
              <w:rPr>
                <w:rFonts w:eastAsiaTheme="minorEastAsia"/>
                <w:color w:val="000000" w:themeColor="text1"/>
                <w:szCs w:val="21"/>
              </w:rPr>
              <w:t>0.01%</w:t>
            </w:r>
          </w:p>
        </w:tc>
      </w:tr>
    </w:tbl>
    <w:p w14:paraId="5A5EA6AC"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proofErr w:type="gramStart"/>
      <w:r w:rsidR="006F1F9D">
        <w:rPr>
          <w:rFonts w:eastAsiaTheme="minorEastAsia"/>
          <w:b/>
          <w:color w:val="000000" w:themeColor="text1"/>
          <w:kern w:val="0"/>
          <w:szCs w:val="21"/>
        </w:rPr>
        <w:t>摩根纯债丰利</w:t>
      </w:r>
      <w:proofErr w:type="gramEnd"/>
      <w:r w:rsidR="006F1F9D">
        <w:rPr>
          <w:rFonts w:eastAsiaTheme="minorEastAsia"/>
          <w:b/>
          <w:color w:val="000000" w:themeColor="text1"/>
          <w:kern w:val="0"/>
          <w:szCs w:val="21"/>
        </w:rPr>
        <w:t>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763FCAF1" w14:textId="77777777" w:rsidTr="00B23323">
        <w:tc>
          <w:tcPr>
            <w:tcW w:w="1290" w:type="dxa"/>
            <w:vAlign w:val="center"/>
          </w:tcPr>
          <w:p w14:paraId="7C2CFCA2"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64E4D620"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39F76C75"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64088E62"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374B2330"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5891BD41"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6A165821"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DE6D28" w14:paraId="3C31875A" w14:textId="77777777">
        <w:tc>
          <w:tcPr>
            <w:tcW w:w="1290" w:type="dxa"/>
            <w:vAlign w:val="center"/>
          </w:tcPr>
          <w:p w14:paraId="08598168" w14:textId="77777777" w:rsidR="00DE6D28" w:rsidRDefault="00D23241">
            <w:pPr>
              <w:jc w:val="left"/>
            </w:pPr>
            <w:r>
              <w:rPr>
                <w:rFonts w:eastAsiaTheme="minorEastAsia"/>
                <w:color w:val="000000" w:themeColor="text1"/>
                <w:szCs w:val="21"/>
              </w:rPr>
              <w:t>过去三个月</w:t>
            </w:r>
          </w:p>
        </w:tc>
        <w:tc>
          <w:tcPr>
            <w:tcW w:w="1291" w:type="dxa"/>
            <w:vAlign w:val="center"/>
          </w:tcPr>
          <w:p w14:paraId="6CC61E03" w14:textId="77777777" w:rsidR="00DE6D28" w:rsidRDefault="00D23241">
            <w:pPr>
              <w:jc w:val="right"/>
            </w:pPr>
            <w:r>
              <w:rPr>
                <w:rFonts w:eastAsiaTheme="minorEastAsia"/>
                <w:color w:val="000000" w:themeColor="text1"/>
                <w:szCs w:val="21"/>
              </w:rPr>
              <w:t>1.15%</w:t>
            </w:r>
          </w:p>
        </w:tc>
        <w:tc>
          <w:tcPr>
            <w:tcW w:w="1291" w:type="dxa"/>
            <w:vAlign w:val="center"/>
          </w:tcPr>
          <w:p w14:paraId="077A51E1" w14:textId="77777777" w:rsidR="00DE6D28" w:rsidRDefault="00D23241">
            <w:pPr>
              <w:jc w:val="right"/>
            </w:pPr>
            <w:r>
              <w:rPr>
                <w:rFonts w:eastAsiaTheme="minorEastAsia"/>
                <w:color w:val="000000" w:themeColor="text1"/>
                <w:szCs w:val="21"/>
              </w:rPr>
              <w:t>0.05%</w:t>
            </w:r>
          </w:p>
        </w:tc>
        <w:tc>
          <w:tcPr>
            <w:tcW w:w="1291" w:type="dxa"/>
            <w:vAlign w:val="center"/>
          </w:tcPr>
          <w:p w14:paraId="7AA3D0B8" w14:textId="77777777" w:rsidR="00DE6D28" w:rsidRDefault="00D23241">
            <w:pPr>
              <w:jc w:val="right"/>
            </w:pPr>
            <w:r>
              <w:rPr>
                <w:rFonts w:eastAsiaTheme="minorEastAsia"/>
                <w:color w:val="000000" w:themeColor="text1"/>
                <w:szCs w:val="21"/>
              </w:rPr>
              <w:t>1.74%</w:t>
            </w:r>
          </w:p>
        </w:tc>
        <w:tc>
          <w:tcPr>
            <w:tcW w:w="1291" w:type="dxa"/>
            <w:vAlign w:val="center"/>
          </w:tcPr>
          <w:p w14:paraId="798B1495" w14:textId="77777777" w:rsidR="00DE6D28" w:rsidRDefault="00D23241">
            <w:pPr>
              <w:jc w:val="right"/>
            </w:pPr>
            <w:r>
              <w:rPr>
                <w:rFonts w:eastAsiaTheme="minorEastAsia"/>
                <w:color w:val="000000" w:themeColor="text1"/>
                <w:szCs w:val="21"/>
              </w:rPr>
              <w:t>0.07%</w:t>
            </w:r>
          </w:p>
        </w:tc>
        <w:tc>
          <w:tcPr>
            <w:tcW w:w="1291" w:type="dxa"/>
            <w:vAlign w:val="center"/>
          </w:tcPr>
          <w:p w14:paraId="67A18E24" w14:textId="77777777" w:rsidR="00DE6D28" w:rsidRDefault="00D23241">
            <w:pPr>
              <w:jc w:val="right"/>
            </w:pPr>
            <w:r>
              <w:rPr>
                <w:rFonts w:eastAsiaTheme="minorEastAsia"/>
                <w:color w:val="000000" w:themeColor="text1"/>
                <w:szCs w:val="21"/>
              </w:rPr>
              <w:t>-0.59%</w:t>
            </w:r>
          </w:p>
        </w:tc>
        <w:tc>
          <w:tcPr>
            <w:tcW w:w="1291" w:type="dxa"/>
            <w:vAlign w:val="center"/>
          </w:tcPr>
          <w:p w14:paraId="3BD6D837" w14:textId="77777777" w:rsidR="00DE6D28" w:rsidRDefault="00D23241">
            <w:pPr>
              <w:jc w:val="right"/>
            </w:pPr>
            <w:r>
              <w:rPr>
                <w:rFonts w:eastAsiaTheme="minorEastAsia"/>
                <w:color w:val="000000" w:themeColor="text1"/>
                <w:szCs w:val="21"/>
              </w:rPr>
              <w:t>-0.02%</w:t>
            </w:r>
          </w:p>
        </w:tc>
      </w:tr>
      <w:tr w:rsidR="00DE6D28" w14:paraId="478FF857" w14:textId="77777777">
        <w:tc>
          <w:tcPr>
            <w:tcW w:w="1290" w:type="dxa"/>
            <w:vAlign w:val="center"/>
          </w:tcPr>
          <w:p w14:paraId="53226B93" w14:textId="77777777" w:rsidR="00DE6D28" w:rsidRDefault="00D23241">
            <w:pPr>
              <w:jc w:val="left"/>
            </w:pPr>
            <w:r>
              <w:rPr>
                <w:rFonts w:eastAsiaTheme="minorEastAsia"/>
                <w:color w:val="000000" w:themeColor="text1"/>
                <w:szCs w:val="21"/>
              </w:rPr>
              <w:t>过去六个月</w:t>
            </w:r>
          </w:p>
        </w:tc>
        <w:tc>
          <w:tcPr>
            <w:tcW w:w="1291" w:type="dxa"/>
            <w:vAlign w:val="center"/>
          </w:tcPr>
          <w:p w14:paraId="6A85C51C" w14:textId="77777777" w:rsidR="00DE6D28" w:rsidRDefault="00D23241">
            <w:pPr>
              <w:jc w:val="right"/>
            </w:pPr>
            <w:r>
              <w:rPr>
                <w:rFonts w:eastAsiaTheme="minorEastAsia"/>
                <w:color w:val="000000" w:themeColor="text1"/>
                <w:szCs w:val="21"/>
              </w:rPr>
              <w:t>-</w:t>
            </w:r>
          </w:p>
        </w:tc>
        <w:tc>
          <w:tcPr>
            <w:tcW w:w="1291" w:type="dxa"/>
            <w:vAlign w:val="center"/>
          </w:tcPr>
          <w:p w14:paraId="28E7B3CA" w14:textId="77777777" w:rsidR="00DE6D28" w:rsidRDefault="00D23241">
            <w:pPr>
              <w:jc w:val="right"/>
            </w:pPr>
            <w:r>
              <w:rPr>
                <w:rFonts w:eastAsiaTheme="minorEastAsia"/>
                <w:color w:val="000000" w:themeColor="text1"/>
                <w:szCs w:val="21"/>
              </w:rPr>
              <w:t>-</w:t>
            </w:r>
          </w:p>
        </w:tc>
        <w:tc>
          <w:tcPr>
            <w:tcW w:w="1291" w:type="dxa"/>
            <w:vAlign w:val="center"/>
          </w:tcPr>
          <w:p w14:paraId="5BE92672" w14:textId="77777777" w:rsidR="00DE6D28" w:rsidRDefault="00D23241">
            <w:pPr>
              <w:jc w:val="right"/>
            </w:pPr>
            <w:r>
              <w:rPr>
                <w:rFonts w:eastAsiaTheme="minorEastAsia"/>
                <w:color w:val="000000" w:themeColor="text1"/>
                <w:szCs w:val="21"/>
              </w:rPr>
              <w:t>-</w:t>
            </w:r>
          </w:p>
        </w:tc>
        <w:tc>
          <w:tcPr>
            <w:tcW w:w="1291" w:type="dxa"/>
            <w:vAlign w:val="center"/>
          </w:tcPr>
          <w:p w14:paraId="1A74C9FE" w14:textId="77777777" w:rsidR="00DE6D28" w:rsidRDefault="00D23241">
            <w:pPr>
              <w:jc w:val="right"/>
            </w:pPr>
            <w:r>
              <w:rPr>
                <w:rFonts w:eastAsiaTheme="minorEastAsia"/>
                <w:color w:val="000000" w:themeColor="text1"/>
                <w:szCs w:val="21"/>
              </w:rPr>
              <w:t>-</w:t>
            </w:r>
          </w:p>
        </w:tc>
        <w:tc>
          <w:tcPr>
            <w:tcW w:w="1291" w:type="dxa"/>
            <w:vAlign w:val="center"/>
          </w:tcPr>
          <w:p w14:paraId="0D75E24E" w14:textId="77777777" w:rsidR="00DE6D28" w:rsidRDefault="00D23241">
            <w:pPr>
              <w:jc w:val="right"/>
            </w:pPr>
            <w:r>
              <w:rPr>
                <w:rFonts w:eastAsiaTheme="minorEastAsia"/>
                <w:color w:val="000000" w:themeColor="text1"/>
                <w:szCs w:val="21"/>
              </w:rPr>
              <w:t>-</w:t>
            </w:r>
          </w:p>
        </w:tc>
        <w:tc>
          <w:tcPr>
            <w:tcW w:w="1291" w:type="dxa"/>
            <w:vAlign w:val="center"/>
          </w:tcPr>
          <w:p w14:paraId="7E777351" w14:textId="77777777" w:rsidR="00DE6D28" w:rsidRDefault="00D23241">
            <w:pPr>
              <w:jc w:val="right"/>
            </w:pPr>
            <w:r>
              <w:rPr>
                <w:rFonts w:eastAsiaTheme="minorEastAsia"/>
                <w:color w:val="000000" w:themeColor="text1"/>
                <w:szCs w:val="21"/>
              </w:rPr>
              <w:t>-</w:t>
            </w:r>
          </w:p>
        </w:tc>
      </w:tr>
      <w:tr w:rsidR="00DE6D28" w14:paraId="6E18BA3A" w14:textId="77777777">
        <w:tc>
          <w:tcPr>
            <w:tcW w:w="1290" w:type="dxa"/>
            <w:vAlign w:val="center"/>
          </w:tcPr>
          <w:p w14:paraId="7936FCA4" w14:textId="77777777" w:rsidR="00DE6D28" w:rsidRDefault="00D23241">
            <w:pPr>
              <w:jc w:val="left"/>
            </w:pPr>
            <w:r>
              <w:rPr>
                <w:rFonts w:eastAsiaTheme="minorEastAsia"/>
                <w:color w:val="000000" w:themeColor="text1"/>
                <w:szCs w:val="21"/>
              </w:rPr>
              <w:t>过去一年</w:t>
            </w:r>
          </w:p>
        </w:tc>
        <w:tc>
          <w:tcPr>
            <w:tcW w:w="1291" w:type="dxa"/>
            <w:vAlign w:val="center"/>
          </w:tcPr>
          <w:p w14:paraId="4D871404" w14:textId="77777777" w:rsidR="00DE6D28" w:rsidRDefault="00D23241">
            <w:pPr>
              <w:jc w:val="right"/>
            </w:pPr>
            <w:r>
              <w:rPr>
                <w:rFonts w:eastAsiaTheme="minorEastAsia"/>
                <w:color w:val="000000" w:themeColor="text1"/>
                <w:szCs w:val="21"/>
              </w:rPr>
              <w:t>-</w:t>
            </w:r>
          </w:p>
        </w:tc>
        <w:tc>
          <w:tcPr>
            <w:tcW w:w="1291" w:type="dxa"/>
            <w:vAlign w:val="center"/>
          </w:tcPr>
          <w:p w14:paraId="5217C1C8" w14:textId="77777777" w:rsidR="00DE6D28" w:rsidRDefault="00D23241">
            <w:pPr>
              <w:jc w:val="right"/>
            </w:pPr>
            <w:r>
              <w:rPr>
                <w:rFonts w:eastAsiaTheme="minorEastAsia"/>
                <w:color w:val="000000" w:themeColor="text1"/>
                <w:szCs w:val="21"/>
              </w:rPr>
              <w:t>-</w:t>
            </w:r>
          </w:p>
        </w:tc>
        <w:tc>
          <w:tcPr>
            <w:tcW w:w="1291" w:type="dxa"/>
            <w:vAlign w:val="center"/>
          </w:tcPr>
          <w:p w14:paraId="7471F7CF" w14:textId="77777777" w:rsidR="00DE6D28" w:rsidRDefault="00D23241">
            <w:pPr>
              <w:jc w:val="right"/>
            </w:pPr>
            <w:r>
              <w:rPr>
                <w:rFonts w:eastAsiaTheme="minorEastAsia"/>
                <w:color w:val="000000" w:themeColor="text1"/>
                <w:szCs w:val="21"/>
              </w:rPr>
              <w:t>-</w:t>
            </w:r>
          </w:p>
        </w:tc>
        <w:tc>
          <w:tcPr>
            <w:tcW w:w="1291" w:type="dxa"/>
            <w:vAlign w:val="center"/>
          </w:tcPr>
          <w:p w14:paraId="533CBE74" w14:textId="77777777" w:rsidR="00DE6D28" w:rsidRDefault="00D23241">
            <w:pPr>
              <w:jc w:val="right"/>
            </w:pPr>
            <w:r>
              <w:rPr>
                <w:rFonts w:eastAsiaTheme="minorEastAsia"/>
                <w:color w:val="000000" w:themeColor="text1"/>
                <w:szCs w:val="21"/>
              </w:rPr>
              <w:t>-</w:t>
            </w:r>
          </w:p>
        </w:tc>
        <w:tc>
          <w:tcPr>
            <w:tcW w:w="1291" w:type="dxa"/>
            <w:vAlign w:val="center"/>
          </w:tcPr>
          <w:p w14:paraId="5C634487" w14:textId="77777777" w:rsidR="00DE6D28" w:rsidRDefault="00D23241">
            <w:pPr>
              <w:jc w:val="right"/>
            </w:pPr>
            <w:r>
              <w:rPr>
                <w:rFonts w:eastAsiaTheme="minorEastAsia"/>
                <w:color w:val="000000" w:themeColor="text1"/>
                <w:szCs w:val="21"/>
              </w:rPr>
              <w:t>-</w:t>
            </w:r>
          </w:p>
        </w:tc>
        <w:tc>
          <w:tcPr>
            <w:tcW w:w="1291" w:type="dxa"/>
            <w:vAlign w:val="center"/>
          </w:tcPr>
          <w:p w14:paraId="6748C775" w14:textId="77777777" w:rsidR="00DE6D28" w:rsidRDefault="00D23241">
            <w:pPr>
              <w:jc w:val="right"/>
            </w:pPr>
            <w:r>
              <w:rPr>
                <w:rFonts w:eastAsiaTheme="minorEastAsia"/>
                <w:color w:val="000000" w:themeColor="text1"/>
                <w:szCs w:val="21"/>
              </w:rPr>
              <w:t>-</w:t>
            </w:r>
          </w:p>
        </w:tc>
      </w:tr>
      <w:tr w:rsidR="00DE6D28" w14:paraId="414A3E82" w14:textId="77777777">
        <w:tc>
          <w:tcPr>
            <w:tcW w:w="1290" w:type="dxa"/>
            <w:vAlign w:val="center"/>
          </w:tcPr>
          <w:p w14:paraId="45AD4466" w14:textId="77777777" w:rsidR="00DE6D28" w:rsidRDefault="00D23241">
            <w:pPr>
              <w:jc w:val="left"/>
            </w:pPr>
            <w:r>
              <w:rPr>
                <w:rFonts w:eastAsiaTheme="minorEastAsia"/>
                <w:color w:val="000000" w:themeColor="text1"/>
                <w:szCs w:val="21"/>
              </w:rPr>
              <w:t>过去三年</w:t>
            </w:r>
          </w:p>
        </w:tc>
        <w:tc>
          <w:tcPr>
            <w:tcW w:w="1291" w:type="dxa"/>
            <w:vAlign w:val="center"/>
          </w:tcPr>
          <w:p w14:paraId="2325C450" w14:textId="77777777" w:rsidR="00DE6D28" w:rsidRDefault="00D23241">
            <w:pPr>
              <w:jc w:val="right"/>
            </w:pPr>
            <w:r>
              <w:rPr>
                <w:rFonts w:eastAsiaTheme="minorEastAsia"/>
                <w:color w:val="000000" w:themeColor="text1"/>
                <w:szCs w:val="21"/>
              </w:rPr>
              <w:t>-</w:t>
            </w:r>
          </w:p>
        </w:tc>
        <w:tc>
          <w:tcPr>
            <w:tcW w:w="1291" w:type="dxa"/>
            <w:vAlign w:val="center"/>
          </w:tcPr>
          <w:p w14:paraId="7AE900EF" w14:textId="77777777" w:rsidR="00DE6D28" w:rsidRDefault="00D23241">
            <w:pPr>
              <w:jc w:val="right"/>
            </w:pPr>
            <w:r>
              <w:rPr>
                <w:rFonts w:eastAsiaTheme="minorEastAsia"/>
                <w:color w:val="000000" w:themeColor="text1"/>
                <w:szCs w:val="21"/>
              </w:rPr>
              <w:t>-</w:t>
            </w:r>
          </w:p>
        </w:tc>
        <w:tc>
          <w:tcPr>
            <w:tcW w:w="1291" w:type="dxa"/>
            <w:vAlign w:val="center"/>
          </w:tcPr>
          <w:p w14:paraId="57D5C2CA" w14:textId="77777777" w:rsidR="00DE6D28" w:rsidRDefault="00D23241">
            <w:pPr>
              <w:jc w:val="right"/>
            </w:pPr>
            <w:r>
              <w:rPr>
                <w:rFonts w:eastAsiaTheme="minorEastAsia"/>
                <w:color w:val="000000" w:themeColor="text1"/>
                <w:szCs w:val="21"/>
              </w:rPr>
              <w:t>-</w:t>
            </w:r>
          </w:p>
        </w:tc>
        <w:tc>
          <w:tcPr>
            <w:tcW w:w="1291" w:type="dxa"/>
            <w:vAlign w:val="center"/>
          </w:tcPr>
          <w:p w14:paraId="3E9EA3DD" w14:textId="77777777" w:rsidR="00DE6D28" w:rsidRDefault="00D23241">
            <w:pPr>
              <w:jc w:val="right"/>
            </w:pPr>
            <w:r>
              <w:rPr>
                <w:rFonts w:eastAsiaTheme="minorEastAsia"/>
                <w:color w:val="000000" w:themeColor="text1"/>
                <w:szCs w:val="21"/>
              </w:rPr>
              <w:t>-</w:t>
            </w:r>
          </w:p>
        </w:tc>
        <w:tc>
          <w:tcPr>
            <w:tcW w:w="1291" w:type="dxa"/>
            <w:vAlign w:val="center"/>
          </w:tcPr>
          <w:p w14:paraId="67011F03" w14:textId="77777777" w:rsidR="00DE6D28" w:rsidRDefault="00D23241">
            <w:pPr>
              <w:jc w:val="right"/>
            </w:pPr>
            <w:r>
              <w:rPr>
                <w:rFonts w:eastAsiaTheme="minorEastAsia"/>
                <w:color w:val="000000" w:themeColor="text1"/>
                <w:szCs w:val="21"/>
              </w:rPr>
              <w:t>-</w:t>
            </w:r>
          </w:p>
        </w:tc>
        <w:tc>
          <w:tcPr>
            <w:tcW w:w="1291" w:type="dxa"/>
            <w:vAlign w:val="center"/>
          </w:tcPr>
          <w:p w14:paraId="310FAC1A" w14:textId="77777777" w:rsidR="00DE6D28" w:rsidRDefault="00D23241">
            <w:pPr>
              <w:jc w:val="right"/>
            </w:pPr>
            <w:r>
              <w:rPr>
                <w:rFonts w:eastAsiaTheme="minorEastAsia"/>
                <w:color w:val="000000" w:themeColor="text1"/>
                <w:szCs w:val="21"/>
              </w:rPr>
              <w:t>-</w:t>
            </w:r>
          </w:p>
        </w:tc>
      </w:tr>
      <w:tr w:rsidR="00DE6D28" w14:paraId="3153DF0D" w14:textId="77777777">
        <w:tc>
          <w:tcPr>
            <w:tcW w:w="1290" w:type="dxa"/>
            <w:vAlign w:val="center"/>
          </w:tcPr>
          <w:p w14:paraId="584CCBA1" w14:textId="77777777" w:rsidR="00DE6D28" w:rsidRDefault="00D23241">
            <w:pPr>
              <w:jc w:val="left"/>
            </w:pPr>
            <w:r>
              <w:rPr>
                <w:rFonts w:eastAsiaTheme="minorEastAsia"/>
                <w:color w:val="000000" w:themeColor="text1"/>
                <w:szCs w:val="21"/>
              </w:rPr>
              <w:t>过去五年</w:t>
            </w:r>
          </w:p>
        </w:tc>
        <w:tc>
          <w:tcPr>
            <w:tcW w:w="1291" w:type="dxa"/>
            <w:vAlign w:val="center"/>
          </w:tcPr>
          <w:p w14:paraId="152CC77E" w14:textId="77777777" w:rsidR="00DE6D28" w:rsidRDefault="00D23241">
            <w:pPr>
              <w:jc w:val="right"/>
            </w:pPr>
            <w:r>
              <w:rPr>
                <w:rFonts w:eastAsiaTheme="minorEastAsia"/>
                <w:color w:val="000000" w:themeColor="text1"/>
                <w:szCs w:val="21"/>
              </w:rPr>
              <w:t>-</w:t>
            </w:r>
          </w:p>
        </w:tc>
        <w:tc>
          <w:tcPr>
            <w:tcW w:w="1291" w:type="dxa"/>
            <w:vAlign w:val="center"/>
          </w:tcPr>
          <w:p w14:paraId="71EDE4BE" w14:textId="77777777" w:rsidR="00DE6D28" w:rsidRDefault="00D23241">
            <w:pPr>
              <w:jc w:val="right"/>
            </w:pPr>
            <w:r>
              <w:rPr>
                <w:rFonts w:eastAsiaTheme="minorEastAsia"/>
                <w:color w:val="000000" w:themeColor="text1"/>
                <w:szCs w:val="21"/>
              </w:rPr>
              <w:t>-</w:t>
            </w:r>
          </w:p>
        </w:tc>
        <w:tc>
          <w:tcPr>
            <w:tcW w:w="1291" w:type="dxa"/>
            <w:vAlign w:val="center"/>
          </w:tcPr>
          <w:p w14:paraId="4E6D4129" w14:textId="77777777" w:rsidR="00DE6D28" w:rsidRDefault="00D23241">
            <w:pPr>
              <w:jc w:val="right"/>
            </w:pPr>
            <w:r>
              <w:rPr>
                <w:rFonts w:eastAsiaTheme="minorEastAsia"/>
                <w:color w:val="000000" w:themeColor="text1"/>
                <w:szCs w:val="21"/>
              </w:rPr>
              <w:t>-</w:t>
            </w:r>
          </w:p>
        </w:tc>
        <w:tc>
          <w:tcPr>
            <w:tcW w:w="1291" w:type="dxa"/>
            <w:vAlign w:val="center"/>
          </w:tcPr>
          <w:p w14:paraId="5069B0B6" w14:textId="77777777" w:rsidR="00DE6D28" w:rsidRDefault="00D23241">
            <w:pPr>
              <w:jc w:val="right"/>
            </w:pPr>
            <w:r>
              <w:rPr>
                <w:rFonts w:eastAsiaTheme="minorEastAsia"/>
                <w:color w:val="000000" w:themeColor="text1"/>
                <w:szCs w:val="21"/>
              </w:rPr>
              <w:t>-</w:t>
            </w:r>
          </w:p>
        </w:tc>
        <w:tc>
          <w:tcPr>
            <w:tcW w:w="1291" w:type="dxa"/>
            <w:vAlign w:val="center"/>
          </w:tcPr>
          <w:p w14:paraId="01AD28C3" w14:textId="77777777" w:rsidR="00DE6D28" w:rsidRDefault="00D23241">
            <w:pPr>
              <w:jc w:val="right"/>
            </w:pPr>
            <w:r>
              <w:rPr>
                <w:rFonts w:eastAsiaTheme="minorEastAsia"/>
                <w:color w:val="000000" w:themeColor="text1"/>
                <w:szCs w:val="21"/>
              </w:rPr>
              <w:t>-</w:t>
            </w:r>
          </w:p>
        </w:tc>
        <w:tc>
          <w:tcPr>
            <w:tcW w:w="1291" w:type="dxa"/>
            <w:vAlign w:val="center"/>
          </w:tcPr>
          <w:p w14:paraId="6B0170DE" w14:textId="77777777" w:rsidR="00DE6D28" w:rsidRDefault="00D23241">
            <w:pPr>
              <w:jc w:val="right"/>
            </w:pPr>
            <w:r>
              <w:rPr>
                <w:rFonts w:eastAsiaTheme="minorEastAsia"/>
                <w:color w:val="000000" w:themeColor="text1"/>
                <w:szCs w:val="21"/>
              </w:rPr>
              <w:t>-</w:t>
            </w:r>
          </w:p>
        </w:tc>
      </w:tr>
      <w:tr w:rsidR="00DE6D28" w14:paraId="7E490C7C" w14:textId="77777777">
        <w:tc>
          <w:tcPr>
            <w:tcW w:w="1290" w:type="dxa"/>
            <w:vAlign w:val="center"/>
          </w:tcPr>
          <w:p w14:paraId="79A0BD93" w14:textId="77777777" w:rsidR="00DE6D28" w:rsidRDefault="00D23241">
            <w:pPr>
              <w:jc w:val="left"/>
            </w:pPr>
            <w:r>
              <w:rPr>
                <w:rFonts w:eastAsiaTheme="minorEastAsia"/>
                <w:color w:val="000000" w:themeColor="text1"/>
                <w:szCs w:val="21"/>
              </w:rPr>
              <w:t>自基金合同生效起至今</w:t>
            </w:r>
          </w:p>
        </w:tc>
        <w:tc>
          <w:tcPr>
            <w:tcW w:w="1291" w:type="dxa"/>
            <w:vAlign w:val="center"/>
          </w:tcPr>
          <w:p w14:paraId="2695B806" w14:textId="77777777" w:rsidR="00DE6D28" w:rsidRDefault="00D23241">
            <w:pPr>
              <w:jc w:val="right"/>
            </w:pPr>
            <w:r>
              <w:rPr>
                <w:rFonts w:eastAsiaTheme="minorEastAsia"/>
                <w:color w:val="000000" w:themeColor="text1"/>
                <w:szCs w:val="21"/>
              </w:rPr>
              <w:t>1.10%</w:t>
            </w:r>
          </w:p>
        </w:tc>
        <w:tc>
          <w:tcPr>
            <w:tcW w:w="1291" w:type="dxa"/>
            <w:vAlign w:val="center"/>
          </w:tcPr>
          <w:p w14:paraId="58C18F53" w14:textId="77777777" w:rsidR="00DE6D28" w:rsidRDefault="00D23241">
            <w:pPr>
              <w:jc w:val="right"/>
            </w:pPr>
            <w:r>
              <w:rPr>
                <w:rFonts w:eastAsiaTheme="minorEastAsia"/>
                <w:color w:val="000000" w:themeColor="text1"/>
                <w:szCs w:val="21"/>
              </w:rPr>
              <w:t>0.05%</w:t>
            </w:r>
          </w:p>
        </w:tc>
        <w:tc>
          <w:tcPr>
            <w:tcW w:w="1291" w:type="dxa"/>
            <w:vAlign w:val="center"/>
          </w:tcPr>
          <w:p w14:paraId="14A4587E" w14:textId="77777777" w:rsidR="00DE6D28" w:rsidRDefault="00D23241">
            <w:pPr>
              <w:jc w:val="right"/>
            </w:pPr>
            <w:r>
              <w:rPr>
                <w:rFonts w:eastAsiaTheme="minorEastAsia"/>
                <w:color w:val="000000" w:themeColor="text1"/>
                <w:szCs w:val="21"/>
              </w:rPr>
              <w:t>1.81%</w:t>
            </w:r>
          </w:p>
        </w:tc>
        <w:tc>
          <w:tcPr>
            <w:tcW w:w="1291" w:type="dxa"/>
            <w:vAlign w:val="center"/>
          </w:tcPr>
          <w:p w14:paraId="7FE39E7B" w14:textId="77777777" w:rsidR="00DE6D28" w:rsidRDefault="00D23241">
            <w:pPr>
              <w:jc w:val="right"/>
            </w:pPr>
            <w:r>
              <w:rPr>
                <w:rFonts w:eastAsiaTheme="minorEastAsia"/>
                <w:color w:val="000000" w:themeColor="text1"/>
                <w:szCs w:val="21"/>
              </w:rPr>
              <w:t>0.07%</w:t>
            </w:r>
          </w:p>
        </w:tc>
        <w:tc>
          <w:tcPr>
            <w:tcW w:w="1291" w:type="dxa"/>
            <w:vAlign w:val="center"/>
          </w:tcPr>
          <w:p w14:paraId="5A43C42D" w14:textId="77777777" w:rsidR="00DE6D28" w:rsidRDefault="00D23241">
            <w:pPr>
              <w:jc w:val="right"/>
            </w:pPr>
            <w:r>
              <w:rPr>
                <w:rFonts w:eastAsiaTheme="minorEastAsia"/>
                <w:color w:val="000000" w:themeColor="text1"/>
                <w:szCs w:val="21"/>
              </w:rPr>
              <w:t>-0.71%</w:t>
            </w:r>
          </w:p>
        </w:tc>
        <w:tc>
          <w:tcPr>
            <w:tcW w:w="1291" w:type="dxa"/>
            <w:vAlign w:val="center"/>
          </w:tcPr>
          <w:p w14:paraId="74C9D6F9" w14:textId="77777777" w:rsidR="00DE6D28" w:rsidRDefault="00D23241">
            <w:pPr>
              <w:jc w:val="right"/>
            </w:pPr>
            <w:r>
              <w:rPr>
                <w:rFonts w:eastAsiaTheme="minorEastAsia"/>
                <w:color w:val="000000" w:themeColor="text1"/>
                <w:szCs w:val="21"/>
              </w:rPr>
              <w:t>-0.02%</w:t>
            </w:r>
          </w:p>
        </w:tc>
      </w:tr>
    </w:tbl>
    <w:p w14:paraId="5370DEF7"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2C26958E" w14:textId="77777777" w:rsidR="005E6DF3" w:rsidRPr="0073597F" w:rsidRDefault="005C671B">
      <w:pPr>
        <w:spacing w:line="360" w:lineRule="auto"/>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债券型证券投资基金</w:t>
      </w:r>
    </w:p>
    <w:p w14:paraId="5F442AAC"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5525EA44"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6</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2A990E1E"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w:t>
      </w: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r w:rsidRPr="0073597F">
        <w:rPr>
          <w:rFonts w:eastAsiaTheme="minorEastAsia"/>
          <w:color w:val="000000" w:themeColor="text1"/>
          <w:szCs w:val="21"/>
        </w:rPr>
        <w:t>：</w:t>
      </w:r>
    </w:p>
    <w:p w14:paraId="4CBF5F74"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614CCFD" wp14:editId="3708C1A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4BDB4B6"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14:paraId="5CCAA692"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proofErr w:type="gramStart"/>
      <w:r>
        <w:rPr>
          <w:rFonts w:eastAsiaTheme="minorEastAsia"/>
          <w:color w:val="000000" w:themeColor="text1"/>
          <w:szCs w:val="21"/>
        </w:rPr>
        <w:t>个</w:t>
      </w:r>
      <w:proofErr w:type="gramEnd"/>
      <w:r>
        <w:rPr>
          <w:rFonts w:eastAsiaTheme="minorEastAsia"/>
          <w:color w:val="000000" w:themeColor="text1"/>
          <w:szCs w:val="21"/>
        </w:rPr>
        <w:t>月，建仓期结束时资产配置比例符合本</w:t>
      </w:r>
      <w:proofErr w:type="gramStart"/>
      <w:r>
        <w:rPr>
          <w:rFonts w:eastAsiaTheme="minorEastAsia"/>
          <w:color w:val="000000" w:themeColor="text1"/>
          <w:szCs w:val="21"/>
        </w:rPr>
        <w:t>基金基金</w:t>
      </w:r>
      <w:proofErr w:type="gramEnd"/>
      <w:r>
        <w:rPr>
          <w:rFonts w:eastAsiaTheme="minorEastAsia"/>
          <w:color w:val="000000" w:themeColor="text1"/>
          <w:szCs w:val="21"/>
        </w:rPr>
        <w:t>合同规定。</w:t>
      </w:r>
    </w:p>
    <w:p w14:paraId="656523ED"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2015</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10</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中信标普全债指数</w:t>
      </w:r>
      <w:r w:rsidRPr="0073597F">
        <w:rPr>
          <w:rFonts w:eastAsiaTheme="minorEastAsia"/>
          <w:color w:val="000000" w:themeColor="text1"/>
          <w:szCs w:val="21"/>
        </w:rPr>
        <w:t>”</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中证综合债券指数收益率</w:t>
      </w:r>
      <w:r w:rsidRPr="0073597F">
        <w:rPr>
          <w:rFonts w:eastAsiaTheme="minorEastAsia"/>
          <w:color w:val="000000" w:themeColor="text1"/>
          <w:szCs w:val="21"/>
        </w:rPr>
        <w:t>”</w:t>
      </w:r>
      <w:r w:rsidRPr="0073597F">
        <w:rPr>
          <w:rFonts w:eastAsiaTheme="minorEastAsia"/>
          <w:color w:val="000000" w:themeColor="text1"/>
          <w:szCs w:val="21"/>
        </w:rPr>
        <w:t>。</w:t>
      </w:r>
    </w:p>
    <w:p w14:paraId="742022B8"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w:t>
      </w: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r w:rsidRPr="0073597F">
        <w:rPr>
          <w:rFonts w:eastAsiaTheme="minorEastAsia"/>
          <w:color w:val="000000" w:themeColor="text1"/>
          <w:szCs w:val="21"/>
        </w:rPr>
        <w:t>：</w:t>
      </w:r>
    </w:p>
    <w:p w14:paraId="0FE0F511"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65F90E69" wp14:editId="1EAAB29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4264958"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14:paraId="0BD88957"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proofErr w:type="gramStart"/>
      <w:r>
        <w:rPr>
          <w:rFonts w:eastAsiaTheme="minorEastAsia"/>
          <w:color w:val="000000" w:themeColor="text1"/>
          <w:szCs w:val="21"/>
        </w:rPr>
        <w:t>个</w:t>
      </w:r>
      <w:proofErr w:type="gramEnd"/>
      <w:r>
        <w:rPr>
          <w:rFonts w:eastAsiaTheme="minorEastAsia"/>
          <w:color w:val="000000" w:themeColor="text1"/>
          <w:szCs w:val="21"/>
        </w:rPr>
        <w:t>月，建仓期结束时资产配置比例符合本</w:t>
      </w:r>
      <w:proofErr w:type="gramStart"/>
      <w:r>
        <w:rPr>
          <w:rFonts w:eastAsiaTheme="minorEastAsia"/>
          <w:color w:val="000000" w:themeColor="text1"/>
          <w:szCs w:val="21"/>
        </w:rPr>
        <w:t>基金基金</w:t>
      </w:r>
      <w:proofErr w:type="gramEnd"/>
      <w:r>
        <w:rPr>
          <w:rFonts w:eastAsiaTheme="minorEastAsia"/>
          <w:color w:val="000000" w:themeColor="text1"/>
          <w:szCs w:val="21"/>
        </w:rPr>
        <w:t>合同规定。</w:t>
      </w:r>
    </w:p>
    <w:p w14:paraId="0D199651"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2015</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10</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中信标普全债指数</w:t>
      </w:r>
      <w:r w:rsidRPr="0073597F">
        <w:rPr>
          <w:rFonts w:eastAsiaTheme="minorEastAsia"/>
          <w:color w:val="000000" w:themeColor="text1"/>
          <w:szCs w:val="21"/>
        </w:rPr>
        <w:t>”</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中证综合债券指数收益率</w:t>
      </w:r>
      <w:r w:rsidRPr="0073597F">
        <w:rPr>
          <w:rFonts w:eastAsiaTheme="minorEastAsia"/>
          <w:color w:val="000000" w:themeColor="text1"/>
          <w:szCs w:val="21"/>
        </w:rPr>
        <w:t>”</w:t>
      </w:r>
      <w:r w:rsidRPr="0073597F">
        <w:rPr>
          <w:rFonts w:eastAsiaTheme="minorEastAsia"/>
          <w:color w:val="000000" w:themeColor="text1"/>
          <w:szCs w:val="21"/>
        </w:rPr>
        <w:t>。</w:t>
      </w:r>
    </w:p>
    <w:p w14:paraId="29A84E62"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proofErr w:type="gramStart"/>
      <w:r w:rsidR="006F1F9D">
        <w:rPr>
          <w:rFonts w:eastAsiaTheme="minorEastAsia"/>
          <w:color w:val="000000" w:themeColor="text1"/>
          <w:szCs w:val="21"/>
        </w:rPr>
        <w:t>摩根纯债丰利</w:t>
      </w:r>
      <w:proofErr w:type="gramEnd"/>
      <w:r w:rsidR="006F1F9D">
        <w:rPr>
          <w:rFonts w:eastAsiaTheme="minorEastAsia"/>
          <w:color w:val="000000" w:themeColor="text1"/>
          <w:szCs w:val="21"/>
        </w:rPr>
        <w:t>债券</w:t>
      </w:r>
      <w:r w:rsidR="006F1F9D">
        <w:rPr>
          <w:rFonts w:eastAsiaTheme="minorEastAsia"/>
          <w:color w:val="000000" w:themeColor="text1"/>
          <w:szCs w:val="21"/>
        </w:rPr>
        <w:t>D</w:t>
      </w:r>
      <w:r w:rsidRPr="0073597F">
        <w:rPr>
          <w:rFonts w:eastAsiaTheme="minorEastAsia"/>
          <w:color w:val="000000" w:themeColor="text1"/>
          <w:szCs w:val="21"/>
        </w:rPr>
        <w:t>：</w:t>
      </w:r>
    </w:p>
    <w:p w14:paraId="38D3DED8" w14:textId="77777777" w:rsidR="0015161C" w:rsidRPr="0073597F" w:rsidRDefault="0015161C">
      <w:pPr>
        <w:spacing w:line="360" w:lineRule="auto"/>
        <w:ind w:firstLineChars="200" w:firstLine="420"/>
        <w:rPr>
          <w:rFonts w:eastAsiaTheme="minorEastAsia"/>
          <w:color w:val="000000" w:themeColor="text1"/>
          <w:szCs w:val="21"/>
        </w:rPr>
      </w:pPr>
    </w:p>
    <w:p w14:paraId="3318C4C2" w14:textId="77777777"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1591A8D7" wp14:editId="1007081D">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58411A78"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14:paraId="54A15F2F"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proofErr w:type="gramStart"/>
      <w:r>
        <w:rPr>
          <w:rFonts w:eastAsiaTheme="minorEastAsia"/>
          <w:color w:val="000000" w:themeColor="text1"/>
          <w:szCs w:val="21"/>
        </w:rPr>
        <w:t>个</w:t>
      </w:r>
      <w:proofErr w:type="gramEnd"/>
      <w:r>
        <w:rPr>
          <w:rFonts w:eastAsiaTheme="minorEastAsia"/>
          <w:color w:val="000000" w:themeColor="text1"/>
          <w:szCs w:val="21"/>
        </w:rPr>
        <w:t>月，建仓期结束时资产配置比例符合本</w:t>
      </w:r>
      <w:proofErr w:type="gramStart"/>
      <w:r>
        <w:rPr>
          <w:rFonts w:eastAsiaTheme="minorEastAsia"/>
          <w:color w:val="000000" w:themeColor="text1"/>
          <w:szCs w:val="21"/>
        </w:rPr>
        <w:t>基金基金</w:t>
      </w:r>
      <w:proofErr w:type="gramEnd"/>
      <w:r>
        <w:rPr>
          <w:rFonts w:eastAsiaTheme="minorEastAsia"/>
          <w:color w:val="000000" w:themeColor="text1"/>
          <w:szCs w:val="21"/>
        </w:rPr>
        <w:t>合同规定。</w:t>
      </w:r>
    </w:p>
    <w:p w14:paraId="4DCD7600" w14:textId="77777777" w:rsidR="0015161C" w:rsidRPr="0073597F" w:rsidRDefault="006F1F9D" w:rsidP="0015161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14:paraId="5E34B55D" w14:textId="77777777" w:rsidR="005E6DF3" w:rsidRPr="0073597F" w:rsidRDefault="005E6DF3">
      <w:pPr>
        <w:tabs>
          <w:tab w:val="left" w:pos="1800"/>
        </w:tabs>
        <w:spacing w:line="288" w:lineRule="auto"/>
        <w:rPr>
          <w:rFonts w:eastAsiaTheme="minorEastAsia"/>
          <w:color w:val="000000" w:themeColor="text1"/>
          <w:szCs w:val="21"/>
        </w:rPr>
      </w:pPr>
    </w:p>
    <w:p w14:paraId="271EA90C"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14:paraId="5E47F94A"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655BA0B3" w14:textId="77777777">
        <w:tc>
          <w:tcPr>
            <w:tcW w:w="952" w:type="dxa"/>
            <w:vMerge w:val="restart"/>
            <w:vAlign w:val="center"/>
          </w:tcPr>
          <w:p w14:paraId="0A33741D"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72FA230C"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011F6B24"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73597F">
              <w:rPr>
                <w:rFonts w:eastAsiaTheme="minorEastAsia"/>
                <w:color w:val="000000" w:themeColor="text1"/>
                <w:kern w:val="0"/>
                <w:szCs w:val="21"/>
              </w:rPr>
              <w:t>任本基金</w:t>
            </w:r>
            <w:proofErr w:type="gramEnd"/>
            <w:r w:rsidRPr="0073597F">
              <w:rPr>
                <w:rFonts w:eastAsiaTheme="minorEastAsia"/>
                <w:color w:val="000000" w:themeColor="text1"/>
                <w:kern w:val="0"/>
                <w:szCs w:val="21"/>
              </w:rPr>
              <w:t>的基金经理期限</w:t>
            </w:r>
          </w:p>
        </w:tc>
        <w:tc>
          <w:tcPr>
            <w:tcW w:w="1254" w:type="dxa"/>
            <w:vMerge w:val="restart"/>
            <w:vAlign w:val="center"/>
          </w:tcPr>
          <w:p w14:paraId="2D5DE739"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067C307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2369C3D2" w14:textId="77777777">
        <w:tc>
          <w:tcPr>
            <w:tcW w:w="952" w:type="dxa"/>
            <w:vMerge/>
            <w:vAlign w:val="center"/>
          </w:tcPr>
          <w:p w14:paraId="0730F153"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BA6A35D"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2D6190D"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2A8BE1B7"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535EE2BA"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A2CCAB7"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E6D28" w14:paraId="3C7B016C" w14:textId="77777777">
        <w:tc>
          <w:tcPr>
            <w:tcW w:w="952" w:type="dxa"/>
            <w:vAlign w:val="center"/>
          </w:tcPr>
          <w:p w14:paraId="2B8A1426" w14:textId="77777777" w:rsidR="00DE6D28" w:rsidRDefault="00D23241">
            <w:pPr>
              <w:jc w:val="center"/>
            </w:pPr>
            <w:r>
              <w:rPr>
                <w:rFonts w:eastAsiaTheme="minorEastAsia"/>
                <w:color w:val="000000" w:themeColor="text1"/>
                <w:szCs w:val="21"/>
              </w:rPr>
              <w:t>雷杨娟</w:t>
            </w:r>
          </w:p>
        </w:tc>
        <w:tc>
          <w:tcPr>
            <w:tcW w:w="930" w:type="dxa"/>
            <w:vAlign w:val="center"/>
          </w:tcPr>
          <w:p w14:paraId="6B33CCDE" w14:textId="77777777" w:rsidR="00DE6D28" w:rsidRDefault="00D23241">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3D476366" w14:textId="77777777" w:rsidR="00DE6D28" w:rsidRDefault="00D23241">
            <w:pPr>
              <w:jc w:val="center"/>
            </w:pPr>
            <w:r>
              <w:rPr>
                <w:rFonts w:eastAsiaTheme="minorEastAsia"/>
                <w:color w:val="000000" w:themeColor="text1"/>
                <w:szCs w:val="21"/>
              </w:rPr>
              <w:t>2022-08-26</w:t>
            </w:r>
          </w:p>
        </w:tc>
        <w:tc>
          <w:tcPr>
            <w:tcW w:w="1309" w:type="dxa"/>
            <w:vAlign w:val="center"/>
          </w:tcPr>
          <w:p w14:paraId="76BD188B" w14:textId="77777777" w:rsidR="00DE6D28" w:rsidRDefault="00D23241">
            <w:pPr>
              <w:jc w:val="center"/>
            </w:pPr>
            <w:r>
              <w:rPr>
                <w:rFonts w:eastAsiaTheme="minorEastAsia"/>
                <w:color w:val="000000" w:themeColor="text1"/>
                <w:szCs w:val="21"/>
              </w:rPr>
              <w:t>-</w:t>
            </w:r>
          </w:p>
        </w:tc>
        <w:tc>
          <w:tcPr>
            <w:tcW w:w="1254" w:type="dxa"/>
            <w:vAlign w:val="center"/>
          </w:tcPr>
          <w:p w14:paraId="4F637A31" w14:textId="77777777" w:rsidR="00DE6D28" w:rsidRDefault="00D23241">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365380A5" w14:textId="77777777" w:rsidR="00DE6D28" w:rsidRDefault="00D23241">
            <w:r>
              <w:rPr>
                <w:rFonts w:eastAsiaTheme="minorEastAsia"/>
                <w:color w:val="000000" w:themeColor="text1"/>
                <w:szCs w:val="21"/>
              </w:rPr>
              <w:t>雷杨娟女士曾任厦门国际银行总裁（总经理）办公室副行长秘书</w:t>
            </w:r>
            <w:proofErr w:type="gramStart"/>
            <w:r>
              <w:rPr>
                <w:rFonts w:eastAsiaTheme="minorEastAsia"/>
                <w:color w:val="000000" w:themeColor="text1"/>
                <w:szCs w:val="21"/>
              </w:rPr>
              <w:t>兼集团</w:t>
            </w:r>
            <w:proofErr w:type="gramEnd"/>
            <w:r>
              <w:rPr>
                <w:rFonts w:eastAsiaTheme="minorEastAsia"/>
                <w:color w:val="000000" w:themeColor="text1"/>
                <w:szCs w:val="21"/>
              </w:rPr>
              <w:t>秘书、资金运营部外汇及外币债券交易员，中国民生银行人民币债券自营交易员、银行账户投资经理、</w:t>
            </w:r>
            <w:proofErr w:type="gramStart"/>
            <w:r>
              <w:rPr>
                <w:rFonts w:eastAsiaTheme="minorEastAsia"/>
                <w:color w:val="000000" w:themeColor="text1"/>
                <w:szCs w:val="21"/>
              </w:rPr>
              <w:t>投顾账户</w:t>
            </w:r>
            <w:proofErr w:type="gramEnd"/>
            <w:r>
              <w:rPr>
                <w:rFonts w:eastAsiaTheme="minorEastAsia"/>
                <w:color w:val="000000" w:themeColor="text1"/>
                <w:szCs w:val="21"/>
              </w:rPr>
              <w:t>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55F27103" w14:textId="77777777" w:rsidR="00DE6D28" w:rsidRDefault="00D232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0E665B1"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14:paraId="31D81CD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4AD6CF9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2DE61D16"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6FF690EF"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612306A6"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7C308D1"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14:paraId="3035ECBA"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w:t>
      </w:r>
      <w:r w:rsidRPr="0073597F">
        <w:rPr>
          <w:rFonts w:eastAsiaTheme="minorEastAsia"/>
          <w:color w:val="000000" w:themeColor="text1"/>
          <w:szCs w:val="21"/>
        </w:rPr>
        <w:lastRenderedPageBreak/>
        <w:t>和交易价差监控分析，未发现整体公平交易执行出现异常的情况。</w:t>
      </w:r>
    </w:p>
    <w:p w14:paraId="1FC77B42"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42D044BB"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AE984C9"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7B97FE77"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110A0735"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48C325FD"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年第二季度，国内经济延续了</w:t>
      </w:r>
      <w:r>
        <w:rPr>
          <w:rFonts w:eastAsiaTheme="minorEastAsia"/>
          <w:color w:val="000000" w:themeColor="text1"/>
          <w:szCs w:val="21"/>
        </w:rPr>
        <w:t>2023</w:t>
      </w:r>
      <w:r>
        <w:rPr>
          <w:rFonts w:eastAsiaTheme="minorEastAsia"/>
          <w:color w:val="000000" w:themeColor="text1"/>
          <w:szCs w:val="21"/>
        </w:rPr>
        <w:t>年第四季度以来的缓慢复苏趋势，宏观经济数据在结构上也延续了</w:t>
      </w:r>
      <w:r>
        <w:rPr>
          <w:rFonts w:eastAsiaTheme="minorEastAsia"/>
          <w:color w:val="000000" w:themeColor="text1"/>
          <w:szCs w:val="21"/>
        </w:rPr>
        <w:t>2024</w:t>
      </w:r>
      <w:r>
        <w:rPr>
          <w:rFonts w:eastAsiaTheme="minorEastAsia"/>
          <w:color w:val="000000" w:themeColor="text1"/>
          <w:szCs w:val="21"/>
        </w:rPr>
        <w:t>年第一季度以来的态势。根据最新公布的</w:t>
      </w:r>
      <w:r>
        <w:rPr>
          <w:rFonts w:eastAsiaTheme="minorEastAsia"/>
          <w:color w:val="000000" w:themeColor="text1"/>
          <w:szCs w:val="21"/>
        </w:rPr>
        <w:t>5</w:t>
      </w:r>
      <w:r>
        <w:rPr>
          <w:rFonts w:eastAsiaTheme="minorEastAsia"/>
          <w:color w:val="000000" w:themeColor="text1"/>
          <w:szCs w:val="21"/>
        </w:rPr>
        <w:t>月宏观经济数据，数据分项略呈分化态势。出口、</w:t>
      </w:r>
      <w:r>
        <w:rPr>
          <w:rFonts w:eastAsiaTheme="minorEastAsia"/>
          <w:color w:val="000000" w:themeColor="text1"/>
          <w:szCs w:val="21"/>
        </w:rPr>
        <w:t>PPI</w:t>
      </w:r>
      <w:r>
        <w:rPr>
          <w:rFonts w:eastAsiaTheme="minorEastAsia"/>
          <w:color w:val="000000" w:themeColor="text1"/>
          <w:szCs w:val="21"/>
        </w:rPr>
        <w:t>增速反弹，消费增速有所反弹但读数仍低且弱于预期；工业生产、基建投资回落，地产跌幅扩大，工业企业利润增速回落，信贷</w:t>
      </w:r>
      <w:proofErr w:type="gramStart"/>
      <w:r>
        <w:rPr>
          <w:rFonts w:eastAsiaTheme="minorEastAsia"/>
          <w:color w:val="000000" w:themeColor="text1"/>
          <w:szCs w:val="21"/>
        </w:rPr>
        <w:t>社融超</w:t>
      </w:r>
      <w:proofErr w:type="gramEnd"/>
      <w:r>
        <w:rPr>
          <w:rFonts w:eastAsiaTheme="minorEastAsia"/>
          <w:color w:val="000000" w:themeColor="text1"/>
          <w:szCs w:val="21"/>
        </w:rPr>
        <w:t>季节性走弱，中国制造业采购经理指数（</w:t>
      </w:r>
      <w:r>
        <w:rPr>
          <w:rFonts w:eastAsiaTheme="minorEastAsia"/>
          <w:color w:val="000000" w:themeColor="text1"/>
          <w:szCs w:val="21"/>
        </w:rPr>
        <w:t>PMI</w:t>
      </w:r>
      <w:r>
        <w:rPr>
          <w:rFonts w:eastAsiaTheme="minorEastAsia"/>
          <w:color w:val="000000" w:themeColor="text1"/>
          <w:szCs w:val="21"/>
        </w:rPr>
        <w:t>）重回线下，核心消费价格指数（核心</w:t>
      </w:r>
      <w:r>
        <w:rPr>
          <w:rFonts w:eastAsiaTheme="minorEastAsia"/>
          <w:color w:val="000000" w:themeColor="text1"/>
          <w:szCs w:val="21"/>
        </w:rPr>
        <w:t>CPI</w:t>
      </w:r>
      <w:r>
        <w:rPr>
          <w:rFonts w:eastAsiaTheme="minorEastAsia"/>
          <w:color w:val="000000" w:themeColor="text1"/>
          <w:szCs w:val="21"/>
        </w:rPr>
        <w:t>）</w:t>
      </w:r>
      <w:proofErr w:type="gramStart"/>
      <w:r>
        <w:rPr>
          <w:rFonts w:eastAsiaTheme="minorEastAsia"/>
          <w:color w:val="000000" w:themeColor="text1"/>
          <w:szCs w:val="21"/>
        </w:rPr>
        <w:t>同比续创同期</w:t>
      </w:r>
      <w:proofErr w:type="gramEnd"/>
      <w:r>
        <w:rPr>
          <w:rFonts w:eastAsiaTheme="minorEastAsia"/>
          <w:color w:val="000000" w:themeColor="text1"/>
          <w:szCs w:val="21"/>
        </w:rPr>
        <w:t>新低。</w:t>
      </w:r>
    </w:p>
    <w:p w14:paraId="01953B6C"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货币政策上，第二季度央行公开市场通过隔夜回购和中期借贷便利（</w:t>
      </w:r>
      <w:r>
        <w:rPr>
          <w:rFonts w:eastAsiaTheme="minorEastAsia"/>
          <w:color w:val="000000" w:themeColor="text1"/>
          <w:szCs w:val="21"/>
        </w:rPr>
        <w:t>MLF</w:t>
      </w:r>
      <w:r>
        <w:rPr>
          <w:rFonts w:eastAsiaTheme="minorEastAsia"/>
          <w:color w:val="000000" w:themeColor="text1"/>
          <w:szCs w:val="21"/>
        </w:rPr>
        <w:t>）分别净回笼</w:t>
      </w:r>
      <w:r>
        <w:rPr>
          <w:rFonts w:eastAsiaTheme="minorEastAsia"/>
          <w:color w:val="000000" w:themeColor="text1"/>
          <w:szCs w:val="21"/>
        </w:rPr>
        <w:t>1000</w:t>
      </w:r>
      <w:r>
        <w:rPr>
          <w:rFonts w:eastAsiaTheme="minorEastAsia"/>
          <w:color w:val="000000" w:themeColor="text1"/>
          <w:szCs w:val="21"/>
        </w:rPr>
        <w:t>亿元和</w:t>
      </w:r>
      <w:r>
        <w:rPr>
          <w:rFonts w:eastAsiaTheme="minorEastAsia"/>
          <w:color w:val="000000" w:themeColor="text1"/>
          <w:szCs w:val="21"/>
        </w:rPr>
        <w:t>1</w:t>
      </w:r>
      <w:r>
        <w:rPr>
          <w:rFonts w:eastAsiaTheme="minorEastAsia"/>
          <w:color w:val="000000" w:themeColor="text1"/>
          <w:szCs w:val="21"/>
        </w:rPr>
        <w:t>250</w:t>
      </w:r>
      <w:r>
        <w:rPr>
          <w:rFonts w:eastAsiaTheme="minorEastAsia"/>
          <w:color w:val="000000" w:themeColor="text1"/>
          <w:szCs w:val="21"/>
        </w:rPr>
        <w:t>亿元。银行间市场流动性保持充裕，价格保持低位。非</w:t>
      </w:r>
      <w:proofErr w:type="gramStart"/>
      <w:r>
        <w:rPr>
          <w:rFonts w:eastAsiaTheme="minorEastAsia"/>
          <w:color w:val="000000" w:themeColor="text1"/>
          <w:szCs w:val="21"/>
        </w:rPr>
        <w:t>银机构</w:t>
      </w:r>
      <w:proofErr w:type="gramEnd"/>
      <w:r>
        <w:rPr>
          <w:rFonts w:eastAsiaTheme="minorEastAsia"/>
          <w:color w:val="000000" w:themeColor="text1"/>
          <w:szCs w:val="21"/>
        </w:rPr>
        <w:t>流动性充裕程度上升，</w:t>
      </w:r>
      <w:r>
        <w:rPr>
          <w:rFonts w:eastAsiaTheme="minorEastAsia"/>
          <w:color w:val="000000" w:themeColor="text1"/>
          <w:szCs w:val="21"/>
        </w:rPr>
        <w:t>R001</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均值较第一季度分别下行</w:t>
      </w:r>
      <w:r>
        <w:rPr>
          <w:rFonts w:eastAsiaTheme="minorEastAsia"/>
          <w:color w:val="000000" w:themeColor="text1"/>
          <w:szCs w:val="21"/>
        </w:rPr>
        <w:t>0.7bp</w:t>
      </w:r>
      <w:r>
        <w:rPr>
          <w:rFonts w:eastAsiaTheme="minorEastAsia"/>
          <w:color w:val="000000" w:themeColor="text1"/>
          <w:szCs w:val="21"/>
        </w:rPr>
        <w:t>和</w:t>
      </w:r>
      <w:r>
        <w:rPr>
          <w:rFonts w:eastAsiaTheme="minorEastAsia"/>
          <w:color w:val="000000" w:themeColor="text1"/>
          <w:szCs w:val="21"/>
        </w:rPr>
        <w:t>19bp</w:t>
      </w:r>
      <w:r>
        <w:rPr>
          <w:rFonts w:eastAsiaTheme="minorEastAsia"/>
          <w:color w:val="000000" w:themeColor="text1"/>
          <w:szCs w:val="21"/>
        </w:rPr>
        <w:t>，银行机构间资金价格略有上行，</w:t>
      </w:r>
      <w:r>
        <w:rPr>
          <w:rFonts w:eastAsiaTheme="minorEastAsia"/>
          <w:color w:val="000000" w:themeColor="text1"/>
          <w:szCs w:val="21"/>
        </w:rPr>
        <w:t>DR001</w:t>
      </w:r>
      <w:r>
        <w:rPr>
          <w:rFonts w:eastAsiaTheme="minorEastAsia"/>
          <w:color w:val="000000" w:themeColor="text1"/>
          <w:szCs w:val="21"/>
        </w:rPr>
        <w:t>和</w:t>
      </w:r>
      <w:r>
        <w:rPr>
          <w:rFonts w:eastAsiaTheme="minorEastAsia"/>
          <w:color w:val="000000" w:themeColor="text1"/>
          <w:szCs w:val="21"/>
        </w:rPr>
        <w:t>DR007</w:t>
      </w:r>
      <w:r>
        <w:rPr>
          <w:rFonts w:eastAsiaTheme="minorEastAsia"/>
          <w:color w:val="000000" w:themeColor="text1"/>
          <w:szCs w:val="21"/>
        </w:rPr>
        <w:t>均值分别较第一季度上行</w:t>
      </w:r>
      <w:r>
        <w:rPr>
          <w:rFonts w:eastAsiaTheme="minorEastAsia"/>
          <w:color w:val="000000" w:themeColor="text1"/>
          <w:szCs w:val="21"/>
        </w:rPr>
        <w:t>6.8bp</w:t>
      </w:r>
      <w:r>
        <w:rPr>
          <w:rFonts w:eastAsiaTheme="minorEastAsia"/>
          <w:color w:val="000000" w:themeColor="text1"/>
          <w:szCs w:val="21"/>
        </w:rPr>
        <w:t>和</w:t>
      </w:r>
      <w:r>
        <w:rPr>
          <w:rFonts w:eastAsiaTheme="minorEastAsia"/>
          <w:color w:val="000000" w:themeColor="text1"/>
          <w:szCs w:val="21"/>
        </w:rPr>
        <w:t>0.4bp</w:t>
      </w:r>
      <w:r>
        <w:rPr>
          <w:rFonts w:eastAsiaTheme="minorEastAsia"/>
          <w:color w:val="000000" w:themeColor="text1"/>
          <w:szCs w:val="21"/>
        </w:rPr>
        <w:t>。银行间市场资金分层的程度进一步下降。</w:t>
      </w:r>
    </w:p>
    <w:p w14:paraId="55154FE9"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国际经济方面，各国央行货币政策的紧缩程度有所分化，瑞士央行</w:t>
      </w:r>
      <w:r>
        <w:rPr>
          <w:rFonts w:eastAsiaTheme="minorEastAsia"/>
          <w:color w:val="000000" w:themeColor="text1"/>
          <w:szCs w:val="21"/>
        </w:rPr>
        <w:t>6</w:t>
      </w:r>
      <w:r>
        <w:rPr>
          <w:rFonts w:eastAsiaTheme="minorEastAsia"/>
          <w:color w:val="000000" w:themeColor="text1"/>
          <w:szCs w:val="21"/>
        </w:rPr>
        <w:t>月宣布第二次降息，降息幅度为</w:t>
      </w:r>
      <w:r>
        <w:rPr>
          <w:rFonts w:eastAsiaTheme="minorEastAsia"/>
          <w:color w:val="000000" w:themeColor="text1"/>
          <w:szCs w:val="21"/>
        </w:rPr>
        <w:t>25bp</w:t>
      </w:r>
      <w:r>
        <w:rPr>
          <w:rFonts w:eastAsiaTheme="minorEastAsia"/>
          <w:color w:val="000000" w:themeColor="text1"/>
          <w:szCs w:val="21"/>
        </w:rPr>
        <w:t>；欧洲央行</w:t>
      </w:r>
      <w:r>
        <w:rPr>
          <w:rFonts w:eastAsiaTheme="minorEastAsia"/>
          <w:color w:val="000000" w:themeColor="text1"/>
          <w:szCs w:val="21"/>
        </w:rPr>
        <w:t>6</w:t>
      </w:r>
      <w:r>
        <w:rPr>
          <w:rFonts w:eastAsiaTheme="minorEastAsia"/>
          <w:color w:val="000000" w:themeColor="text1"/>
          <w:szCs w:val="21"/>
        </w:rPr>
        <w:t>月也宣布降息</w:t>
      </w:r>
      <w:r>
        <w:rPr>
          <w:rFonts w:eastAsiaTheme="minorEastAsia"/>
          <w:color w:val="000000" w:themeColor="text1"/>
          <w:szCs w:val="21"/>
        </w:rPr>
        <w:t>25bp</w:t>
      </w:r>
      <w:r>
        <w:rPr>
          <w:rFonts w:eastAsiaTheme="minorEastAsia"/>
          <w:color w:val="000000" w:themeColor="text1"/>
          <w:szCs w:val="21"/>
        </w:rPr>
        <w:t>，这是欧洲央行自</w:t>
      </w:r>
      <w:r>
        <w:rPr>
          <w:rFonts w:eastAsiaTheme="minorEastAsia"/>
          <w:color w:val="000000" w:themeColor="text1"/>
          <w:szCs w:val="21"/>
        </w:rPr>
        <w:t>2019</w:t>
      </w:r>
      <w:r>
        <w:rPr>
          <w:rFonts w:eastAsiaTheme="minorEastAsia"/>
          <w:color w:val="000000" w:themeColor="text1"/>
          <w:szCs w:val="21"/>
        </w:rPr>
        <w:t>年以来</w:t>
      </w:r>
      <w:r>
        <w:rPr>
          <w:rFonts w:eastAsiaTheme="minorEastAsia"/>
          <w:color w:val="000000" w:themeColor="text1"/>
          <w:szCs w:val="21"/>
        </w:rPr>
        <w:t>5</w:t>
      </w:r>
      <w:r>
        <w:rPr>
          <w:rFonts w:eastAsiaTheme="minorEastAsia"/>
          <w:color w:val="000000" w:themeColor="text1"/>
          <w:szCs w:val="21"/>
        </w:rPr>
        <w:t>年内的第一次降息；但美联储的降息预期不断延迟，根据</w:t>
      </w:r>
      <w:r>
        <w:rPr>
          <w:rFonts w:eastAsiaTheme="minorEastAsia"/>
          <w:color w:val="000000" w:themeColor="text1"/>
          <w:szCs w:val="21"/>
        </w:rPr>
        <w:t>6</w:t>
      </w:r>
      <w:r>
        <w:rPr>
          <w:rFonts w:eastAsiaTheme="minorEastAsia"/>
          <w:color w:val="000000" w:themeColor="text1"/>
          <w:szCs w:val="21"/>
        </w:rPr>
        <w:t>月份公布的预测中值，美联</w:t>
      </w:r>
      <w:r>
        <w:rPr>
          <w:rFonts w:eastAsiaTheme="minorEastAsia"/>
          <w:color w:val="000000" w:themeColor="text1"/>
          <w:szCs w:val="21"/>
        </w:rPr>
        <w:t>储官员预计今年将降息一次。截至第二季度末，美国</w:t>
      </w:r>
      <w:r>
        <w:rPr>
          <w:rFonts w:eastAsiaTheme="minorEastAsia"/>
          <w:color w:val="000000" w:themeColor="text1"/>
          <w:szCs w:val="21"/>
        </w:rPr>
        <w:t>10</w:t>
      </w:r>
      <w:r>
        <w:rPr>
          <w:rFonts w:eastAsiaTheme="minorEastAsia"/>
          <w:color w:val="000000" w:themeColor="text1"/>
          <w:szCs w:val="21"/>
        </w:rPr>
        <w:t>年国债收益率较第一季度末略有上行，上行幅度约</w:t>
      </w:r>
      <w:r>
        <w:rPr>
          <w:rFonts w:eastAsiaTheme="minorEastAsia"/>
          <w:color w:val="000000" w:themeColor="text1"/>
          <w:szCs w:val="21"/>
        </w:rPr>
        <w:t>17bp</w:t>
      </w:r>
      <w:r>
        <w:rPr>
          <w:rFonts w:eastAsiaTheme="minorEastAsia"/>
          <w:color w:val="000000" w:themeColor="text1"/>
          <w:szCs w:val="21"/>
        </w:rPr>
        <w:t>。根据</w:t>
      </w:r>
      <w:r>
        <w:rPr>
          <w:rFonts w:eastAsiaTheme="minorEastAsia"/>
          <w:color w:val="000000" w:themeColor="text1"/>
          <w:szCs w:val="21"/>
        </w:rPr>
        <w:t>CFETS</w:t>
      </w:r>
      <w:r>
        <w:rPr>
          <w:rFonts w:eastAsiaTheme="minorEastAsia"/>
          <w:color w:val="000000" w:themeColor="text1"/>
          <w:szCs w:val="21"/>
        </w:rPr>
        <w:t>数据，</w:t>
      </w:r>
      <w:r>
        <w:rPr>
          <w:rFonts w:eastAsiaTheme="minorEastAsia"/>
          <w:color w:val="000000" w:themeColor="text1"/>
          <w:szCs w:val="21"/>
        </w:rPr>
        <w:t>6</w:t>
      </w:r>
      <w:r>
        <w:rPr>
          <w:rFonts w:eastAsiaTheme="minorEastAsia"/>
          <w:color w:val="000000" w:themeColor="text1"/>
          <w:szCs w:val="21"/>
        </w:rPr>
        <w:t>月末，美元人民币即期汇率收于</w:t>
      </w:r>
      <w:r>
        <w:rPr>
          <w:rFonts w:eastAsiaTheme="minorEastAsia"/>
          <w:color w:val="000000" w:themeColor="text1"/>
          <w:szCs w:val="21"/>
        </w:rPr>
        <w:t>7.2659</w:t>
      </w:r>
      <w:r>
        <w:rPr>
          <w:rFonts w:eastAsiaTheme="minorEastAsia"/>
          <w:color w:val="000000" w:themeColor="text1"/>
          <w:szCs w:val="21"/>
        </w:rPr>
        <w:t>，较</w:t>
      </w:r>
      <w:r>
        <w:rPr>
          <w:rFonts w:eastAsiaTheme="minorEastAsia"/>
          <w:color w:val="000000" w:themeColor="text1"/>
          <w:szCs w:val="21"/>
        </w:rPr>
        <w:t>3</w:t>
      </w:r>
      <w:r>
        <w:rPr>
          <w:rFonts w:eastAsiaTheme="minorEastAsia"/>
          <w:color w:val="000000" w:themeColor="text1"/>
          <w:szCs w:val="21"/>
        </w:rPr>
        <w:t>月末的收盘价</w:t>
      </w:r>
      <w:r>
        <w:rPr>
          <w:rFonts w:eastAsiaTheme="minorEastAsia"/>
          <w:color w:val="000000" w:themeColor="text1"/>
          <w:szCs w:val="21"/>
        </w:rPr>
        <w:t>7.2232</w:t>
      </w:r>
      <w:r>
        <w:rPr>
          <w:rFonts w:eastAsiaTheme="minorEastAsia"/>
          <w:color w:val="000000" w:themeColor="text1"/>
          <w:szCs w:val="21"/>
        </w:rPr>
        <w:t>略有上行。</w:t>
      </w:r>
    </w:p>
    <w:p w14:paraId="2DA787E5"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第二季度，受流动性宽松和债券供给量未能如期迅速上升的影响，债券收益率依旧延续了第一季度的下行趋势。仅在</w:t>
      </w:r>
      <w:r>
        <w:rPr>
          <w:rFonts w:eastAsiaTheme="minorEastAsia"/>
          <w:color w:val="000000" w:themeColor="text1"/>
          <w:szCs w:val="21"/>
        </w:rPr>
        <w:t>4</w:t>
      </w:r>
      <w:r>
        <w:rPr>
          <w:rFonts w:eastAsiaTheme="minorEastAsia"/>
          <w:color w:val="000000" w:themeColor="text1"/>
          <w:szCs w:val="21"/>
        </w:rPr>
        <w:t>月中下旬，受当时市场预期债券供给量会迅速上升的影响，收益率略有回调，</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w:t>
      </w:r>
      <w:proofErr w:type="gramStart"/>
      <w:r>
        <w:rPr>
          <w:rFonts w:eastAsiaTheme="minorEastAsia"/>
          <w:color w:val="000000" w:themeColor="text1"/>
          <w:szCs w:val="21"/>
        </w:rPr>
        <w:t>开债较</w:t>
      </w:r>
      <w:proofErr w:type="gramEnd"/>
      <w:r>
        <w:rPr>
          <w:rFonts w:eastAsiaTheme="minorEastAsia"/>
          <w:color w:val="000000" w:themeColor="text1"/>
          <w:szCs w:val="21"/>
        </w:rPr>
        <w:t>截至当时的年内最低点分别上行</w:t>
      </w:r>
      <w:r>
        <w:rPr>
          <w:rFonts w:eastAsiaTheme="minorEastAsia"/>
          <w:color w:val="000000" w:themeColor="text1"/>
          <w:szCs w:val="21"/>
        </w:rPr>
        <w:t>12bp</w:t>
      </w:r>
      <w:r>
        <w:rPr>
          <w:rFonts w:eastAsiaTheme="minorEastAsia"/>
          <w:color w:val="000000" w:themeColor="text1"/>
          <w:szCs w:val="21"/>
        </w:rPr>
        <w:t>和</w:t>
      </w:r>
      <w:r>
        <w:rPr>
          <w:rFonts w:eastAsiaTheme="minorEastAsia"/>
          <w:color w:val="000000" w:themeColor="text1"/>
          <w:szCs w:val="21"/>
        </w:rPr>
        <w:t>16bp</w:t>
      </w:r>
      <w:r>
        <w:rPr>
          <w:rFonts w:eastAsiaTheme="minorEastAsia"/>
          <w:color w:val="000000" w:themeColor="text1"/>
          <w:szCs w:val="21"/>
        </w:rPr>
        <w:t>。但随着市场对债券供给量预期的调整，收益率又迅速重回下行趋势</w:t>
      </w:r>
      <w:r>
        <w:rPr>
          <w:rFonts w:eastAsiaTheme="minorEastAsia"/>
          <w:color w:val="000000" w:themeColor="text1"/>
          <w:szCs w:val="21"/>
        </w:rPr>
        <w:t>，并在</w:t>
      </w:r>
      <w:r>
        <w:rPr>
          <w:rFonts w:eastAsiaTheme="minorEastAsia"/>
          <w:color w:val="000000" w:themeColor="text1"/>
          <w:szCs w:val="21"/>
        </w:rPr>
        <w:t>6</w:t>
      </w:r>
      <w:r>
        <w:rPr>
          <w:rFonts w:eastAsiaTheme="minorEastAsia"/>
          <w:color w:val="000000" w:themeColor="text1"/>
          <w:szCs w:val="21"/>
        </w:rPr>
        <w:t>月底刷新历史前低。截至第二季度末，</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w:t>
      </w:r>
      <w:proofErr w:type="gramStart"/>
      <w:r>
        <w:rPr>
          <w:rFonts w:eastAsiaTheme="minorEastAsia"/>
          <w:color w:val="000000" w:themeColor="text1"/>
          <w:szCs w:val="21"/>
        </w:rPr>
        <w:t>国开债收益率</w:t>
      </w:r>
      <w:proofErr w:type="gramEnd"/>
      <w:r>
        <w:rPr>
          <w:rFonts w:eastAsiaTheme="minorEastAsia"/>
          <w:color w:val="000000" w:themeColor="text1"/>
          <w:szCs w:val="21"/>
        </w:rPr>
        <w:t>分别较第一季度末下行</w:t>
      </w:r>
      <w:r>
        <w:rPr>
          <w:rFonts w:eastAsiaTheme="minorEastAsia"/>
          <w:color w:val="000000" w:themeColor="text1"/>
          <w:szCs w:val="21"/>
        </w:rPr>
        <w:t>8bp</w:t>
      </w:r>
      <w:r>
        <w:rPr>
          <w:rFonts w:eastAsiaTheme="minorEastAsia"/>
          <w:color w:val="000000" w:themeColor="text1"/>
          <w:szCs w:val="21"/>
        </w:rPr>
        <w:t>和</w:t>
      </w:r>
      <w:r>
        <w:rPr>
          <w:rFonts w:eastAsiaTheme="minorEastAsia"/>
          <w:color w:val="000000" w:themeColor="text1"/>
          <w:szCs w:val="21"/>
        </w:rPr>
        <w:t>12bp</w:t>
      </w:r>
      <w:r>
        <w:rPr>
          <w:rFonts w:eastAsiaTheme="minorEastAsia"/>
          <w:color w:val="000000" w:themeColor="text1"/>
          <w:szCs w:val="21"/>
        </w:rPr>
        <w:t>，至</w:t>
      </w:r>
      <w:r>
        <w:rPr>
          <w:rFonts w:eastAsiaTheme="minorEastAsia"/>
          <w:color w:val="000000" w:themeColor="text1"/>
          <w:szCs w:val="21"/>
        </w:rPr>
        <w:t>2.21%</w:t>
      </w:r>
      <w:r>
        <w:rPr>
          <w:rFonts w:eastAsiaTheme="minorEastAsia"/>
          <w:color w:val="000000" w:themeColor="text1"/>
          <w:szCs w:val="21"/>
        </w:rPr>
        <w:t>和</w:t>
      </w:r>
      <w:r>
        <w:rPr>
          <w:rFonts w:eastAsiaTheme="minorEastAsia"/>
          <w:color w:val="000000" w:themeColor="text1"/>
          <w:szCs w:val="21"/>
        </w:rPr>
        <w:t>2.29%</w:t>
      </w:r>
      <w:r>
        <w:rPr>
          <w:rFonts w:eastAsiaTheme="minorEastAsia"/>
          <w:color w:val="000000" w:themeColor="text1"/>
          <w:szCs w:val="21"/>
        </w:rPr>
        <w:t>，这是自</w:t>
      </w:r>
      <w:r>
        <w:rPr>
          <w:rFonts w:eastAsiaTheme="minorEastAsia"/>
          <w:color w:val="000000" w:themeColor="text1"/>
          <w:szCs w:val="21"/>
        </w:rPr>
        <w:t>2004</w:t>
      </w:r>
      <w:r>
        <w:rPr>
          <w:rFonts w:eastAsiaTheme="minorEastAsia"/>
          <w:color w:val="000000" w:themeColor="text1"/>
          <w:szCs w:val="21"/>
        </w:rPr>
        <w:t>年以来，</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w:t>
      </w:r>
      <w:proofErr w:type="gramStart"/>
      <w:r>
        <w:rPr>
          <w:rFonts w:eastAsiaTheme="minorEastAsia"/>
          <w:color w:val="000000" w:themeColor="text1"/>
          <w:szCs w:val="21"/>
        </w:rPr>
        <w:t>国开债收益率</w:t>
      </w:r>
      <w:proofErr w:type="gramEnd"/>
      <w:r>
        <w:rPr>
          <w:rFonts w:eastAsiaTheme="minorEastAsia"/>
          <w:color w:val="000000" w:themeColor="text1"/>
          <w:szCs w:val="21"/>
        </w:rPr>
        <w:t>的最低水平。</w:t>
      </w:r>
    </w:p>
    <w:p w14:paraId="0F1530DD"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第二季度，本基金大幅提升了</w:t>
      </w:r>
      <w:proofErr w:type="gramStart"/>
      <w:r>
        <w:rPr>
          <w:rFonts w:eastAsiaTheme="minorEastAsia"/>
          <w:color w:val="000000" w:themeColor="text1"/>
          <w:szCs w:val="21"/>
        </w:rPr>
        <w:t>组合久期和信用债占比</w:t>
      </w:r>
      <w:proofErr w:type="gramEnd"/>
      <w:r>
        <w:rPr>
          <w:rFonts w:eastAsiaTheme="minorEastAsia"/>
          <w:color w:val="000000" w:themeColor="text1"/>
          <w:szCs w:val="21"/>
        </w:rPr>
        <w:t>，小幅提升了杠杆水平。</w:t>
      </w:r>
    </w:p>
    <w:p w14:paraId="3B004B81"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展望第三季度，债券市场多空因素交织。国内流动性预计保持宽松，宏观经济数据整体维持缓慢的弱复苏态势，结构数据可能继续分化。此外，下半年美国大选可能对我国上半年以来维持强劲的出口数据带来不确定性，美联储降息的临近则可能为我国实行进一步宽松的货币政策提供更有利的外部环境。但同时，随着债券收益率低位快速下行，我国央行出手维护债市平稳运行的可能性在不断上升，而且第三季度可能迎来债券发行的高峰期，债券供给不足的问题可能将有所缓解。因此，预计债券收益率仍将处于长期下行通道，但短期调整压力在抬升，组合操作策略上保持谨慎乐观。</w:t>
      </w:r>
    </w:p>
    <w:p w14:paraId="155D56B4"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38D3EBC4"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proofErr w:type="gramStart"/>
      <w:r>
        <w:rPr>
          <w:rFonts w:eastAsiaTheme="minorEastAsia"/>
          <w:color w:val="000000" w:themeColor="text1"/>
          <w:szCs w:val="21"/>
        </w:rPr>
        <w:t>摩根纯债丰利</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:1.15%</w:t>
      </w:r>
      <w:r>
        <w:rPr>
          <w:rFonts w:eastAsiaTheme="minorEastAsia"/>
          <w:color w:val="000000" w:themeColor="text1"/>
          <w:szCs w:val="21"/>
        </w:rPr>
        <w:t>，同期业绩比较基准收益率为</w:t>
      </w:r>
      <w:r>
        <w:rPr>
          <w:rFonts w:eastAsiaTheme="minorEastAsia"/>
          <w:color w:val="000000" w:themeColor="text1"/>
          <w:szCs w:val="21"/>
        </w:rPr>
        <w:t>:1.74%</w:t>
      </w:r>
    </w:p>
    <w:p w14:paraId="350896C5" w14:textId="77777777" w:rsidR="00DE6D28" w:rsidRDefault="00D23241">
      <w:pPr>
        <w:spacing w:line="360" w:lineRule="auto"/>
        <w:ind w:firstLineChars="200" w:firstLine="420"/>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:1.04%</w:t>
      </w:r>
      <w:r>
        <w:rPr>
          <w:rFonts w:eastAsiaTheme="minorEastAsia"/>
          <w:color w:val="000000" w:themeColor="text1"/>
          <w:szCs w:val="21"/>
        </w:rPr>
        <w:t>，同期业绩比较基准收益率为</w:t>
      </w:r>
      <w:r>
        <w:rPr>
          <w:rFonts w:eastAsiaTheme="minorEastAsia"/>
          <w:color w:val="000000" w:themeColor="text1"/>
          <w:szCs w:val="21"/>
        </w:rPr>
        <w:t>:1.74%</w:t>
      </w:r>
    </w:p>
    <w:p w14:paraId="258CD1DE" w14:textId="77777777" w:rsidR="005E6DF3" w:rsidRPr="0073597F" w:rsidRDefault="005C671B">
      <w:pPr>
        <w:spacing w:line="360" w:lineRule="auto"/>
        <w:ind w:firstLineChars="200" w:firstLine="420"/>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:1.15%</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:1.74%</w:t>
      </w:r>
      <w:r w:rsidRPr="0073597F">
        <w:rPr>
          <w:rFonts w:eastAsiaTheme="minorEastAsia"/>
          <w:color w:val="000000" w:themeColor="text1"/>
          <w:szCs w:val="21"/>
        </w:rPr>
        <w:t>。</w:t>
      </w:r>
    </w:p>
    <w:p w14:paraId="265C045F" w14:textId="77777777" w:rsidR="005E6DF3" w:rsidRPr="0073597F" w:rsidRDefault="005E6DF3">
      <w:pPr>
        <w:spacing w:line="360" w:lineRule="auto"/>
        <w:ind w:firstLineChars="200" w:firstLine="420"/>
        <w:rPr>
          <w:rFonts w:eastAsiaTheme="minorEastAsia"/>
          <w:color w:val="000000" w:themeColor="text1"/>
          <w:szCs w:val="21"/>
        </w:rPr>
      </w:pPr>
    </w:p>
    <w:p w14:paraId="3320785E"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14:paraId="7FB68F67"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19A859C8" w14:textId="77777777" w:rsidR="005E6DF3" w:rsidRPr="0073597F" w:rsidRDefault="005E6DF3">
      <w:pPr>
        <w:spacing w:line="360" w:lineRule="auto"/>
        <w:ind w:firstLineChars="200" w:firstLine="420"/>
        <w:rPr>
          <w:rFonts w:eastAsiaTheme="minorEastAsia"/>
          <w:color w:val="000000" w:themeColor="text1"/>
          <w:szCs w:val="21"/>
        </w:rPr>
      </w:pPr>
    </w:p>
    <w:p w14:paraId="6A890EC4"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27086F7D"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138A60AE" w14:textId="77777777">
        <w:tc>
          <w:tcPr>
            <w:tcW w:w="720" w:type="dxa"/>
            <w:vAlign w:val="center"/>
          </w:tcPr>
          <w:p w14:paraId="09A9D2A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5303D62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553C069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7AD68A7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62158A60" w14:textId="77777777">
        <w:tc>
          <w:tcPr>
            <w:tcW w:w="720" w:type="dxa"/>
            <w:vAlign w:val="center"/>
          </w:tcPr>
          <w:p w14:paraId="3EABB34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5C0969E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702FDAB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76E59F1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BE313A1" w14:textId="77777777">
        <w:tc>
          <w:tcPr>
            <w:tcW w:w="720" w:type="dxa"/>
            <w:vAlign w:val="center"/>
          </w:tcPr>
          <w:p w14:paraId="6F6A6E4C"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6116494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2F050EF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701BF71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A0AE069" w14:textId="77777777">
        <w:tc>
          <w:tcPr>
            <w:tcW w:w="720" w:type="dxa"/>
            <w:vAlign w:val="center"/>
          </w:tcPr>
          <w:p w14:paraId="5175057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115EA6E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7736BAF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594,794,669.38</w:t>
            </w:r>
          </w:p>
        </w:tc>
        <w:tc>
          <w:tcPr>
            <w:tcW w:w="1843" w:type="dxa"/>
            <w:vAlign w:val="center"/>
          </w:tcPr>
          <w:p w14:paraId="09B0ADD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99.01</w:t>
            </w:r>
          </w:p>
        </w:tc>
      </w:tr>
      <w:tr w:rsidR="0073597F" w:rsidRPr="0073597F" w14:paraId="0E76CA70" w14:textId="77777777">
        <w:tc>
          <w:tcPr>
            <w:tcW w:w="720" w:type="dxa"/>
            <w:vAlign w:val="center"/>
          </w:tcPr>
          <w:p w14:paraId="6E4FEFE9"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0BB3C0B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09F43AA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594,794,669.38</w:t>
            </w:r>
          </w:p>
        </w:tc>
        <w:tc>
          <w:tcPr>
            <w:tcW w:w="1843" w:type="dxa"/>
            <w:vAlign w:val="center"/>
          </w:tcPr>
          <w:p w14:paraId="797B68F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99.01</w:t>
            </w:r>
          </w:p>
        </w:tc>
      </w:tr>
      <w:tr w:rsidR="0073597F" w:rsidRPr="0073597F" w14:paraId="05BCB64B" w14:textId="77777777">
        <w:tc>
          <w:tcPr>
            <w:tcW w:w="720" w:type="dxa"/>
            <w:vAlign w:val="center"/>
          </w:tcPr>
          <w:p w14:paraId="7E40E427"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1A7DB896"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641F154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177F326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7D0FF11" w14:textId="77777777">
        <w:tc>
          <w:tcPr>
            <w:tcW w:w="720" w:type="dxa"/>
          </w:tcPr>
          <w:p w14:paraId="33AA02C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1C3A9572"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0E83EC8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76153CF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9145D6A" w14:textId="77777777">
        <w:tc>
          <w:tcPr>
            <w:tcW w:w="720" w:type="dxa"/>
            <w:vAlign w:val="center"/>
          </w:tcPr>
          <w:p w14:paraId="17D5E42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039E6FC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w:t>
            </w:r>
            <w:proofErr w:type="gramStart"/>
            <w:r w:rsidRPr="0073597F">
              <w:rPr>
                <w:rFonts w:eastAsiaTheme="minorEastAsia"/>
                <w:color w:val="000000" w:themeColor="text1"/>
                <w:szCs w:val="21"/>
              </w:rPr>
              <w:t>品投资</w:t>
            </w:r>
            <w:proofErr w:type="gramEnd"/>
          </w:p>
        </w:tc>
        <w:tc>
          <w:tcPr>
            <w:tcW w:w="2977" w:type="dxa"/>
            <w:vAlign w:val="center"/>
          </w:tcPr>
          <w:p w14:paraId="703212C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4C0864E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D52C223" w14:textId="77777777">
        <w:tc>
          <w:tcPr>
            <w:tcW w:w="720" w:type="dxa"/>
            <w:vAlign w:val="center"/>
          </w:tcPr>
          <w:p w14:paraId="1D50A7B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3A3FDDCB"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3F2C904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2BA8FF3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800B2F1" w14:textId="77777777">
        <w:tc>
          <w:tcPr>
            <w:tcW w:w="720" w:type="dxa"/>
            <w:vAlign w:val="center"/>
          </w:tcPr>
          <w:p w14:paraId="3AEE6932"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67466AA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14:paraId="137620B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35D2187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E494DAA" w14:textId="77777777">
        <w:tc>
          <w:tcPr>
            <w:tcW w:w="720" w:type="dxa"/>
            <w:vAlign w:val="center"/>
          </w:tcPr>
          <w:p w14:paraId="2DDDA61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14:paraId="2B3A62DB"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79EF277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5,929,095.96</w:t>
            </w:r>
          </w:p>
        </w:tc>
        <w:tc>
          <w:tcPr>
            <w:tcW w:w="1843" w:type="dxa"/>
            <w:vAlign w:val="center"/>
          </w:tcPr>
          <w:p w14:paraId="66CB3F5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0.99</w:t>
            </w:r>
          </w:p>
        </w:tc>
      </w:tr>
      <w:tr w:rsidR="0073597F" w:rsidRPr="0073597F" w14:paraId="733C611F" w14:textId="77777777">
        <w:tc>
          <w:tcPr>
            <w:tcW w:w="720" w:type="dxa"/>
            <w:vAlign w:val="center"/>
          </w:tcPr>
          <w:p w14:paraId="7D35258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7AEEBEA1"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3414250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9,861.71</w:t>
            </w:r>
          </w:p>
        </w:tc>
        <w:tc>
          <w:tcPr>
            <w:tcW w:w="1843" w:type="dxa"/>
            <w:vAlign w:val="center"/>
          </w:tcPr>
          <w:p w14:paraId="03DDE8E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14:paraId="025976D1" w14:textId="77777777">
        <w:tc>
          <w:tcPr>
            <w:tcW w:w="720" w:type="dxa"/>
            <w:vAlign w:val="center"/>
          </w:tcPr>
          <w:p w14:paraId="6E66CA7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7872EA5C"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6B95BA3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600,733,627.05</w:t>
            </w:r>
          </w:p>
        </w:tc>
        <w:tc>
          <w:tcPr>
            <w:tcW w:w="1843" w:type="dxa"/>
            <w:vAlign w:val="center"/>
          </w:tcPr>
          <w:p w14:paraId="6A16A8E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3D2FD072"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6E5C78CF"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14:paraId="6C939468"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14:paraId="74B159AE" w14:textId="77777777" w:rsidR="00B27A29" w:rsidRPr="0073597F" w:rsidRDefault="00B27A29" w:rsidP="00B27A29">
      <w:pPr>
        <w:spacing w:line="360" w:lineRule="auto"/>
        <w:rPr>
          <w:rFonts w:eastAsiaTheme="minorEastAsia"/>
          <w:color w:val="000000" w:themeColor="text1"/>
          <w:szCs w:val="21"/>
        </w:rPr>
      </w:pPr>
      <w:bookmarkStart w:id="1"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14:paraId="52CA6ACF" w14:textId="77777777"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1"/>
    <w:p w14:paraId="3A70781E"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187DA273" w14:textId="77777777">
        <w:tc>
          <w:tcPr>
            <w:tcW w:w="817" w:type="dxa"/>
            <w:vAlign w:val="center"/>
          </w:tcPr>
          <w:p w14:paraId="07BCE67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14:paraId="74E2860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313D6F4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1CE1AB8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6E8EABD4" w14:textId="77777777">
        <w:tc>
          <w:tcPr>
            <w:tcW w:w="817" w:type="dxa"/>
            <w:vAlign w:val="center"/>
          </w:tcPr>
          <w:p w14:paraId="26CDD1C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14:paraId="40F6458B"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42D6B57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32,721,221.27</w:t>
            </w:r>
          </w:p>
        </w:tc>
        <w:tc>
          <w:tcPr>
            <w:tcW w:w="1616" w:type="dxa"/>
            <w:vAlign w:val="center"/>
          </w:tcPr>
          <w:p w14:paraId="41FBA8F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6.40</w:t>
            </w:r>
          </w:p>
        </w:tc>
      </w:tr>
      <w:tr w:rsidR="0073597F" w:rsidRPr="0073597F" w14:paraId="45CAA981" w14:textId="77777777">
        <w:tc>
          <w:tcPr>
            <w:tcW w:w="817" w:type="dxa"/>
            <w:vAlign w:val="center"/>
          </w:tcPr>
          <w:p w14:paraId="7262CD8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5373113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0067C00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273F632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2DB33D2" w14:textId="77777777">
        <w:tc>
          <w:tcPr>
            <w:tcW w:w="817" w:type="dxa"/>
            <w:vAlign w:val="center"/>
          </w:tcPr>
          <w:p w14:paraId="0AD58AC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3D3A217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7A22303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510,645,825.16</w:t>
            </w:r>
          </w:p>
        </w:tc>
        <w:tc>
          <w:tcPr>
            <w:tcW w:w="1616" w:type="dxa"/>
            <w:vAlign w:val="center"/>
          </w:tcPr>
          <w:p w14:paraId="0CA075F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99.87</w:t>
            </w:r>
          </w:p>
        </w:tc>
      </w:tr>
      <w:tr w:rsidR="0073597F" w:rsidRPr="0073597F" w14:paraId="57818655" w14:textId="77777777">
        <w:tc>
          <w:tcPr>
            <w:tcW w:w="817" w:type="dxa"/>
            <w:vAlign w:val="center"/>
          </w:tcPr>
          <w:p w14:paraId="2E5FA8A7"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26D5CC5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730CDC8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245,660,100.60</w:t>
            </w:r>
          </w:p>
        </w:tc>
        <w:tc>
          <w:tcPr>
            <w:tcW w:w="1616" w:type="dxa"/>
            <w:vAlign w:val="center"/>
          </w:tcPr>
          <w:p w14:paraId="4F75065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48.04</w:t>
            </w:r>
          </w:p>
        </w:tc>
      </w:tr>
      <w:tr w:rsidR="0073597F" w:rsidRPr="0073597F" w14:paraId="254C8998" w14:textId="77777777">
        <w:tc>
          <w:tcPr>
            <w:tcW w:w="817" w:type="dxa"/>
            <w:vAlign w:val="center"/>
          </w:tcPr>
          <w:p w14:paraId="1F0B4A5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0F2FAED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33525F2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7A18D26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BFAB8EB" w14:textId="77777777">
        <w:tc>
          <w:tcPr>
            <w:tcW w:w="817" w:type="dxa"/>
            <w:vAlign w:val="center"/>
          </w:tcPr>
          <w:p w14:paraId="04474D7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3E74498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w:t>
            </w:r>
            <w:proofErr w:type="gramStart"/>
            <w:r w:rsidRPr="0073597F">
              <w:rPr>
                <w:rFonts w:eastAsiaTheme="minorEastAsia"/>
                <w:color w:val="000000" w:themeColor="text1"/>
                <w:szCs w:val="21"/>
              </w:rPr>
              <w:t>券</w:t>
            </w:r>
            <w:proofErr w:type="gramEnd"/>
          </w:p>
        </w:tc>
        <w:tc>
          <w:tcPr>
            <w:tcW w:w="2835" w:type="dxa"/>
            <w:vAlign w:val="center"/>
          </w:tcPr>
          <w:p w14:paraId="0E36158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4BE42F6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CDB1623" w14:textId="77777777">
        <w:tc>
          <w:tcPr>
            <w:tcW w:w="817" w:type="dxa"/>
            <w:vAlign w:val="center"/>
          </w:tcPr>
          <w:p w14:paraId="2C94BB95"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60ECFD0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7EB49ED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723F2E2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3D6AAE3" w14:textId="77777777">
        <w:tc>
          <w:tcPr>
            <w:tcW w:w="817" w:type="dxa"/>
            <w:vAlign w:val="center"/>
          </w:tcPr>
          <w:p w14:paraId="7BED39E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56D3DA4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186A34B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D74C5D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78E3B20" w14:textId="77777777">
        <w:tc>
          <w:tcPr>
            <w:tcW w:w="817" w:type="dxa"/>
            <w:vAlign w:val="center"/>
          </w:tcPr>
          <w:p w14:paraId="1D66A1E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055CFF4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5BBAAFD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23F7E16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89CC0B0" w14:textId="77777777">
        <w:tc>
          <w:tcPr>
            <w:tcW w:w="817" w:type="dxa"/>
            <w:vAlign w:val="center"/>
          </w:tcPr>
          <w:p w14:paraId="267F224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14:paraId="7651D32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3C1F751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51,427,622.95</w:t>
            </w:r>
          </w:p>
        </w:tc>
        <w:tc>
          <w:tcPr>
            <w:tcW w:w="1616" w:type="dxa"/>
            <w:vAlign w:val="center"/>
          </w:tcPr>
          <w:p w14:paraId="1DDAA94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10.06</w:t>
            </w:r>
          </w:p>
        </w:tc>
      </w:tr>
      <w:tr w:rsidR="0073597F" w:rsidRPr="0073597F" w14:paraId="7C305883" w14:textId="77777777">
        <w:tc>
          <w:tcPr>
            <w:tcW w:w="817" w:type="dxa"/>
            <w:vAlign w:val="center"/>
          </w:tcPr>
          <w:p w14:paraId="60990D1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6A98B79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7FC84CE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594,794,669.38</w:t>
            </w:r>
          </w:p>
        </w:tc>
        <w:tc>
          <w:tcPr>
            <w:tcW w:w="1616" w:type="dxa"/>
            <w:vAlign w:val="center"/>
          </w:tcPr>
          <w:p w14:paraId="423B68C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116.32</w:t>
            </w:r>
          </w:p>
        </w:tc>
      </w:tr>
    </w:tbl>
    <w:p w14:paraId="65C083D6"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17EB05E7" w14:textId="77777777">
        <w:tc>
          <w:tcPr>
            <w:tcW w:w="1504" w:type="dxa"/>
            <w:vAlign w:val="center"/>
          </w:tcPr>
          <w:p w14:paraId="258E9876"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6A7BBA09"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279CDCF0"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47D4ABB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44CC8517"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751A95A0"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DE6D28" w14:paraId="1B39E772" w14:textId="77777777">
        <w:tc>
          <w:tcPr>
            <w:tcW w:w="1504" w:type="dxa"/>
            <w:vAlign w:val="center"/>
          </w:tcPr>
          <w:p w14:paraId="2E4E1C40" w14:textId="77777777" w:rsidR="00DE6D28" w:rsidRDefault="00D23241">
            <w:pPr>
              <w:jc w:val="center"/>
            </w:pPr>
            <w:r>
              <w:rPr>
                <w:rFonts w:eastAsiaTheme="minorEastAsia"/>
                <w:color w:val="000000" w:themeColor="text1"/>
                <w:szCs w:val="21"/>
              </w:rPr>
              <w:lastRenderedPageBreak/>
              <w:t>1</w:t>
            </w:r>
          </w:p>
        </w:tc>
        <w:tc>
          <w:tcPr>
            <w:tcW w:w="1504" w:type="dxa"/>
            <w:vAlign w:val="center"/>
          </w:tcPr>
          <w:p w14:paraId="059E98F9" w14:textId="77777777" w:rsidR="00DE6D28" w:rsidRDefault="00D23241">
            <w:pPr>
              <w:jc w:val="center"/>
            </w:pPr>
            <w:r>
              <w:rPr>
                <w:rFonts w:eastAsiaTheme="minorEastAsia"/>
                <w:color w:val="000000" w:themeColor="text1"/>
                <w:szCs w:val="21"/>
              </w:rPr>
              <w:t>230208</w:t>
            </w:r>
          </w:p>
        </w:tc>
        <w:tc>
          <w:tcPr>
            <w:tcW w:w="1504" w:type="dxa"/>
            <w:vAlign w:val="center"/>
          </w:tcPr>
          <w:p w14:paraId="305F3424" w14:textId="77777777" w:rsidR="00DE6D28" w:rsidRDefault="00D23241">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4F601EF2" w14:textId="77777777" w:rsidR="00DE6D28" w:rsidRDefault="00D23241">
            <w:pPr>
              <w:jc w:val="right"/>
            </w:pPr>
            <w:r>
              <w:rPr>
                <w:rFonts w:eastAsiaTheme="minorEastAsia"/>
                <w:color w:val="000000" w:themeColor="text1"/>
                <w:szCs w:val="21"/>
              </w:rPr>
              <w:t>700,000</w:t>
            </w:r>
          </w:p>
        </w:tc>
        <w:tc>
          <w:tcPr>
            <w:tcW w:w="1503" w:type="dxa"/>
            <w:vAlign w:val="center"/>
          </w:tcPr>
          <w:p w14:paraId="359009E6" w14:textId="77777777" w:rsidR="00DE6D28" w:rsidRDefault="00D23241">
            <w:pPr>
              <w:jc w:val="right"/>
            </w:pPr>
            <w:r>
              <w:rPr>
                <w:rFonts w:eastAsiaTheme="minorEastAsia"/>
                <w:color w:val="000000" w:themeColor="text1"/>
                <w:szCs w:val="21"/>
              </w:rPr>
              <w:t>71,536,816.44</w:t>
            </w:r>
          </w:p>
        </w:tc>
        <w:tc>
          <w:tcPr>
            <w:tcW w:w="1503" w:type="dxa"/>
            <w:vAlign w:val="center"/>
          </w:tcPr>
          <w:p w14:paraId="71D88A2D" w14:textId="77777777" w:rsidR="00DE6D28" w:rsidRDefault="00D23241">
            <w:pPr>
              <w:jc w:val="right"/>
            </w:pPr>
            <w:r>
              <w:rPr>
                <w:rFonts w:eastAsiaTheme="minorEastAsia"/>
                <w:color w:val="000000" w:themeColor="text1"/>
                <w:szCs w:val="21"/>
              </w:rPr>
              <w:t>13.99</w:t>
            </w:r>
          </w:p>
        </w:tc>
      </w:tr>
      <w:tr w:rsidR="00DE6D28" w14:paraId="4232010D" w14:textId="77777777">
        <w:tc>
          <w:tcPr>
            <w:tcW w:w="1504" w:type="dxa"/>
            <w:vAlign w:val="center"/>
          </w:tcPr>
          <w:p w14:paraId="1770C713" w14:textId="77777777" w:rsidR="00DE6D28" w:rsidRDefault="00D23241">
            <w:pPr>
              <w:jc w:val="center"/>
            </w:pPr>
            <w:r>
              <w:rPr>
                <w:rFonts w:eastAsiaTheme="minorEastAsia"/>
                <w:color w:val="000000" w:themeColor="text1"/>
                <w:szCs w:val="21"/>
              </w:rPr>
              <w:t>2</w:t>
            </w:r>
          </w:p>
        </w:tc>
        <w:tc>
          <w:tcPr>
            <w:tcW w:w="1504" w:type="dxa"/>
            <w:vAlign w:val="center"/>
          </w:tcPr>
          <w:p w14:paraId="5C91E264" w14:textId="77777777" w:rsidR="00DE6D28" w:rsidRDefault="00D23241">
            <w:pPr>
              <w:jc w:val="center"/>
            </w:pPr>
            <w:r>
              <w:rPr>
                <w:rFonts w:eastAsiaTheme="minorEastAsia"/>
                <w:color w:val="000000" w:themeColor="text1"/>
                <w:szCs w:val="21"/>
              </w:rPr>
              <w:t>230415</w:t>
            </w:r>
          </w:p>
        </w:tc>
        <w:tc>
          <w:tcPr>
            <w:tcW w:w="1504" w:type="dxa"/>
            <w:vAlign w:val="center"/>
          </w:tcPr>
          <w:p w14:paraId="63A702E6" w14:textId="77777777" w:rsidR="00DE6D28" w:rsidRDefault="00D23241">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15</w:t>
            </w:r>
          </w:p>
        </w:tc>
        <w:tc>
          <w:tcPr>
            <w:tcW w:w="1503" w:type="dxa"/>
            <w:vAlign w:val="center"/>
          </w:tcPr>
          <w:p w14:paraId="192712F7" w14:textId="77777777" w:rsidR="00DE6D28" w:rsidRDefault="00D23241">
            <w:pPr>
              <w:jc w:val="right"/>
            </w:pPr>
            <w:r>
              <w:rPr>
                <w:rFonts w:eastAsiaTheme="minorEastAsia"/>
                <w:color w:val="000000" w:themeColor="text1"/>
                <w:szCs w:val="21"/>
              </w:rPr>
              <w:t>500,000</w:t>
            </w:r>
          </w:p>
        </w:tc>
        <w:tc>
          <w:tcPr>
            <w:tcW w:w="1503" w:type="dxa"/>
            <w:vAlign w:val="center"/>
          </w:tcPr>
          <w:p w14:paraId="0B0F464E" w14:textId="77777777" w:rsidR="00DE6D28" w:rsidRDefault="00D23241">
            <w:pPr>
              <w:jc w:val="right"/>
            </w:pPr>
            <w:r>
              <w:rPr>
                <w:rFonts w:eastAsiaTheme="minorEastAsia"/>
                <w:color w:val="000000" w:themeColor="text1"/>
                <w:szCs w:val="21"/>
              </w:rPr>
              <w:t>52,085,191.26</w:t>
            </w:r>
          </w:p>
        </w:tc>
        <w:tc>
          <w:tcPr>
            <w:tcW w:w="1503" w:type="dxa"/>
            <w:vAlign w:val="center"/>
          </w:tcPr>
          <w:p w14:paraId="6408D721" w14:textId="77777777" w:rsidR="00DE6D28" w:rsidRDefault="00D23241">
            <w:pPr>
              <w:jc w:val="right"/>
            </w:pPr>
            <w:r>
              <w:rPr>
                <w:rFonts w:eastAsiaTheme="minorEastAsia"/>
                <w:color w:val="000000" w:themeColor="text1"/>
                <w:szCs w:val="21"/>
              </w:rPr>
              <w:t>10.19</w:t>
            </w:r>
          </w:p>
        </w:tc>
      </w:tr>
      <w:tr w:rsidR="00DE6D28" w14:paraId="2BB1F3F6" w14:textId="77777777">
        <w:tc>
          <w:tcPr>
            <w:tcW w:w="1504" w:type="dxa"/>
            <w:vAlign w:val="center"/>
          </w:tcPr>
          <w:p w14:paraId="135F376D" w14:textId="77777777" w:rsidR="00DE6D28" w:rsidRDefault="00D23241">
            <w:pPr>
              <w:jc w:val="center"/>
            </w:pPr>
            <w:r>
              <w:rPr>
                <w:rFonts w:eastAsiaTheme="minorEastAsia"/>
                <w:color w:val="000000" w:themeColor="text1"/>
                <w:szCs w:val="21"/>
              </w:rPr>
              <w:t>3</w:t>
            </w:r>
          </w:p>
        </w:tc>
        <w:tc>
          <w:tcPr>
            <w:tcW w:w="1504" w:type="dxa"/>
            <w:vAlign w:val="center"/>
          </w:tcPr>
          <w:p w14:paraId="46DE130F" w14:textId="77777777" w:rsidR="00DE6D28" w:rsidRDefault="00D23241">
            <w:pPr>
              <w:jc w:val="center"/>
            </w:pPr>
            <w:r>
              <w:rPr>
                <w:rFonts w:eastAsiaTheme="minorEastAsia"/>
                <w:color w:val="000000" w:themeColor="text1"/>
                <w:szCs w:val="21"/>
              </w:rPr>
              <w:t>2405087</w:t>
            </w:r>
          </w:p>
        </w:tc>
        <w:tc>
          <w:tcPr>
            <w:tcW w:w="1504" w:type="dxa"/>
            <w:vAlign w:val="center"/>
          </w:tcPr>
          <w:p w14:paraId="508E04B5" w14:textId="77777777" w:rsidR="00DE6D28" w:rsidRDefault="00D23241">
            <w:pPr>
              <w:jc w:val="center"/>
            </w:pPr>
            <w:r>
              <w:rPr>
                <w:rFonts w:eastAsiaTheme="minorEastAsia"/>
                <w:color w:val="000000" w:themeColor="text1"/>
                <w:szCs w:val="21"/>
              </w:rPr>
              <w:t>24</w:t>
            </w:r>
            <w:r>
              <w:rPr>
                <w:rFonts w:eastAsiaTheme="minorEastAsia"/>
                <w:color w:val="000000" w:themeColor="text1"/>
                <w:szCs w:val="21"/>
              </w:rPr>
              <w:t>河北债</w:t>
            </w:r>
            <w:r>
              <w:rPr>
                <w:rFonts w:eastAsiaTheme="minorEastAsia"/>
                <w:color w:val="000000" w:themeColor="text1"/>
                <w:szCs w:val="21"/>
              </w:rPr>
              <w:t>03</w:t>
            </w:r>
          </w:p>
        </w:tc>
        <w:tc>
          <w:tcPr>
            <w:tcW w:w="1503" w:type="dxa"/>
            <w:vAlign w:val="center"/>
          </w:tcPr>
          <w:p w14:paraId="735780EC" w14:textId="77777777" w:rsidR="00DE6D28" w:rsidRDefault="00D23241">
            <w:pPr>
              <w:jc w:val="right"/>
            </w:pPr>
            <w:r>
              <w:rPr>
                <w:rFonts w:eastAsiaTheme="minorEastAsia"/>
                <w:color w:val="000000" w:themeColor="text1"/>
                <w:szCs w:val="21"/>
              </w:rPr>
              <w:t>500,000</w:t>
            </w:r>
          </w:p>
        </w:tc>
        <w:tc>
          <w:tcPr>
            <w:tcW w:w="1503" w:type="dxa"/>
            <w:vAlign w:val="center"/>
          </w:tcPr>
          <w:p w14:paraId="7EF9D085" w14:textId="77777777" w:rsidR="00DE6D28" w:rsidRDefault="00D23241">
            <w:pPr>
              <w:jc w:val="right"/>
            </w:pPr>
            <w:r>
              <w:rPr>
                <w:rFonts w:eastAsiaTheme="minorEastAsia"/>
                <w:color w:val="000000" w:themeColor="text1"/>
                <w:szCs w:val="21"/>
              </w:rPr>
              <w:t>51,427,622.95</w:t>
            </w:r>
          </w:p>
        </w:tc>
        <w:tc>
          <w:tcPr>
            <w:tcW w:w="1503" w:type="dxa"/>
            <w:vAlign w:val="center"/>
          </w:tcPr>
          <w:p w14:paraId="50C18902" w14:textId="77777777" w:rsidR="00DE6D28" w:rsidRDefault="00D23241">
            <w:pPr>
              <w:jc w:val="right"/>
            </w:pPr>
            <w:r>
              <w:rPr>
                <w:rFonts w:eastAsiaTheme="minorEastAsia"/>
                <w:color w:val="000000" w:themeColor="text1"/>
                <w:szCs w:val="21"/>
              </w:rPr>
              <w:t>10.06</w:t>
            </w:r>
          </w:p>
        </w:tc>
      </w:tr>
      <w:tr w:rsidR="00DE6D28" w14:paraId="2F95E6B0" w14:textId="77777777">
        <w:tc>
          <w:tcPr>
            <w:tcW w:w="1504" w:type="dxa"/>
            <w:vAlign w:val="center"/>
          </w:tcPr>
          <w:p w14:paraId="64E8DCDC" w14:textId="77777777" w:rsidR="00DE6D28" w:rsidRDefault="00D23241">
            <w:pPr>
              <w:jc w:val="center"/>
            </w:pPr>
            <w:r>
              <w:rPr>
                <w:rFonts w:eastAsiaTheme="minorEastAsia"/>
                <w:color w:val="000000" w:themeColor="text1"/>
                <w:szCs w:val="21"/>
              </w:rPr>
              <w:t>4</w:t>
            </w:r>
          </w:p>
        </w:tc>
        <w:tc>
          <w:tcPr>
            <w:tcW w:w="1504" w:type="dxa"/>
            <w:vAlign w:val="center"/>
          </w:tcPr>
          <w:p w14:paraId="546DE27A" w14:textId="77777777" w:rsidR="00DE6D28" w:rsidRDefault="00D23241">
            <w:pPr>
              <w:jc w:val="center"/>
            </w:pPr>
            <w:r>
              <w:rPr>
                <w:rFonts w:eastAsiaTheme="minorEastAsia"/>
                <w:color w:val="000000" w:themeColor="text1"/>
                <w:szCs w:val="21"/>
              </w:rPr>
              <w:t>212380008</w:t>
            </w:r>
          </w:p>
        </w:tc>
        <w:tc>
          <w:tcPr>
            <w:tcW w:w="1504" w:type="dxa"/>
            <w:vAlign w:val="center"/>
          </w:tcPr>
          <w:p w14:paraId="16963425" w14:textId="77777777" w:rsidR="00DE6D28" w:rsidRDefault="00D23241">
            <w:pPr>
              <w:jc w:val="center"/>
            </w:pPr>
            <w:r>
              <w:rPr>
                <w:rFonts w:eastAsiaTheme="minorEastAsia"/>
                <w:color w:val="000000" w:themeColor="text1"/>
                <w:szCs w:val="21"/>
              </w:rPr>
              <w:t>23</w:t>
            </w:r>
            <w:r>
              <w:rPr>
                <w:rFonts w:eastAsiaTheme="minorEastAsia"/>
                <w:color w:val="000000" w:themeColor="text1"/>
                <w:szCs w:val="21"/>
              </w:rPr>
              <w:t>交行债</w:t>
            </w:r>
            <w:r>
              <w:rPr>
                <w:rFonts w:eastAsiaTheme="minorEastAsia"/>
                <w:color w:val="000000" w:themeColor="text1"/>
                <w:szCs w:val="21"/>
              </w:rPr>
              <w:t>01</w:t>
            </w:r>
          </w:p>
        </w:tc>
        <w:tc>
          <w:tcPr>
            <w:tcW w:w="1503" w:type="dxa"/>
            <w:vAlign w:val="center"/>
          </w:tcPr>
          <w:p w14:paraId="1B5B3068" w14:textId="77777777" w:rsidR="00DE6D28" w:rsidRDefault="00D23241">
            <w:pPr>
              <w:jc w:val="right"/>
            </w:pPr>
            <w:r>
              <w:rPr>
                <w:rFonts w:eastAsiaTheme="minorEastAsia"/>
                <w:color w:val="000000" w:themeColor="text1"/>
                <w:szCs w:val="21"/>
              </w:rPr>
              <w:t>400,000</w:t>
            </w:r>
          </w:p>
        </w:tc>
        <w:tc>
          <w:tcPr>
            <w:tcW w:w="1503" w:type="dxa"/>
            <w:vAlign w:val="center"/>
          </w:tcPr>
          <w:p w14:paraId="145CCBC4" w14:textId="77777777" w:rsidR="00DE6D28" w:rsidRDefault="00D23241">
            <w:pPr>
              <w:jc w:val="right"/>
            </w:pPr>
            <w:r>
              <w:rPr>
                <w:rFonts w:eastAsiaTheme="minorEastAsia"/>
                <w:color w:val="000000" w:themeColor="text1"/>
                <w:szCs w:val="21"/>
              </w:rPr>
              <w:t>41,445,774.86</w:t>
            </w:r>
          </w:p>
        </w:tc>
        <w:tc>
          <w:tcPr>
            <w:tcW w:w="1503" w:type="dxa"/>
            <w:vAlign w:val="center"/>
          </w:tcPr>
          <w:p w14:paraId="4701EAB4" w14:textId="77777777" w:rsidR="00DE6D28" w:rsidRDefault="00D23241">
            <w:pPr>
              <w:jc w:val="right"/>
            </w:pPr>
            <w:r>
              <w:rPr>
                <w:rFonts w:eastAsiaTheme="minorEastAsia"/>
                <w:color w:val="000000" w:themeColor="text1"/>
                <w:szCs w:val="21"/>
              </w:rPr>
              <w:t>8.11</w:t>
            </w:r>
          </w:p>
        </w:tc>
      </w:tr>
      <w:tr w:rsidR="00DE6D28" w14:paraId="63189388" w14:textId="77777777">
        <w:tc>
          <w:tcPr>
            <w:tcW w:w="1504" w:type="dxa"/>
            <w:vAlign w:val="center"/>
          </w:tcPr>
          <w:p w14:paraId="24BFCBF9" w14:textId="77777777" w:rsidR="00DE6D28" w:rsidRDefault="00D23241">
            <w:pPr>
              <w:jc w:val="center"/>
            </w:pPr>
            <w:r>
              <w:rPr>
                <w:rFonts w:eastAsiaTheme="minorEastAsia"/>
                <w:color w:val="000000" w:themeColor="text1"/>
                <w:szCs w:val="21"/>
              </w:rPr>
              <w:t>5</w:t>
            </w:r>
          </w:p>
        </w:tc>
        <w:tc>
          <w:tcPr>
            <w:tcW w:w="1504" w:type="dxa"/>
            <w:vAlign w:val="center"/>
          </w:tcPr>
          <w:p w14:paraId="6D00E7B8" w14:textId="77777777" w:rsidR="00DE6D28" w:rsidRDefault="00D23241">
            <w:pPr>
              <w:jc w:val="center"/>
            </w:pPr>
            <w:r>
              <w:rPr>
                <w:rFonts w:eastAsiaTheme="minorEastAsia"/>
                <w:color w:val="000000" w:themeColor="text1"/>
                <w:szCs w:val="21"/>
              </w:rPr>
              <w:t>2228020</w:t>
            </w:r>
          </w:p>
        </w:tc>
        <w:tc>
          <w:tcPr>
            <w:tcW w:w="1504" w:type="dxa"/>
            <w:vAlign w:val="center"/>
          </w:tcPr>
          <w:p w14:paraId="56C67CFF" w14:textId="77777777" w:rsidR="00DE6D28" w:rsidRDefault="00D23241">
            <w:pPr>
              <w:jc w:val="center"/>
            </w:pPr>
            <w:r>
              <w:rPr>
                <w:rFonts w:eastAsiaTheme="minorEastAsia"/>
                <w:color w:val="000000" w:themeColor="text1"/>
                <w:szCs w:val="21"/>
              </w:rPr>
              <w:t>22</w:t>
            </w:r>
            <w:r>
              <w:rPr>
                <w:rFonts w:eastAsiaTheme="minorEastAsia"/>
                <w:color w:val="000000" w:themeColor="text1"/>
                <w:szCs w:val="21"/>
              </w:rPr>
              <w:t>兴业银行</w:t>
            </w:r>
            <w:r>
              <w:rPr>
                <w:rFonts w:eastAsiaTheme="minorEastAsia"/>
                <w:color w:val="000000" w:themeColor="text1"/>
                <w:szCs w:val="21"/>
              </w:rPr>
              <w:t>02</w:t>
            </w:r>
          </w:p>
        </w:tc>
        <w:tc>
          <w:tcPr>
            <w:tcW w:w="1503" w:type="dxa"/>
            <w:vAlign w:val="center"/>
          </w:tcPr>
          <w:p w14:paraId="17B625EB" w14:textId="77777777" w:rsidR="00DE6D28" w:rsidRDefault="00D23241">
            <w:pPr>
              <w:jc w:val="right"/>
            </w:pPr>
            <w:r>
              <w:rPr>
                <w:rFonts w:eastAsiaTheme="minorEastAsia"/>
                <w:color w:val="000000" w:themeColor="text1"/>
                <w:szCs w:val="21"/>
              </w:rPr>
              <w:t>400,000</w:t>
            </w:r>
          </w:p>
        </w:tc>
        <w:tc>
          <w:tcPr>
            <w:tcW w:w="1503" w:type="dxa"/>
            <w:vAlign w:val="center"/>
          </w:tcPr>
          <w:p w14:paraId="41D975B3" w14:textId="77777777" w:rsidR="00DE6D28" w:rsidRDefault="00D23241">
            <w:pPr>
              <w:jc w:val="right"/>
            </w:pPr>
            <w:r>
              <w:rPr>
                <w:rFonts w:eastAsiaTheme="minorEastAsia"/>
                <w:color w:val="000000" w:themeColor="text1"/>
                <w:szCs w:val="21"/>
              </w:rPr>
              <w:t>40,626,862.47</w:t>
            </w:r>
          </w:p>
        </w:tc>
        <w:tc>
          <w:tcPr>
            <w:tcW w:w="1503" w:type="dxa"/>
            <w:vAlign w:val="center"/>
          </w:tcPr>
          <w:p w14:paraId="4E8518E3" w14:textId="77777777" w:rsidR="00DE6D28" w:rsidRDefault="00D23241">
            <w:pPr>
              <w:jc w:val="right"/>
            </w:pPr>
            <w:r>
              <w:rPr>
                <w:rFonts w:eastAsiaTheme="minorEastAsia"/>
                <w:color w:val="000000" w:themeColor="text1"/>
                <w:szCs w:val="21"/>
              </w:rPr>
              <w:t>7.95</w:t>
            </w:r>
          </w:p>
        </w:tc>
      </w:tr>
    </w:tbl>
    <w:p w14:paraId="40E0A4CB"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051ED82A"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0B5783A0"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376145BA"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29BCB7AE"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14:paraId="47DF5026"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14:paraId="5D1295A6"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2D03E4F6"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09737B2D"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2E491D9A"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14:paraId="460175E3"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4114503E"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交通银行股份有限公司在报告编制日前一年内曾受到国家金融监督管理总局的处罚。江苏银行股份有限公司在报告编制日前一年内曾受到国家金融监督管理总局江苏监管局的处罚。上海银行股份有限公司在报告编制日前一年内曾受到国家金融监督管理总局上海监管局、国家外汇管理局上海市分局的处罚。徽商银行股份有限公司在报告编制日前一年内曾受到国家金融监督管理总局安徽监管局、国家外汇管理局安徽省分局的处罚。本基金对上述主体所发行证券的投资决策程序符合相关法律法规、基金合同及公司投资制度的要求。</w:t>
      </w:r>
    </w:p>
    <w:p w14:paraId="43573F01" w14:textId="77777777" w:rsidR="00DE6D28" w:rsidRDefault="00D23241">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w:t>
      </w:r>
      <w:proofErr w:type="gramStart"/>
      <w:r>
        <w:rPr>
          <w:rFonts w:eastAsiaTheme="minorEastAsia"/>
          <w:color w:val="000000" w:themeColor="text1"/>
          <w:szCs w:val="21"/>
        </w:rPr>
        <w:t>本期未</w:t>
      </w:r>
      <w:proofErr w:type="gramEnd"/>
      <w:r>
        <w:rPr>
          <w:rFonts w:eastAsiaTheme="minorEastAsia"/>
          <w:color w:val="000000" w:themeColor="text1"/>
          <w:szCs w:val="21"/>
        </w:rPr>
        <w:t>出现被监管部门立案调查，或在报告编制日前一年内受到公开谴责、处罚的情形。</w:t>
      </w:r>
    </w:p>
    <w:p w14:paraId="0518D319"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24670F5F"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2FB64B43" w14:textId="77777777">
        <w:tc>
          <w:tcPr>
            <w:tcW w:w="1110" w:type="dxa"/>
            <w:vAlign w:val="center"/>
          </w:tcPr>
          <w:p w14:paraId="20C56636"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lastRenderedPageBreak/>
              <w:t>序号</w:t>
            </w:r>
          </w:p>
        </w:tc>
        <w:tc>
          <w:tcPr>
            <w:tcW w:w="2761" w:type="dxa"/>
            <w:vAlign w:val="center"/>
          </w:tcPr>
          <w:p w14:paraId="4FEEF005"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1C7AD7D2"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12D24ABA" w14:textId="77777777">
        <w:tc>
          <w:tcPr>
            <w:tcW w:w="1110" w:type="dxa"/>
            <w:vAlign w:val="center"/>
          </w:tcPr>
          <w:p w14:paraId="7F72171D"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56EDA234"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757489AB"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0FB2C478" w14:textId="77777777">
        <w:tc>
          <w:tcPr>
            <w:tcW w:w="1110" w:type="dxa"/>
            <w:vAlign w:val="center"/>
          </w:tcPr>
          <w:p w14:paraId="288980BD"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14:paraId="3E1C8ADB"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6807D63D"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47E2DB65" w14:textId="77777777">
        <w:tc>
          <w:tcPr>
            <w:tcW w:w="1110" w:type="dxa"/>
            <w:vAlign w:val="center"/>
          </w:tcPr>
          <w:p w14:paraId="5827EF0F"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0F0AE686"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303A4E84"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9146FA8" w14:textId="77777777">
        <w:tc>
          <w:tcPr>
            <w:tcW w:w="1110" w:type="dxa"/>
            <w:vAlign w:val="center"/>
          </w:tcPr>
          <w:p w14:paraId="6507896E"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6D3035B2"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6D88EDB7"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57D3D549" w14:textId="77777777">
        <w:tc>
          <w:tcPr>
            <w:tcW w:w="1110" w:type="dxa"/>
            <w:vAlign w:val="center"/>
          </w:tcPr>
          <w:p w14:paraId="600C4257"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5159FA4B"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03E3DE4D"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9,861.71</w:t>
            </w:r>
          </w:p>
        </w:tc>
      </w:tr>
      <w:tr w:rsidR="0073597F" w:rsidRPr="0073597F" w14:paraId="1FF543D9" w14:textId="77777777">
        <w:tc>
          <w:tcPr>
            <w:tcW w:w="1110" w:type="dxa"/>
            <w:vAlign w:val="center"/>
          </w:tcPr>
          <w:p w14:paraId="74AA3CE4"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41EEDBD5"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03744E87"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759B2FF5" w14:textId="77777777">
        <w:tc>
          <w:tcPr>
            <w:tcW w:w="1110" w:type="dxa"/>
            <w:vAlign w:val="center"/>
          </w:tcPr>
          <w:p w14:paraId="1F389528"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58BED148"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2B6FA860"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95A69C7" w14:textId="77777777">
        <w:tc>
          <w:tcPr>
            <w:tcW w:w="1110" w:type="dxa"/>
            <w:vAlign w:val="center"/>
          </w:tcPr>
          <w:p w14:paraId="5D8BB5F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53D107EB"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1529A2E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6E675173" w14:textId="77777777">
        <w:tc>
          <w:tcPr>
            <w:tcW w:w="1110" w:type="dxa"/>
            <w:vAlign w:val="center"/>
          </w:tcPr>
          <w:p w14:paraId="1C98E18B"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14:paraId="30115ADA"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24D7305E"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9,861.71</w:t>
            </w:r>
          </w:p>
        </w:tc>
      </w:tr>
    </w:tbl>
    <w:p w14:paraId="0CAC97AD"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14:paraId="544374BB"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14:paraId="3AE1FC35"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w:t>
      </w:r>
      <w:proofErr w:type="gramStart"/>
      <w:r w:rsidRPr="0073597F">
        <w:rPr>
          <w:rFonts w:eastAsiaTheme="minorEastAsia"/>
          <w:b/>
          <w:bCs/>
          <w:color w:val="000000" w:themeColor="text1"/>
          <w:szCs w:val="21"/>
        </w:rPr>
        <w:t>期末前</w:t>
      </w:r>
      <w:proofErr w:type="gramEnd"/>
      <w:r w:rsidRPr="0073597F">
        <w:rPr>
          <w:rFonts w:eastAsiaTheme="minorEastAsia"/>
          <w:b/>
          <w:bCs/>
          <w:color w:val="000000" w:themeColor="text1"/>
          <w:szCs w:val="21"/>
        </w:rPr>
        <w:t>十名股票中存在流通受限情况的说明</w:t>
      </w:r>
    </w:p>
    <w:p w14:paraId="0A9541AB"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w:t>
      </w:r>
      <w:proofErr w:type="gramStart"/>
      <w:r w:rsidRPr="0073597F">
        <w:rPr>
          <w:rFonts w:eastAsiaTheme="minorEastAsia"/>
          <w:color w:val="000000" w:themeColor="text1"/>
          <w:szCs w:val="21"/>
        </w:rPr>
        <w:t>期末前</w:t>
      </w:r>
      <w:proofErr w:type="gramEnd"/>
      <w:r w:rsidRPr="0073597F">
        <w:rPr>
          <w:rFonts w:eastAsiaTheme="minorEastAsia"/>
          <w:color w:val="000000" w:themeColor="text1"/>
          <w:szCs w:val="21"/>
        </w:rPr>
        <w:t>十名股票中不存在流通受限情况。</w:t>
      </w:r>
    </w:p>
    <w:p w14:paraId="1B04EA61"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26A059FD"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70A91513"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219A75C3"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63DA82CB"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DA4770F"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69783D48"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14:paraId="44D3F442"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14:paraId="124E608B"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债券</w:t>
            </w:r>
            <w:r>
              <w:rPr>
                <w:rFonts w:eastAsiaTheme="minorEastAsia"/>
                <w:color w:val="000000" w:themeColor="text1"/>
                <w:szCs w:val="21"/>
              </w:rPr>
              <w:t>D</w:t>
            </w:r>
          </w:p>
        </w:tc>
      </w:tr>
      <w:tr w:rsidR="0073597F" w:rsidRPr="0073597F" w14:paraId="5628A307"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50D89ED4"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w:t>
            </w:r>
            <w:proofErr w:type="gramStart"/>
            <w:r w:rsidRPr="0073597F">
              <w:rPr>
                <w:rFonts w:eastAsiaTheme="minorEastAsia"/>
                <w:color w:val="000000" w:themeColor="text1"/>
                <w:kern w:val="0"/>
                <w:szCs w:val="21"/>
              </w:rPr>
              <w:t>初基金</w:t>
            </w:r>
            <w:proofErr w:type="gramEnd"/>
            <w:r w:rsidRPr="0073597F">
              <w:rPr>
                <w:rFonts w:eastAsiaTheme="minorEastAsia"/>
                <w:color w:val="000000" w:themeColor="text1"/>
                <w:kern w:val="0"/>
                <w:szCs w:val="21"/>
              </w:rPr>
              <w:t>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2152193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6,653,326.78</w:t>
            </w:r>
          </w:p>
        </w:tc>
        <w:tc>
          <w:tcPr>
            <w:tcW w:w="2126" w:type="dxa"/>
            <w:tcBorders>
              <w:top w:val="single" w:sz="8" w:space="0" w:color="000000"/>
              <w:left w:val="single" w:sz="8" w:space="0" w:color="000000"/>
              <w:bottom w:val="single" w:sz="8" w:space="0" w:color="000000"/>
              <w:right w:val="single" w:sz="8" w:space="0" w:color="000000"/>
            </w:tcBorders>
            <w:vAlign w:val="center"/>
          </w:tcPr>
          <w:p w14:paraId="659EF40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10,154,789.66</w:t>
            </w:r>
          </w:p>
        </w:tc>
        <w:tc>
          <w:tcPr>
            <w:tcW w:w="2183" w:type="dxa"/>
            <w:tcBorders>
              <w:top w:val="single" w:sz="8" w:space="0" w:color="000000"/>
              <w:left w:val="single" w:sz="8" w:space="0" w:color="000000"/>
              <w:bottom w:val="single" w:sz="8" w:space="0" w:color="000000"/>
              <w:right w:val="single" w:sz="8" w:space="0" w:color="000000"/>
            </w:tcBorders>
            <w:vAlign w:val="center"/>
          </w:tcPr>
          <w:p w14:paraId="1E058E16"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484,214,990.44</w:t>
            </w:r>
          </w:p>
        </w:tc>
      </w:tr>
      <w:tr w:rsidR="0073597F" w:rsidRPr="0073597F" w14:paraId="0B1C96F3"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700336DB"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465C5E4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366,909.49</w:t>
            </w:r>
          </w:p>
        </w:tc>
        <w:tc>
          <w:tcPr>
            <w:tcW w:w="2126" w:type="dxa"/>
            <w:tcBorders>
              <w:top w:val="single" w:sz="8" w:space="0" w:color="000000"/>
              <w:left w:val="single" w:sz="8" w:space="0" w:color="000000"/>
              <w:bottom w:val="single" w:sz="8" w:space="0" w:color="000000"/>
              <w:right w:val="single" w:sz="8" w:space="0" w:color="000000"/>
            </w:tcBorders>
            <w:vAlign w:val="center"/>
          </w:tcPr>
          <w:p w14:paraId="609A9BCB"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233,506.33</w:t>
            </w:r>
          </w:p>
        </w:tc>
        <w:tc>
          <w:tcPr>
            <w:tcW w:w="2183" w:type="dxa"/>
            <w:tcBorders>
              <w:top w:val="single" w:sz="8" w:space="0" w:color="000000"/>
              <w:left w:val="single" w:sz="8" w:space="0" w:color="000000"/>
              <w:bottom w:val="single" w:sz="8" w:space="0" w:color="000000"/>
              <w:right w:val="single" w:sz="8" w:space="0" w:color="000000"/>
            </w:tcBorders>
            <w:vAlign w:val="center"/>
          </w:tcPr>
          <w:p w14:paraId="2657A333"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0DD6C904"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62D79D53"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04BB6A13"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3,803,199.01</w:t>
            </w:r>
          </w:p>
        </w:tc>
        <w:tc>
          <w:tcPr>
            <w:tcW w:w="2126" w:type="dxa"/>
            <w:tcBorders>
              <w:top w:val="single" w:sz="8" w:space="0" w:color="000000"/>
              <w:left w:val="single" w:sz="8" w:space="0" w:color="000000"/>
              <w:bottom w:val="single" w:sz="8" w:space="0" w:color="000000"/>
              <w:right w:val="single" w:sz="8" w:space="0" w:color="000000"/>
            </w:tcBorders>
            <w:vAlign w:val="center"/>
          </w:tcPr>
          <w:p w14:paraId="24E1041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8,866,635.83</w:t>
            </w:r>
          </w:p>
        </w:tc>
        <w:tc>
          <w:tcPr>
            <w:tcW w:w="2183" w:type="dxa"/>
            <w:tcBorders>
              <w:top w:val="single" w:sz="8" w:space="0" w:color="000000"/>
              <w:left w:val="single" w:sz="8" w:space="0" w:color="000000"/>
              <w:bottom w:val="single" w:sz="8" w:space="0" w:color="000000"/>
              <w:right w:val="single" w:sz="8" w:space="0" w:color="000000"/>
            </w:tcBorders>
            <w:vAlign w:val="center"/>
          </w:tcPr>
          <w:p w14:paraId="6767A2A0"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61F2BFE5"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03EA5FB8"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lastRenderedPageBreak/>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5166D156"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7079B29F"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07C66A90"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73E29D5C"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8B8AD20"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1FD684E9"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3,217,037.26</w:t>
            </w:r>
          </w:p>
        </w:tc>
        <w:tc>
          <w:tcPr>
            <w:tcW w:w="2126" w:type="dxa"/>
            <w:tcBorders>
              <w:top w:val="single" w:sz="8" w:space="0" w:color="000000"/>
              <w:left w:val="single" w:sz="8" w:space="0" w:color="000000"/>
              <w:bottom w:val="single" w:sz="8" w:space="0" w:color="000000"/>
              <w:right w:val="single" w:sz="8" w:space="0" w:color="000000"/>
            </w:tcBorders>
            <w:vAlign w:val="center"/>
          </w:tcPr>
          <w:p w14:paraId="03B5A1C9"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1,521,660.16</w:t>
            </w:r>
          </w:p>
        </w:tc>
        <w:tc>
          <w:tcPr>
            <w:tcW w:w="2183" w:type="dxa"/>
            <w:tcBorders>
              <w:top w:val="single" w:sz="8" w:space="0" w:color="000000"/>
              <w:left w:val="single" w:sz="8" w:space="0" w:color="000000"/>
              <w:bottom w:val="single" w:sz="8" w:space="0" w:color="000000"/>
              <w:right w:val="single" w:sz="8" w:space="0" w:color="000000"/>
            </w:tcBorders>
            <w:vAlign w:val="center"/>
          </w:tcPr>
          <w:p w14:paraId="6A0C45E7"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484,214,990.44</w:t>
            </w:r>
          </w:p>
        </w:tc>
      </w:tr>
    </w:tbl>
    <w:p w14:paraId="57BBC895"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w:t>
      </w:r>
      <w:proofErr w:type="gramStart"/>
      <w:r w:rsidRPr="0073597F">
        <w:rPr>
          <w:color w:val="000000" w:themeColor="text1"/>
          <w:sz w:val="21"/>
          <w:szCs w:val="21"/>
          <w:shd w:val="clear" w:color="auto" w:fill="FFFFFF"/>
        </w:rPr>
        <w:t>固有资金</w:t>
      </w:r>
      <w:proofErr w:type="gramEnd"/>
      <w:r w:rsidRPr="0073597F">
        <w:rPr>
          <w:color w:val="000000" w:themeColor="text1"/>
          <w:sz w:val="21"/>
          <w:szCs w:val="21"/>
          <w:shd w:val="clear" w:color="auto" w:fill="FFFFFF"/>
        </w:rPr>
        <w:t>投资本基金情况</w:t>
      </w:r>
    </w:p>
    <w:p w14:paraId="5A0AE733"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6F547F05"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1799C773"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w:t>
      </w:r>
      <w:proofErr w:type="gramStart"/>
      <w:r w:rsidRPr="0073597F">
        <w:rPr>
          <w:b/>
          <w:color w:val="000000" w:themeColor="text1"/>
          <w:szCs w:val="21"/>
          <w:shd w:val="clear" w:color="auto" w:fill="FFFFFF"/>
        </w:rPr>
        <w:t>固有资金</w:t>
      </w:r>
      <w:proofErr w:type="gramEnd"/>
      <w:r w:rsidRPr="0073597F">
        <w:rPr>
          <w:b/>
          <w:color w:val="000000" w:themeColor="text1"/>
          <w:szCs w:val="21"/>
          <w:shd w:val="clear" w:color="auto" w:fill="FFFFFF"/>
        </w:rPr>
        <w:t>投资本基金交易明细</w:t>
      </w:r>
    </w:p>
    <w:p w14:paraId="01853829"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6EC824E7"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影响投资者决策的其他重要信息</w:t>
      </w:r>
    </w:p>
    <w:p w14:paraId="0F3CB1FA" w14:textId="77777777"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14:paraId="29DF13B3" w14:textId="77777777">
        <w:tc>
          <w:tcPr>
            <w:tcW w:w="993" w:type="dxa"/>
            <w:vMerge w:val="restart"/>
            <w:vAlign w:val="center"/>
          </w:tcPr>
          <w:p w14:paraId="26846CCF"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14:paraId="414F0263"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14:paraId="0F1B6ADB"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14:paraId="439898B9" w14:textId="77777777">
        <w:tc>
          <w:tcPr>
            <w:tcW w:w="993" w:type="dxa"/>
            <w:vMerge/>
            <w:vAlign w:val="center"/>
          </w:tcPr>
          <w:p w14:paraId="6E038015" w14:textId="77777777"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14:paraId="17559F77"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14:paraId="4AD35931"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14:paraId="29119926"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14:paraId="232D134F"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14:paraId="134A82A3"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14:paraId="2C825EE3"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14:paraId="207F02BC"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DE6D28" w14:paraId="5AEBCBC6" w14:textId="77777777">
        <w:tc>
          <w:tcPr>
            <w:tcW w:w="993" w:type="dxa"/>
            <w:vMerge w:val="restart"/>
            <w:vAlign w:val="center"/>
          </w:tcPr>
          <w:p w14:paraId="5027D469" w14:textId="77777777" w:rsidR="00DE6D28" w:rsidRDefault="00D23241">
            <w:r>
              <w:rPr>
                <w:bCs/>
                <w:color w:val="000000" w:themeColor="text1"/>
                <w:kern w:val="0"/>
                <w:szCs w:val="21"/>
              </w:rPr>
              <w:t>机构</w:t>
            </w:r>
          </w:p>
        </w:tc>
        <w:tc>
          <w:tcPr>
            <w:tcW w:w="992" w:type="dxa"/>
            <w:vAlign w:val="center"/>
          </w:tcPr>
          <w:p w14:paraId="230CACDE" w14:textId="77777777" w:rsidR="00DE6D28" w:rsidRDefault="00D23241">
            <w:pPr>
              <w:jc w:val="center"/>
            </w:pPr>
            <w:r>
              <w:rPr>
                <w:color w:val="000000" w:themeColor="text1"/>
                <w:kern w:val="0"/>
                <w:szCs w:val="21"/>
              </w:rPr>
              <w:t>1</w:t>
            </w:r>
          </w:p>
        </w:tc>
        <w:tc>
          <w:tcPr>
            <w:tcW w:w="1843" w:type="dxa"/>
            <w:vAlign w:val="center"/>
          </w:tcPr>
          <w:p w14:paraId="385089A1" w14:textId="77777777" w:rsidR="00DE6D28" w:rsidRDefault="00D23241">
            <w:pPr>
              <w:jc w:val="center"/>
            </w:pPr>
            <w:r>
              <w:rPr>
                <w:color w:val="000000" w:themeColor="text1"/>
                <w:kern w:val="0"/>
                <w:szCs w:val="21"/>
              </w:rPr>
              <w:t>20240401-20240630</w:t>
            </w:r>
          </w:p>
        </w:tc>
        <w:tc>
          <w:tcPr>
            <w:tcW w:w="851" w:type="dxa"/>
            <w:vAlign w:val="center"/>
          </w:tcPr>
          <w:p w14:paraId="04BCBC2F" w14:textId="77777777" w:rsidR="00DE6D28" w:rsidRDefault="00D23241">
            <w:pPr>
              <w:jc w:val="center"/>
            </w:pPr>
            <w:r>
              <w:rPr>
                <w:color w:val="000000" w:themeColor="text1"/>
                <w:kern w:val="0"/>
                <w:szCs w:val="21"/>
              </w:rPr>
              <w:t>484,214,507.07</w:t>
            </w:r>
          </w:p>
        </w:tc>
        <w:tc>
          <w:tcPr>
            <w:tcW w:w="850" w:type="dxa"/>
            <w:vAlign w:val="center"/>
          </w:tcPr>
          <w:p w14:paraId="578C109E" w14:textId="77777777" w:rsidR="00DE6D28" w:rsidRDefault="00D23241">
            <w:pPr>
              <w:jc w:val="center"/>
            </w:pPr>
            <w:r>
              <w:rPr>
                <w:color w:val="000000" w:themeColor="text1"/>
                <w:kern w:val="0"/>
                <w:szCs w:val="21"/>
              </w:rPr>
              <w:t>0.00</w:t>
            </w:r>
          </w:p>
        </w:tc>
        <w:tc>
          <w:tcPr>
            <w:tcW w:w="1134" w:type="dxa"/>
            <w:vAlign w:val="center"/>
          </w:tcPr>
          <w:p w14:paraId="33666A6C" w14:textId="77777777" w:rsidR="00DE6D28" w:rsidRDefault="00D23241">
            <w:pPr>
              <w:jc w:val="center"/>
            </w:pPr>
            <w:r>
              <w:rPr>
                <w:color w:val="000000" w:themeColor="text1"/>
                <w:kern w:val="0"/>
                <w:szCs w:val="21"/>
              </w:rPr>
              <w:t>0.00</w:t>
            </w:r>
          </w:p>
        </w:tc>
        <w:tc>
          <w:tcPr>
            <w:tcW w:w="1419" w:type="dxa"/>
            <w:vAlign w:val="center"/>
          </w:tcPr>
          <w:p w14:paraId="7B0D6FB9" w14:textId="77777777" w:rsidR="00DE6D28" w:rsidRDefault="00D23241">
            <w:pPr>
              <w:jc w:val="center"/>
            </w:pPr>
            <w:r>
              <w:rPr>
                <w:color w:val="000000" w:themeColor="text1"/>
                <w:kern w:val="0"/>
                <w:szCs w:val="21"/>
              </w:rPr>
              <w:t>484,214,507.07</w:t>
            </w:r>
          </w:p>
        </w:tc>
        <w:tc>
          <w:tcPr>
            <w:tcW w:w="1130" w:type="dxa"/>
            <w:vAlign w:val="center"/>
          </w:tcPr>
          <w:p w14:paraId="4D83F8C7" w14:textId="77777777" w:rsidR="00DE6D28" w:rsidRDefault="00D23241">
            <w:pPr>
              <w:jc w:val="center"/>
            </w:pPr>
            <w:r>
              <w:rPr>
                <w:color w:val="000000" w:themeColor="text1"/>
                <w:kern w:val="0"/>
                <w:szCs w:val="21"/>
              </w:rPr>
              <w:t>99.03%</w:t>
            </w:r>
          </w:p>
        </w:tc>
      </w:tr>
      <w:tr w:rsidR="0073597F" w:rsidRPr="0073597F" w14:paraId="382AD66B" w14:textId="77777777">
        <w:tc>
          <w:tcPr>
            <w:tcW w:w="9212" w:type="dxa"/>
            <w:gridSpan w:val="8"/>
            <w:vAlign w:val="center"/>
          </w:tcPr>
          <w:p w14:paraId="22F550D6" w14:textId="77777777"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14:paraId="200EEC18" w14:textId="77777777">
        <w:tc>
          <w:tcPr>
            <w:tcW w:w="9212" w:type="dxa"/>
            <w:gridSpan w:val="8"/>
            <w:vAlign w:val="center"/>
          </w:tcPr>
          <w:p w14:paraId="5E7094F2" w14:textId="77777777"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14:paraId="778428EF"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§9 </w:t>
      </w:r>
      <w:r w:rsidRPr="0073597F">
        <w:rPr>
          <w:rFonts w:eastAsiaTheme="minorEastAsia"/>
          <w:color w:val="000000" w:themeColor="text1"/>
          <w:kern w:val="0"/>
          <w:sz w:val="21"/>
          <w:szCs w:val="21"/>
        </w:rPr>
        <w:t>备查文件目录</w:t>
      </w:r>
    </w:p>
    <w:p w14:paraId="24235F53"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14:paraId="7C0CA86C"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0CA63D0F"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、《摩根纯债丰利债券型证券投资基金基金合同》</w:t>
      </w:r>
    </w:p>
    <w:p w14:paraId="60812BCF"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、《摩根纯债丰利债券型证券投资基金托管协议》</w:t>
      </w:r>
    </w:p>
    <w:p w14:paraId="567A895A"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35F423C7"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、基金管理人业务资格批件、营业执照</w:t>
      </w:r>
    </w:p>
    <w:p w14:paraId="720D5A36"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054AD06B" w14:textId="77777777" w:rsidR="00DE6D28" w:rsidRDefault="00D23241">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222A43A8"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8</w:t>
      </w:r>
      <w:r w:rsidRPr="0073597F">
        <w:rPr>
          <w:rFonts w:eastAsiaTheme="minorEastAsia"/>
          <w:color w:val="000000" w:themeColor="text1"/>
          <w:szCs w:val="21"/>
        </w:rPr>
        <w:t>、中国证监会要求的其他文件</w:t>
      </w:r>
    </w:p>
    <w:p w14:paraId="4A725301"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14:paraId="1EE73870"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基金管理人或基金托管人住所。</w:t>
      </w:r>
    </w:p>
    <w:p w14:paraId="276CE9D2"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14:paraId="1852DB8F"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3DBDAE41" w14:textId="77777777" w:rsidR="005E6DF3" w:rsidRPr="0073597F" w:rsidRDefault="005E6DF3">
      <w:pPr>
        <w:spacing w:line="360" w:lineRule="auto"/>
        <w:ind w:left="840"/>
        <w:jc w:val="right"/>
        <w:rPr>
          <w:rFonts w:eastAsiaTheme="minorEastAsia"/>
          <w:color w:val="000000" w:themeColor="text1"/>
          <w:szCs w:val="21"/>
        </w:rPr>
      </w:pPr>
    </w:p>
    <w:p w14:paraId="30D2BB05" w14:textId="77777777" w:rsidR="005E6DF3" w:rsidRPr="0073597F" w:rsidRDefault="005E6DF3">
      <w:pPr>
        <w:spacing w:line="360" w:lineRule="auto"/>
        <w:ind w:left="840"/>
        <w:jc w:val="center"/>
        <w:rPr>
          <w:rFonts w:eastAsiaTheme="minorEastAsia"/>
          <w:b/>
          <w:color w:val="000000" w:themeColor="text1"/>
          <w:szCs w:val="21"/>
        </w:rPr>
      </w:pPr>
    </w:p>
    <w:p w14:paraId="1F5D8CA1"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62E8BFD9"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二〇二四年七月十九日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E834" w14:textId="77777777" w:rsidR="008730DF" w:rsidRDefault="008730DF">
      <w:r>
        <w:separator/>
      </w:r>
    </w:p>
  </w:endnote>
  <w:endnote w:type="continuationSeparator" w:id="0">
    <w:p w14:paraId="54950FED"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157D" w14:textId="77777777"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AFC9"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65CAFAD"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8058"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521197E5"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095D" w14:textId="77777777" w:rsidR="008730DF" w:rsidRDefault="008730DF">
      <w:r>
        <w:separator/>
      </w:r>
    </w:p>
  </w:footnote>
  <w:footnote w:type="continuationSeparator" w:id="0">
    <w:p w14:paraId="5C193D24"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56D9" w14:textId="77777777" w:rsidR="0033334C" w:rsidRDefault="0033334C">
    <w:pPr>
      <w:pStyle w:val="af"/>
      <w:pBdr>
        <w:bottom w:val="single" w:sz="6" w:space="0" w:color="auto"/>
      </w:pBdr>
      <w:jc w:val="right"/>
    </w:pPr>
    <w:proofErr w:type="gramStart"/>
    <w:r>
      <w:t>摩根纯债丰利</w:t>
    </w:r>
    <w:proofErr w:type="gramEnd"/>
    <w:r>
      <w:t>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3241"/>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6D28"/>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96431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187</TotalTime>
  <Pages>15</Pages>
  <Words>1297</Words>
  <Characters>7393</Characters>
  <Application>Microsoft Office Word</Application>
  <DocSecurity>0</DocSecurity>
  <Lines>61</Lines>
  <Paragraphs>17</Paragraphs>
  <ScaleCrop>false</ScaleCrop>
  <Company>TRT. Ltd. Co.</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237</cp:revision>
  <cp:lastPrinted>2007-07-19T00:46:00Z</cp:lastPrinted>
  <dcterms:created xsi:type="dcterms:W3CDTF">2013-06-21T06:56:00Z</dcterms:created>
  <dcterms:modified xsi:type="dcterms:W3CDTF">2024-07-18T06:11:00Z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