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769028" w14:textId="77777777" w:rsidR="0052708D" w:rsidRDefault="0052708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D85334F" w14:textId="77777777" w:rsidR="0052708D" w:rsidRDefault="0052708D">
      <w:pPr>
        <w:spacing w:line="360" w:lineRule="auto"/>
        <w:rPr>
          <w:rFonts w:ascii="宋体" w:hAnsi="宋体" w:hint="eastAsia"/>
          <w:sz w:val="48"/>
        </w:rPr>
      </w:pPr>
      <w:r>
        <w:rPr>
          <w:rFonts w:ascii="宋体" w:hAnsi="宋体" w:hint="eastAsia"/>
          <w:sz w:val="48"/>
        </w:rPr>
        <w:t xml:space="preserve">　 </w:t>
      </w:r>
    </w:p>
    <w:p w14:paraId="3A0E4361" w14:textId="77777777" w:rsidR="0052708D" w:rsidRDefault="0052708D">
      <w:pPr>
        <w:spacing w:line="360" w:lineRule="auto"/>
        <w:jc w:val="center"/>
      </w:pPr>
      <w:r>
        <w:rPr>
          <w:rFonts w:ascii="宋体" w:hAnsi="宋体" w:hint="eastAsia"/>
          <w:b/>
          <w:bCs/>
          <w:color w:val="000000" w:themeColor="text1"/>
          <w:sz w:val="48"/>
          <w:szCs w:val="30"/>
        </w:rPr>
        <w:t>摩根纯债丰利债券型证券投资基金</w:t>
      </w:r>
      <w:r>
        <w:rPr>
          <w:rFonts w:ascii="宋体" w:hAnsi="宋体" w:hint="eastAsia"/>
          <w:b/>
          <w:bCs/>
          <w:color w:val="000000" w:themeColor="text1"/>
          <w:sz w:val="48"/>
          <w:szCs w:val="30"/>
        </w:rPr>
        <w:br/>
        <w:t>2026年第1季度报告</w:t>
      </w:r>
    </w:p>
    <w:p w14:paraId="503BA65F"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1B6A64F4" w14:textId="77777777" w:rsidR="0052708D" w:rsidRDefault="0052708D">
      <w:pPr>
        <w:spacing w:line="360" w:lineRule="auto"/>
        <w:jc w:val="center"/>
      </w:pPr>
      <w:r>
        <w:rPr>
          <w:rFonts w:ascii="宋体" w:hAnsi="宋体" w:hint="eastAsia"/>
          <w:b/>
          <w:bCs/>
          <w:sz w:val="28"/>
          <w:szCs w:val="30"/>
        </w:rPr>
        <w:t>2026年3月31日</w:t>
      </w:r>
    </w:p>
    <w:p w14:paraId="5BAFA155"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7BCD18A9"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063802FC"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2DD72D21" w14:textId="7933833A" w:rsidR="0052708D" w:rsidRDefault="0052708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2EB0B94"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7E27F644"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5E1F962C"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7CD0FF68"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78E3286C"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3D92A9F3"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3E8EACB7" w14:textId="77777777" w:rsidR="0052708D" w:rsidRDefault="0052708D">
      <w:pPr>
        <w:spacing w:line="360" w:lineRule="auto"/>
        <w:jc w:val="center"/>
        <w:rPr>
          <w:rFonts w:ascii="宋体" w:hAnsi="宋体" w:hint="eastAsia"/>
          <w:sz w:val="28"/>
          <w:szCs w:val="30"/>
        </w:rPr>
      </w:pPr>
      <w:r>
        <w:rPr>
          <w:rFonts w:ascii="宋体" w:hAnsi="宋体" w:hint="eastAsia"/>
          <w:sz w:val="28"/>
          <w:szCs w:val="30"/>
        </w:rPr>
        <w:t xml:space="preserve">　 </w:t>
      </w:r>
    </w:p>
    <w:p w14:paraId="0284AF5E" w14:textId="77777777" w:rsidR="0052708D" w:rsidRDefault="0052708D">
      <w:pPr>
        <w:spacing w:line="360" w:lineRule="auto"/>
        <w:ind w:firstLineChars="800" w:firstLine="2249"/>
        <w:jc w:val="left"/>
      </w:pPr>
      <w:r>
        <w:rPr>
          <w:rFonts w:ascii="宋体" w:hAnsi="宋体" w:hint="eastAsia"/>
          <w:b/>
          <w:bCs/>
          <w:sz w:val="28"/>
          <w:szCs w:val="30"/>
        </w:rPr>
        <w:t>基金管理人：摩根基金管理（中国）有限公司</w:t>
      </w:r>
    </w:p>
    <w:p w14:paraId="3748562E" w14:textId="77777777" w:rsidR="0052708D" w:rsidRDefault="0052708D">
      <w:pPr>
        <w:spacing w:line="360" w:lineRule="auto"/>
        <w:ind w:firstLineChars="800" w:firstLine="2249"/>
        <w:jc w:val="left"/>
      </w:pPr>
      <w:r>
        <w:rPr>
          <w:rFonts w:ascii="宋体" w:hAnsi="宋体" w:hint="eastAsia"/>
          <w:b/>
          <w:bCs/>
          <w:sz w:val="28"/>
          <w:szCs w:val="30"/>
        </w:rPr>
        <w:t>基金托管人：中国银行股份有限公司</w:t>
      </w:r>
    </w:p>
    <w:p w14:paraId="6D1F02EB" w14:textId="77777777" w:rsidR="0052708D" w:rsidRDefault="0052708D">
      <w:pPr>
        <w:spacing w:line="360" w:lineRule="auto"/>
        <w:ind w:firstLineChars="800" w:firstLine="2249"/>
        <w:jc w:val="left"/>
      </w:pPr>
      <w:r>
        <w:rPr>
          <w:rFonts w:ascii="宋体" w:hAnsi="宋体" w:hint="eastAsia"/>
          <w:b/>
          <w:bCs/>
          <w:sz w:val="28"/>
          <w:szCs w:val="30"/>
        </w:rPr>
        <w:t>报告送出日期：2026年4月22日</w:t>
      </w:r>
    </w:p>
    <w:p w14:paraId="59BFEAE7" w14:textId="77777777" w:rsidR="0052708D" w:rsidRDefault="0052708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2A391BC" w14:textId="77777777" w:rsidR="0052708D" w:rsidRDefault="0052708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81AAFC4" w14:textId="77777777" w:rsidR="0052708D" w:rsidRDefault="0052708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4B168F" w14:paraId="5014FA29" w14:textId="77777777">
        <w:trPr>
          <w:divId w:val="63610455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2D5BD35" w14:textId="77777777" w:rsidR="0052708D" w:rsidRDefault="0052708D">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C86D47" w14:textId="77777777" w:rsidR="0052708D" w:rsidRDefault="0052708D">
            <w:pPr>
              <w:jc w:val="left"/>
            </w:pPr>
            <w:r>
              <w:rPr>
                <w:rFonts w:ascii="宋体" w:hAnsi="宋体" w:hint="eastAsia"/>
                <w:szCs w:val="24"/>
                <w:lang w:eastAsia="zh-Hans"/>
              </w:rPr>
              <w:t>摩根纯债丰利债券</w:t>
            </w:r>
            <w:r>
              <w:rPr>
                <w:rFonts w:ascii="宋体" w:hAnsi="宋体" w:hint="eastAsia"/>
                <w:lang w:eastAsia="zh-Hans"/>
              </w:rPr>
              <w:t xml:space="preserve"> </w:t>
            </w:r>
          </w:p>
        </w:tc>
      </w:tr>
      <w:tr w:rsidR="004B168F" w14:paraId="3A842FB7"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CDC7AB" w14:textId="77777777" w:rsidR="0052708D" w:rsidRDefault="0052708D">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71BD9F" w14:textId="77777777" w:rsidR="0052708D" w:rsidRDefault="0052708D">
            <w:pPr>
              <w:jc w:val="left"/>
            </w:pPr>
            <w:r>
              <w:rPr>
                <w:rFonts w:ascii="宋体" w:hAnsi="宋体" w:hint="eastAsia"/>
                <w:lang w:eastAsia="zh-Hans"/>
              </w:rPr>
              <w:t>000839</w:t>
            </w:r>
          </w:p>
        </w:tc>
      </w:tr>
      <w:tr w:rsidR="004B168F" w14:paraId="47A2A386"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2746BC" w14:textId="77777777" w:rsidR="0052708D" w:rsidRDefault="0052708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D1908A" w14:textId="77777777" w:rsidR="0052708D" w:rsidRDefault="0052708D">
            <w:pPr>
              <w:jc w:val="left"/>
            </w:pPr>
            <w:r>
              <w:rPr>
                <w:rFonts w:ascii="宋体" w:hAnsi="宋体" w:hint="eastAsia"/>
                <w:lang w:eastAsia="zh-Hans"/>
              </w:rPr>
              <w:t>契约型开放式</w:t>
            </w:r>
          </w:p>
        </w:tc>
      </w:tr>
      <w:tr w:rsidR="004B168F" w14:paraId="1EA5AD87"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6817A8" w14:textId="77777777" w:rsidR="0052708D" w:rsidRDefault="0052708D">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6068EA" w14:textId="77777777" w:rsidR="0052708D" w:rsidRDefault="0052708D">
            <w:pPr>
              <w:jc w:val="left"/>
            </w:pPr>
            <w:r>
              <w:rPr>
                <w:rFonts w:ascii="宋体" w:hAnsi="宋体" w:hint="eastAsia"/>
                <w:lang w:eastAsia="zh-Hans"/>
              </w:rPr>
              <w:t>2014年11月18日</w:t>
            </w:r>
          </w:p>
        </w:tc>
      </w:tr>
      <w:tr w:rsidR="004B168F" w14:paraId="0DD40372"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FEE9AF" w14:textId="77777777" w:rsidR="0052708D" w:rsidRDefault="0052708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57D004" w14:textId="77777777" w:rsidR="0052708D" w:rsidRDefault="0052708D">
            <w:pPr>
              <w:jc w:val="left"/>
            </w:pPr>
            <w:r>
              <w:rPr>
                <w:rFonts w:ascii="宋体" w:hAnsi="宋体" w:hint="eastAsia"/>
                <w:lang w:eastAsia="zh-Hans"/>
              </w:rPr>
              <w:t>304,169,800.14</w:t>
            </w:r>
            <w:r>
              <w:rPr>
                <w:rFonts w:hint="eastAsia"/>
              </w:rPr>
              <w:t>份</w:t>
            </w:r>
            <w:r>
              <w:rPr>
                <w:rFonts w:ascii="宋体" w:hAnsi="宋体" w:hint="eastAsia"/>
                <w:lang w:eastAsia="zh-Hans"/>
              </w:rPr>
              <w:t xml:space="preserve"> </w:t>
            </w:r>
          </w:p>
        </w:tc>
      </w:tr>
      <w:tr w:rsidR="004B168F" w14:paraId="7F4D8478"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94E5A9" w14:textId="77777777" w:rsidR="0052708D" w:rsidRDefault="0052708D">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3B558C" w14:textId="77777777" w:rsidR="0052708D" w:rsidRDefault="0052708D">
            <w:pPr>
              <w:jc w:val="left"/>
            </w:pPr>
            <w:r>
              <w:rPr>
                <w:rFonts w:ascii="宋体" w:hAnsi="宋体" w:hint="eastAsia"/>
                <w:lang w:eastAsia="zh-Hans"/>
              </w:rPr>
              <w:t>在严格控制风险的前提下，通过积极主动地投资管理，力争实现长期稳定的投资回报。</w:t>
            </w:r>
          </w:p>
        </w:tc>
      </w:tr>
      <w:tr w:rsidR="004B168F" w14:paraId="3A7F91EB"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DFDAAB" w14:textId="77777777" w:rsidR="0052708D" w:rsidRDefault="0052708D">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D4A9B7" w14:textId="77777777" w:rsidR="0052708D" w:rsidRDefault="0052708D">
            <w:pPr>
              <w:jc w:val="left"/>
            </w:pPr>
            <w:r>
              <w:rPr>
                <w:rFonts w:ascii="宋体" w:hAnsi="宋体" w:hint="eastAsia"/>
                <w:lang w:eastAsia="zh-Hans"/>
              </w:rPr>
              <w:t>本基金将采用自上而下的方法，对宏观经济形势和货币政策进行分析，并结合债券市场供需状况、市场流动性水平等重要市场指标，对不同债券板块之间的相对投资价值进行考量，确定债券类属配置策略，并根据市场变化及时进行调整，从而选择既能匹配目标久期、同时又能获得较高持有期收益的类属债券配置比例。本基金将以内部信用评级为主、外部信用评级为辅，研究债券发行主体的基本面，以确定债券的违约风险和合理的信用利差水平，判断债券的投资价值。本基金将重点分析债券发行人所处行业的发展前景、市场竞争地位、财务质量（包括资产负债水平、资产变现能力、偿债能力、运营效率以及现金流质量）等要素，综合评价其信用等级，谨慎选择债券发行人基本面良好、债券条款优惠的信用类债券进行投资。</w:t>
            </w:r>
            <w:r>
              <w:rPr>
                <w:rFonts w:ascii="宋体" w:hAnsi="宋体" w:hint="eastAsia"/>
                <w:lang w:eastAsia="zh-Hans"/>
              </w:rPr>
              <w:br/>
              <w:t>具体的投资策略包括：债权类属配置策略、信用策略、久期调整策略、期限结构配置策略、息差策略、中小企业私募债券投资策略、资产支持证券投资策</w:t>
            </w:r>
            <w:r>
              <w:rPr>
                <w:rFonts w:ascii="宋体" w:hAnsi="宋体" w:hint="eastAsia"/>
                <w:lang w:eastAsia="zh-Hans"/>
              </w:rPr>
              <w:lastRenderedPageBreak/>
              <w:t>略。</w:t>
            </w:r>
          </w:p>
        </w:tc>
      </w:tr>
      <w:tr w:rsidR="004B168F" w14:paraId="670B6F76"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0DC64D" w14:textId="77777777" w:rsidR="0052708D" w:rsidRDefault="0052708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7D6152" w14:textId="77777777" w:rsidR="0052708D" w:rsidRDefault="0052708D">
            <w:pPr>
              <w:jc w:val="left"/>
            </w:pPr>
            <w:r>
              <w:rPr>
                <w:rFonts w:ascii="宋体" w:hAnsi="宋体" w:hint="eastAsia"/>
                <w:lang w:eastAsia="zh-Hans"/>
              </w:rPr>
              <w:t>中证综合债券指数</w:t>
            </w:r>
          </w:p>
        </w:tc>
      </w:tr>
      <w:tr w:rsidR="004B168F" w14:paraId="7A9CEEE4"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BFF88E" w14:textId="77777777" w:rsidR="0052708D" w:rsidRDefault="0052708D">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AF2EA3" w14:textId="77777777" w:rsidR="0052708D" w:rsidRDefault="0052708D">
            <w:pPr>
              <w:jc w:val="left"/>
            </w:pPr>
            <w:r>
              <w:rPr>
                <w:rFonts w:ascii="宋体" w:hAnsi="宋体" w:hint="eastAsia"/>
                <w:lang w:eastAsia="zh-Hans"/>
              </w:rPr>
              <w:t>本基金为债券型基金，属于证券投资基金中的较低风险品种，其预期风险与预期收益高于货币市场基金，低于混合型基金和股票型基金。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4B168F" w14:paraId="2C26C67F"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858C33" w14:textId="77777777" w:rsidR="0052708D" w:rsidRDefault="0052708D">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60659B" w14:textId="77777777" w:rsidR="0052708D" w:rsidRDefault="0052708D">
            <w:pPr>
              <w:jc w:val="left"/>
            </w:pPr>
            <w:r>
              <w:rPr>
                <w:rFonts w:ascii="宋体" w:hAnsi="宋体" w:hint="eastAsia"/>
                <w:lang w:eastAsia="zh-Hans"/>
              </w:rPr>
              <w:t>摩根基金管理（中国）有限公司</w:t>
            </w:r>
          </w:p>
        </w:tc>
      </w:tr>
      <w:tr w:rsidR="004B168F" w14:paraId="7EA468FD" w14:textId="77777777">
        <w:trPr>
          <w:divId w:val="63610455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99D226" w14:textId="77777777" w:rsidR="0052708D" w:rsidRDefault="0052708D">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1FD7BE" w14:textId="77777777" w:rsidR="0052708D" w:rsidRDefault="0052708D">
            <w:pPr>
              <w:jc w:val="left"/>
            </w:pPr>
            <w:r>
              <w:rPr>
                <w:rFonts w:ascii="宋体" w:hAnsi="宋体" w:hint="eastAsia"/>
                <w:lang w:eastAsia="zh-Hans"/>
              </w:rPr>
              <w:t>中国银行股份有限公司</w:t>
            </w:r>
          </w:p>
        </w:tc>
      </w:tr>
      <w:tr w:rsidR="004B168F" w14:paraId="46CF49E3" w14:textId="77777777">
        <w:trPr>
          <w:divId w:val="6361045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5CB15E" w14:textId="77777777" w:rsidR="0052708D" w:rsidRDefault="0052708D">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0D1593" w14:textId="77777777" w:rsidR="0052708D" w:rsidRDefault="0052708D">
            <w:pPr>
              <w:jc w:val="center"/>
            </w:pPr>
            <w:r>
              <w:rPr>
                <w:rFonts w:ascii="宋体" w:hAnsi="宋体" w:hint="eastAsia"/>
                <w:lang w:eastAsia="zh-Hans"/>
              </w:rPr>
              <w:t>摩根纯债丰利债券A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018B9B" w14:textId="77777777" w:rsidR="0052708D" w:rsidRDefault="0052708D">
            <w:pPr>
              <w:jc w:val="center"/>
            </w:pPr>
            <w:r>
              <w:rPr>
                <w:rFonts w:ascii="宋体" w:hAnsi="宋体" w:hint="eastAsia"/>
                <w:lang w:eastAsia="zh-Hans"/>
              </w:rPr>
              <w:t>摩根纯债丰利债券C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5A607" w14:textId="77777777" w:rsidR="0052708D" w:rsidRDefault="0052708D">
            <w:pPr>
              <w:jc w:val="center"/>
            </w:pPr>
            <w:r>
              <w:rPr>
                <w:rFonts w:ascii="宋体" w:hAnsi="宋体" w:hint="eastAsia"/>
                <w:lang w:eastAsia="zh-Hans"/>
              </w:rPr>
              <w:t>摩根纯债丰利债券D</w:t>
            </w:r>
            <w:r>
              <w:rPr>
                <w:rFonts w:ascii="宋体" w:hAnsi="宋体" w:hint="eastAsia"/>
                <w:kern w:val="0"/>
                <w:sz w:val="20"/>
                <w:lang w:eastAsia="zh-Hans"/>
              </w:rPr>
              <w:t xml:space="preserve"> </w:t>
            </w:r>
          </w:p>
        </w:tc>
      </w:tr>
      <w:tr w:rsidR="004B168F" w14:paraId="3CE86DE1" w14:textId="77777777">
        <w:trPr>
          <w:divId w:val="6361045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26029" w14:textId="77777777" w:rsidR="0052708D" w:rsidRDefault="0052708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3FBE71" w14:textId="77777777" w:rsidR="0052708D" w:rsidRDefault="0052708D">
            <w:pPr>
              <w:jc w:val="center"/>
            </w:pPr>
            <w:r>
              <w:rPr>
                <w:rFonts w:ascii="宋体" w:hAnsi="宋体" w:hint="eastAsia"/>
                <w:lang w:eastAsia="zh-Hans"/>
              </w:rPr>
              <w:t>000839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79BBB6" w14:textId="77777777" w:rsidR="0052708D" w:rsidRDefault="0052708D">
            <w:pPr>
              <w:jc w:val="center"/>
            </w:pPr>
            <w:r>
              <w:rPr>
                <w:rFonts w:ascii="宋体" w:hAnsi="宋体" w:hint="eastAsia"/>
                <w:lang w:eastAsia="zh-Hans"/>
              </w:rPr>
              <w:t>000840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2F39C" w14:textId="77777777" w:rsidR="0052708D" w:rsidRDefault="0052708D">
            <w:pPr>
              <w:jc w:val="center"/>
            </w:pPr>
            <w:r>
              <w:rPr>
                <w:rFonts w:ascii="宋体" w:hAnsi="宋体" w:hint="eastAsia"/>
                <w:lang w:eastAsia="zh-Hans"/>
              </w:rPr>
              <w:t>020959</w:t>
            </w:r>
            <w:r>
              <w:rPr>
                <w:rFonts w:ascii="宋体" w:hAnsi="宋体" w:hint="eastAsia"/>
                <w:kern w:val="0"/>
                <w:sz w:val="20"/>
                <w:lang w:eastAsia="zh-Hans"/>
              </w:rPr>
              <w:t xml:space="preserve"> </w:t>
            </w:r>
          </w:p>
        </w:tc>
      </w:tr>
      <w:bookmarkEnd w:id="32"/>
      <w:bookmarkEnd w:id="33"/>
      <w:tr w:rsidR="004B168F" w14:paraId="311995CC" w14:textId="77777777">
        <w:trPr>
          <w:divId w:val="63610455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CC3225" w14:textId="77777777" w:rsidR="0052708D" w:rsidRDefault="0052708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C9461" w14:textId="77777777" w:rsidR="0052708D" w:rsidRDefault="0052708D">
            <w:pPr>
              <w:jc w:val="center"/>
            </w:pPr>
            <w:r>
              <w:rPr>
                <w:rFonts w:ascii="宋体" w:hAnsi="宋体" w:hint="eastAsia"/>
                <w:lang w:eastAsia="zh-Hans"/>
              </w:rPr>
              <w:t>3,418,849.75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50609" w14:textId="77777777" w:rsidR="0052708D" w:rsidRDefault="0052708D">
            <w:pPr>
              <w:jc w:val="center"/>
            </w:pPr>
            <w:r>
              <w:rPr>
                <w:rFonts w:ascii="宋体" w:hAnsi="宋体" w:hint="eastAsia"/>
                <w:lang w:eastAsia="zh-Hans"/>
              </w:rPr>
              <w:t>738,952.11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554F8" w14:textId="77777777" w:rsidR="0052708D" w:rsidRDefault="0052708D">
            <w:pPr>
              <w:jc w:val="center"/>
            </w:pPr>
            <w:r>
              <w:rPr>
                <w:rFonts w:ascii="宋体" w:hAnsi="宋体" w:hint="eastAsia"/>
                <w:lang w:eastAsia="zh-Hans"/>
              </w:rPr>
              <w:t>300,011,998.28</w:t>
            </w:r>
            <w:r>
              <w:rPr>
                <w:rFonts w:hint="eastAsia"/>
              </w:rPr>
              <w:t>份</w:t>
            </w:r>
            <w:r>
              <w:rPr>
                <w:rFonts w:ascii="宋体" w:hAnsi="宋体" w:hint="eastAsia"/>
                <w:lang w:eastAsia="zh-Hans"/>
              </w:rPr>
              <w:t xml:space="preserve"> </w:t>
            </w:r>
          </w:p>
        </w:tc>
      </w:tr>
    </w:tbl>
    <w:p w14:paraId="3D947592" w14:textId="77777777" w:rsidR="0052708D" w:rsidRDefault="0052708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36F404E" w14:textId="77777777" w:rsidR="0052708D" w:rsidRDefault="0052708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E0290C7" w14:textId="77777777" w:rsidR="0052708D" w:rsidRDefault="0052708D">
      <w:pPr>
        <w:jc w:val="right"/>
        <w:divId w:val="11845297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4B168F" w14:paraId="3AED5B29" w14:textId="77777777">
        <w:trPr>
          <w:divId w:val="11845297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3791516" w14:textId="77777777" w:rsidR="0052708D" w:rsidRDefault="0052708D">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72AAAF4" w14:textId="77777777" w:rsidR="0052708D" w:rsidRDefault="0052708D">
            <w:pPr>
              <w:pStyle w:val="a5"/>
              <w:jc w:val="center"/>
              <w:rPr>
                <w:rFonts w:hint="eastAsia"/>
              </w:rPr>
            </w:pPr>
            <w:r>
              <w:rPr>
                <w:rFonts w:hint="eastAsia"/>
                <w:kern w:val="2"/>
                <w:sz w:val="21"/>
                <w:szCs w:val="24"/>
                <w:lang w:eastAsia="zh-Hans"/>
              </w:rPr>
              <w:t xml:space="preserve">报告期（2026年1月1日 - 2026年3月31日） </w:t>
            </w:r>
          </w:p>
        </w:tc>
      </w:tr>
      <w:tr w:rsidR="004B168F" w14:paraId="4C50F853" w14:textId="77777777">
        <w:trPr>
          <w:divId w:val="11845297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F0BF0" w14:textId="77777777" w:rsidR="0052708D" w:rsidRDefault="0052708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809BA13" w14:textId="77777777" w:rsidR="0052708D" w:rsidRDefault="0052708D">
            <w:pPr>
              <w:jc w:val="center"/>
            </w:pPr>
            <w:r>
              <w:rPr>
                <w:rFonts w:ascii="宋体" w:hAnsi="宋体" w:hint="eastAsia"/>
                <w:szCs w:val="24"/>
                <w:lang w:eastAsia="zh-Hans"/>
              </w:rPr>
              <w:t>摩根纯债丰利债券A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834341C" w14:textId="77777777" w:rsidR="0052708D" w:rsidRDefault="0052708D">
            <w:pPr>
              <w:jc w:val="center"/>
            </w:pPr>
            <w:r>
              <w:rPr>
                <w:rFonts w:ascii="宋体" w:hAnsi="宋体" w:hint="eastAsia"/>
                <w:szCs w:val="24"/>
                <w:lang w:eastAsia="zh-Hans"/>
              </w:rPr>
              <w:t>摩根纯债丰利债券C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5BFDB68" w14:textId="77777777" w:rsidR="0052708D" w:rsidRDefault="0052708D">
            <w:pPr>
              <w:jc w:val="center"/>
            </w:pPr>
            <w:r>
              <w:rPr>
                <w:rFonts w:ascii="宋体" w:hAnsi="宋体" w:hint="eastAsia"/>
                <w:szCs w:val="24"/>
                <w:lang w:eastAsia="zh-Hans"/>
              </w:rPr>
              <w:t>摩根纯债丰利债券D</w:t>
            </w:r>
          </w:p>
        </w:tc>
      </w:tr>
      <w:tr w:rsidR="004B168F" w14:paraId="2CD87E10" w14:textId="77777777">
        <w:trPr>
          <w:divId w:val="118452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3764C" w14:textId="77777777" w:rsidR="0052708D" w:rsidRDefault="0052708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EE1BE5" w14:textId="77777777" w:rsidR="0052708D" w:rsidRDefault="0052708D">
            <w:pPr>
              <w:jc w:val="right"/>
            </w:pPr>
            <w:r>
              <w:rPr>
                <w:rFonts w:ascii="宋体" w:hAnsi="宋体" w:hint="eastAsia"/>
                <w:szCs w:val="24"/>
                <w:lang w:eastAsia="zh-Hans"/>
              </w:rPr>
              <w:t>7,355.78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B11BAC" w14:textId="77777777" w:rsidR="0052708D" w:rsidRDefault="0052708D">
            <w:pPr>
              <w:jc w:val="right"/>
            </w:pPr>
            <w:r>
              <w:rPr>
                <w:rFonts w:ascii="宋体" w:hAnsi="宋体" w:hint="eastAsia"/>
                <w:szCs w:val="24"/>
                <w:lang w:eastAsia="zh-Hans"/>
              </w:rPr>
              <w:t>1,205.18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7F7C82" w14:textId="77777777" w:rsidR="0052708D" w:rsidRDefault="0052708D">
            <w:pPr>
              <w:jc w:val="right"/>
            </w:pPr>
            <w:r>
              <w:rPr>
                <w:rFonts w:ascii="宋体" w:hAnsi="宋体" w:hint="eastAsia"/>
                <w:szCs w:val="24"/>
                <w:lang w:eastAsia="zh-Hans"/>
              </w:rPr>
              <w:t>531,859.48</w:t>
            </w:r>
          </w:p>
        </w:tc>
      </w:tr>
      <w:tr w:rsidR="004B168F" w14:paraId="061B728A" w14:textId="77777777">
        <w:trPr>
          <w:divId w:val="118452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6908CD" w14:textId="77777777" w:rsidR="0052708D" w:rsidRDefault="0052708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8363E9" w14:textId="77777777" w:rsidR="0052708D" w:rsidRDefault="0052708D">
            <w:pPr>
              <w:jc w:val="right"/>
            </w:pPr>
            <w:r>
              <w:rPr>
                <w:rFonts w:ascii="宋体" w:hAnsi="宋体" w:hint="eastAsia"/>
                <w:szCs w:val="24"/>
                <w:lang w:eastAsia="zh-Hans"/>
              </w:rPr>
              <w:t>23,936.98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9CA768" w14:textId="77777777" w:rsidR="0052708D" w:rsidRDefault="0052708D">
            <w:pPr>
              <w:jc w:val="right"/>
            </w:pPr>
            <w:r>
              <w:rPr>
                <w:rFonts w:ascii="宋体" w:hAnsi="宋体" w:hint="eastAsia"/>
                <w:szCs w:val="24"/>
                <w:lang w:eastAsia="zh-Hans"/>
              </w:rPr>
              <w:t>4,635.01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CEF862" w14:textId="77777777" w:rsidR="0052708D" w:rsidRDefault="0052708D">
            <w:pPr>
              <w:jc w:val="right"/>
            </w:pPr>
            <w:r>
              <w:rPr>
                <w:rFonts w:ascii="宋体" w:hAnsi="宋体" w:hint="eastAsia"/>
                <w:szCs w:val="24"/>
                <w:lang w:eastAsia="zh-Hans"/>
              </w:rPr>
              <w:t>1,969,366.74</w:t>
            </w:r>
          </w:p>
        </w:tc>
      </w:tr>
      <w:tr w:rsidR="004B168F" w14:paraId="313DCB30" w14:textId="77777777">
        <w:trPr>
          <w:divId w:val="118452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05CEAE" w14:textId="77777777" w:rsidR="0052708D" w:rsidRDefault="0052708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D6CC0C" w14:textId="77777777" w:rsidR="0052708D" w:rsidRDefault="0052708D">
            <w:pPr>
              <w:jc w:val="right"/>
            </w:pPr>
            <w:r>
              <w:rPr>
                <w:rFonts w:ascii="宋体" w:hAnsi="宋体" w:hint="eastAsia"/>
                <w:szCs w:val="24"/>
                <w:lang w:eastAsia="zh-Hans"/>
              </w:rPr>
              <w:t>0.0064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5E8BE0" w14:textId="77777777" w:rsidR="0052708D" w:rsidRDefault="0052708D">
            <w:pPr>
              <w:jc w:val="right"/>
            </w:pPr>
            <w:r>
              <w:rPr>
                <w:rFonts w:ascii="宋体" w:hAnsi="宋体" w:hint="eastAsia"/>
                <w:szCs w:val="24"/>
                <w:lang w:eastAsia="zh-Hans"/>
              </w:rPr>
              <w:t>0.0063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28EDF7" w14:textId="77777777" w:rsidR="0052708D" w:rsidRDefault="0052708D">
            <w:pPr>
              <w:jc w:val="right"/>
            </w:pPr>
            <w:r>
              <w:rPr>
                <w:rFonts w:ascii="宋体" w:hAnsi="宋体" w:hint="eastAsia"/>
                <w:szCs w:val="24"/>
                <w:lang w:eastAsia="zh-Hans"/>
              </w:rPr>
              <w:t>0.0066</w:t>
            </w:r>
          </w:p>
        </w:tc>
      </w:tr>
      <w:tr w:rsidR="004B168F" w14:paraId="5EBF1F57" w14:textId="77777777">
        <w:trPr>
          <w:divId w:val="118452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A8BB98" w14:textId="77777777" w:rsidR="0052708D" w:rsidRDefault="0052708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3170D1" w14:textId="77777777" w:rsidR="0052708D" w:rsidRDefault="0052708D">
            <w:pPr>
              <w:jc w:val="right"/>
            </w:pPr>
            <w:r>
              <w:rPr>
                <w:rFonts w:ascii="宋体" w:hAnsi="宋体" w:hint="eastAsia"/>
                <w:szCs w:val="24"/>
                <w:lang w:eastAsia="zh-Hans"/>
              </w:rPr>
              <w:t>3,577,137.20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C1B70D" w14:textId="77777777" w:rsidR="0052708D" w:rsidRDefault="0052708D">
            <w:pPr>
              <w:jc w:val="right"/>
            </w:pPr>
            <w:r>
              <w:rPr>
                <w:rFonts w:ascii="宋体" w:hAnsi="宋体" w:hint="eastAsia"/>
                <w:szCs w:val="24"/>
                <w:lang w:eastAsia="zh-Hans"/>
              </w:rPr>
              <w:t>771,785.32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983F3F" w14:textId="77777777" w:rsidR="0052708D" w:rsidRDefault="0052708D">
            <w:pPr>
              <w:jc w:val="right"/>
            </w:pPr>
            <w:r>
              <w:rPr>
                <w:rFonts w:ascii="宋体" w:hAnsi="宋体" w:hint="eastAsia"/>
                <w:szCs w:val="24"/>
                <w:lang w:eastAsia="zh-Hans"/>
              </w:rPr>
              <w:t>314,043,904.21</w:t>
            </w:r>
          </w:p>
        </w:tc>
      </w:tr>
      <w:tr w:rsidR="004B168F" w14:paraId="7BA7B43C" w14:textId="77777777">
        <w:trPr>
          <w:divId w:val="118452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222312" w14:textId="77777777" w:rsidR="0052708D" w:rsidRDefault="0052708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A85AE7" w14:textId="77777777" w:rsidR="0052708D" w:rsidRDefault="0052708D">
            <w:pPr>
              <w:jc w:val="right"/>
            </w:pPr>
            <w:r>
              <w:rPr>
                <w:rFonts w:ascii="宋体" w:hAnsi="宋体" w:hint="eastAsia"/>
                <w:szCs w:val="24"/>
                <w:lang w:eastAsia="zh-Hans"/>
              </w:rPr>
              <w:t>1.0463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B4494C" w14:textId="77777777" w:rsidR="0052708D" w:rsidRDefault="0052708D">
            <w:pPr>
              <w:jc w:val="right"/>
            </w:pPr>
            <w:r>
              <w:rPr>
                <w:rFonts w:ascii="宋体" w:hAnsi="宋体" w:hint="eastAsia"/>
                <w:szCs w:val="24"/>
                <w:lang w:eastAsia="zh-Hans"/>
              </w:rPr>
              <w:t>1.0444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6CF2B3" w14:textId="77777777" w:rsidR="0052708D" w:rsidRDefault="0052708D">
            <w:pPr>
              <w:jc w:val="right"/>
            </w:pPr>
            <w:r>
              <w:rPr>
                <w:rFonts w:ascii="宋体" w:hAnsi="宋体" w:hint="eastAsia"/>
                <w:szCs w:val="24"/>
                <w:lang w:eastAsia="zh-Hans"/>
              </w:rPr>
              <w:t>1.0468</w:t>
            </w:r>
          </w:p>
        </w:tc>
      </w:tr>
    </w:tbl>
    <w:p w14:paraId="6BBA61B2" w14:textId="77777777" w:rsidR="0052708D" w:rsidRDefault="0052708D">
      <w:pPr>
        <w:wordWrap w:val="0"/>
        <w:spacing w:line="360" w:lineRule="auto"/>
        <w:jc w:val="left"/>
        <w:divId w:val="15021592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842EC43" w14:textId="77777777" w:rsidR="0052708D" w:rsidRDefault="0052708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A6EB741" w14:textId="77777777" w:rsidR="0052708D" w:rsidRDefault="0052708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4792E8D" w14:textId="77777777" w:rsidR="0052708D" w:rsidRDefault="0052708D">
      <w:pPr>
        <w:spacing w:line="360" w:lineRule="auto"/>
        <w:jc w:val="center"/>
        <w:divId w:val="441268510"/>
      </w:pPr>
      <w:r>
        <w:rPr>
          <w:rFonts w:ascii="宋体" w:hAnsi="宋体" w:hint="eastAsia"/>
        </w:rPr>
        <w:t>摩根纯债丰利债券A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B168F" w14:paraId="46170523" w14:textId="77777777">
        <w:trPr>
          <w:divId w:val="4412685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FBAD51" w14:textId="77777777" w:rsidR="0052708D" w:rsidRDefault="0052708D">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34CAF2" w14:textId="77777777" w:rsidR="0052708D" w:rsidRDefault="0052708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5AB3E7" w14:textId="77777777" w:rsidR="0052708D" w:rsidRDefault="0052708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B486D9" w14:textId="77777777" w:rsidR="0052708D" w:rsidRDefault="0052708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A61C41" w14:textId="77777777" w:rsidR="0052708D" w:rsidRDefault="0052708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6D941" w14:textId="77777777" w:rsidR="0052708D" w:rsidRDefault="0052708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19852E" w14:textId="77777777" w:rsidR="0052708D" w:rsidRDefault="0052708D">
            <w:pPr>
              <w:spacing w:line="360" w:lineRule="auto"/>
              <w:jc w:val="center"/>
            </w:pPr>
            <w:r>
              <w:rPr>
                <w:rFonts w:ascii="宋体" w:hAnsi="宋体" w:hint="eastAsia"/>
              </w:rPr>
              <w:t xml:space="preserve">②－④ </w:t>
            </w:r>
          </w:p>
        </w:tc>
      </w:tr>
      <w:tr w:rsidR="004B168F" w14:paraId="3751ADE8" w14:textId="77777777">
        <w:trPr>
          <w:divId w:val="441268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CD7DE" w14:textId="77777777" w:rsidR="0052708D" w:rsidRDefault="0052708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25CC7" w14:textId="77777777" w:rsidR="0052708D" w:rsidRDefault="0052708D">
            <w:pPr>
              <w:spacing w:line="360" w:lineRule="auto"/>
              <w:jc w:val="right"/>
            </w:pPr>
            <w:r>
              <w:rPr>
                <w:rFonts w:ascii="宋体" w:hAnsi="宋体" w:hint="eastAsia"/>
              </w:rPr>
              <w:t xml:space="preserve">0.63%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E2551" w14:textId="77777777" w:rsidR="0052708D" w:rsidRDefault="0052708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A8B42" w14:textId="77777777" w:rsidR="0052708D" w:rsidRDefault="0052708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D6654" w14:textId="77777777" w:rsidR="0052708D" w:rsidRDefault="0052708D">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4B6806" w14:textId="77777777" w:rsidR="0052708D" w:rsidRDefault="0052708D">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2A145" w14:textId="77777777" w:rsidR="0052708D" w:rsidRDefault="0052708D">
            <w:pPr>
              <w:spacing w:line="360" w:lineRule="auto"/>
              <w:jc w:val="right"/>
            </w:pPr>
            <w:r>
              <w:rPr>
                <w:rFonts w:ascii="宋体" w:hAnsi="宋体" w:hint="eastAsia"/>
              </w:rPr>
              <w:t xml:space="preserve">-0.01% </w:t>
            </w:r>
          </w:p>
        </w:tc>
      </w:tr>
      <w:tr w:rsidR="004B168F" w14:paraId="34193389" w14:textId="77777777">
        <w:trPr>
          <w:divId w:val="441268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96EF4" w14:textId="77777777" w:rsidR="0052708D" w:rsidRDefault="0052708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26007" w14:textId="77777777" w:rsidR="0052708D" w:rsidRDefault="0052708D">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AE121" w14:textId="77777777" w:rsidR="0052708D" w:rsidRDefault="0052708D">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BA11B" w14:textId="77777777" w:rsidR="0052708D" w:rsidRDefault="0052708D">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054DD" w14:textId="77777777" w:rsidR="0052708D" w:rsidRDefault="0052708D">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A463C6" w14:textId="77777777" w:rsidR="0052708D" w:rsidRDefault="0052708D">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47354" w14:textId="77777777" w:rsidR="0052708D" w:rsidRDefault="0052708D">
            <w:pPr>
              <w:spacing w:line="360" w:lineRule="auto"/>
              <w:jc w:val="right"/>
            </w:pPr>
            <w:r>
              <w:rPr>
                <w:rFonts w:ascii="宋体" w:hAnsi="宋体" w:hint="eastAsia"/>
              </w:rPr>
              <w:t xml:space="preserve">-0.01% </w:t>
            </w:r>
          </w:p>
        </w:tc>
      </w:tr>
      <w:tr w:rsidR="004B168F" w14:paraId="68604C47" w14:textId="77777777">
        <w:trPr>
          <w:divId w:val="441268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AD653" w14:textId="77777777" w:rsidR="0052708D" w:rsidRDefault="0052708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D19E5" w14:textId="77777777" w:rsidR="0052708D" w:rsidRDefault="0052708D">
            <w:pPr>
              <w:spacing w:line="360" w:lineRule="auto"/>
              <w:jc w:val="right"/>
            </w:pPr>
            <w:r>
              <w:rPr>
                <w:rFonts w:ascii="宋体" w:hAnsi="宋体" w:hint="eastAsia"/>
              </w:rPr>
              <w:t xml:space="preserve">1.00%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76E09" w14:textId="77777777" w:rsidR="0052708D" w:rsidRDefault="0052708D">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53540" w14:textId="77777777" w:rsidR="0052708D" w:rsidRDefault="0052708D">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893E4"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AE8225" w14:textId="77777777" w:rsidR="0052708D" w:rsidRDefault="0052708D">
            <w:pPr>
              <w:spacing w:line="360" w:lineRule="auto"/>
              <w:jc w:val="right"/>
            </w:pPr>
            <w:r>
              <w:rPr>
                <w:rFonts w:ascii="宋体" w:hAnsi="宋体" w:hint="eastAsia"/>
              </w:rPr>
              <w:t xml:space="preserve">-1.19%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3AA12" w14:textId="77777777" w:rsidR="0052708D" w:rsidRDefault="0052708D">
            <w:pPr>
              <w:spacing w:line="360" w:lineRule="auto"/>
              <w:jc w:val="right"/>
            </w:pPr>
            <w:r>
              <w:rPr>
                <w:rFonts w:ascii="宋体" w:hAnsi="宋体" w:hint="eastAsia"/>
              </w:rPr>
              <w:t xml:space="preserve">-0.01% </w:t>
            </w:r>
          </w:p>
        </w:tc>
      </w:tr>
      <w:tr w:rsidR="004B168F" w14:paraId="05DA98E0" w14:textId="77777777">
        <w:trPr>
          <w:divId w:val="441268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B3488" w14:textId="77777777" w:rsidR="0052708D" w:rsidRDefault="0052708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B1F19" w14:textId="77777777" w:rsidR="0052708D" w:rsidRDefault="0052708D">
            <w:pPr>
              <w:spacing w:line="360" w:lineRule="auto"/>
              <w:jc w:val="right"/>
            </w:pPr>
            <w:r>
              <w:rPr>
                <w:rFonts w:ascii="宋体" w:hAnsi="宋体" w:hint="eastAsia"/>
              </w:rPr>
              <w:t xml:space="preserve">6.07%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4C5D1"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5C48E" w14:textId="77777777" w:rsidR="0052708D" w:rsidRDefault="0052708D">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26F6D" w14:textId="77777777" w:rsidR="0052708D" w:rsidRDefault="005270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097B8B" w14:textId="77777777" w:rsidR="0052708D" w:rsidRDefault="0052708D">
            <w:pPr>
              <w:spacing w:line="360" w:lineRule="auto"/>
              <w:jc w:val="right"/>
            </w:pPr>
            <w:r>
              <w:rPr>
                <w:rFonts w:ascii="宋体" w:hAnsi="宋体" w:hint="eastAsia"/>
              </w:rPr>
              <w:t xml:space="preserve">-7.68%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56042" w14:textId="77777777" w:rsidR="0052708D" w:rsidRDefault="0052708D">
            <w:pPr>
              <w:spacing w:line="360" w:lineRule="auto"/>
              <w:jc w:val="right"/>
            </w:pPr>
            <w:r>
              <w:rPr>
                <w:rFonts w:ascii="宋体" w:hAnsi="宋体" w:hint="eastAsia"/>
              </w:rPr>
              <w:t xml:space="preserve">-0.01% </w:t>
            </w:r>
          </w:p>
        </w:tc>
      </w:tr>
      <w:tr w:rsidR="004B168F" w14:paraId="7668FE14" w14:textId="77777777">
        <w:trPr>
          <w:divId w:val="441268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77522" w14:textId="77777777" w:rsidR="0052708D" w:rsidRDefault="0052708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57630" w14:textId="77777777" w:rsidR="0052708D" w:rsidRDefault="0052708D">
            <w:pPr>
              <w:spacing w:line="360" w:lineRule="auto"/>
              <w:jc w:val="right"/>
            </w:pPr>
            <w:r>
              <w:rPr>
                <w:rFonts w:ascii="宋体" w:hAnsi="宋体" w:hint="eastAsia"/>
              </w:rPr>
              <w:t xml:space="preserve">11.89%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3EB4D" w14:textId="77777777" w:rsidR="0052708D" w:rsidRDefault="0052708D">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6B6F9" w14:textId="77777777" w:rsidR="0052708D" w:rsidRDefault="0052708D">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64BAA"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A1B777" w14:textId="77777777" w:rsidR="0052708D" w:rsidRDefault="0052708D">
            <w:pPr>
              <w:spacing w:line="360" w:lineRule="auto"/>
              <w:jc w:val="right"/>
            </w:pPr>
            <w:r>
              <w:rPr>
                <w:rFonts w:ascii="宋体" w:hAnsi="宋体" w:hint="eastAsia"/>
              </w:rPr>
              <w:t xml:space="preserve">-11.75%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809B3" w14:textId="77777777" w:rsidR="0052708D" w:rsidRDefault="0052708D">
            <w:pPr>
              <w:spacing w:line="360" w:lineRule="auto"/>
              <w:jc w:val="right"/>
            </w:pPr>
            <w:r>
              <w:rPr>
                <w:rFonts w:ascii="宋体" w:hAnsi="宋体" w:hint="eastAsia"/>
              </w:rPr>
              <w:t xml:space="preserve">-0.01% </w:t>
            </w:r>
          </w:p>
        </w:tc>
      </w:tr>
      <w:tr w:rsidR="004B168F" w14:paraId="6BD95242" w14:textId="77777777">
        <w:trPr>
          <w:divId w:val="441268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82E3E" w14:textId="77777777" w:rsidR="0052708D" w:rsidRDefault="0052708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2C66E" w14:textId="77777777" w:rsidR="0052708D" w:rsidRDefault="0052708D">
            <w:pPr>
              <w:spacing w:line="360" w:lineRule="auto"/>
              <w:jc w:val="right"/>
            </w:pPr>
            <w:r>
              <w:rPr>
                <w:rFonts w:ascii="宋体" w:hAnsi="宋体" w:hint="eastAsia"/>
              </w:rPr>
              <w:t xml:space="preserve">33.86%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355DB" w14:textId="77777777" w:rsidR="0052708D" w:rsidRDefault="005270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1A1FB" w14:textId="77777777" w:rsidR="0052708D" w:rsidRDefault="0052708D">
            <w:pPr>
              <w:spacing w:line="360" w:lineRule="auto"/>
              <w:jc w:val="right"/>
            </w:pPr>
            <w:r>
              <w:rPr>
                <w:rFonts w:ascii="宋体" w:hAnsi="宋体" w:hint="eastAsia"/>
              </w:rPr>
              <w:t xml:space="preserve">60.11%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FD18E"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C71757" w14:textId="77777777" w:rsidR="0052708D" w:rsidRDefault="0052708D">
            <w:pPr>
              <w:spacing w:line="360" w:lineRule="auto"/>
              <w:jc w:val="right"/>
            </w:pPr>
            <w:r>
              <w:rPr>
                <w:rFonts w:ascii="宋体" w:hAnsi="宋体" w:hint="eastAsia"/>
              </w:rPr>
              <w:t xml:space="preserve">-26.25%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74E07" w14:textId="77777777" w:rsidR="0052708D" w:rsidRDefault="0052708D">
            <w:pPr>
              <w:spacing w:line="360" w:lineRule="auto"/>
              <w:jc w:val="right"/>
            </w:pPr>
            <w:r>
              <w:rPr>
                <w:rFonts w:ascii="宋体" w:hAnsi="宋体" w:hint="eastAsia"/>
              </w:rPr>
              <w:t xml:space="preserve">0.01% </w:t>
            </w:r>
          </w:p>
        </w:tc>
      </w:tr>
    </w:tbl>
    <w:p w14:paraId="0B35A797" w14:textId="77777777" w:rsidR="0052708D" w:rsidRDefault="0052708D">
      <w:pPr>
        <w:spacing w:line="360" w:lineRule="auto"/>
        <w:jc w:val="center"/>
        <w:divId w:val="487594870"/>
      </w:pPr>
      <w:r>
        <w:rPr>
          <w:rFonts w:ascii="宋体" w:hAnsi="宋体" w:hint="eastAsia"/>
        </w:rPr>
        <w:t>摩根纯债丰利债券C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B168F" w14:paraId="0F53CA82" w14:textId="77777777">
        <w:trPr>
          <w:divId w:val="4875948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6AF7D7" w14:textId="77777777" w:rsidR="0052708D" w:rsidRDefault="0052708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B2BE7C" w14:textId="77777777" w:rsidR="0052708D" w:rsidRDefault="0052708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426A8D" w14:textId="77777777" w:rsidR="0052708D" w:rsidRDefault="0052708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FE4BFC" w14:textId="77777777" w:rsidR="0052708D" w:rsidRDefault="0052708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B5D532" w14:textId="77777777" w:rsidR="0052708D" w:rsidRDefault="0052708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0B70F" w14:textId="77777777" w:rsidR="0052708D" w:rsidRDefault="0052708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3B7065" w14:textId="77777777" w:rsidR="0052708D" w:rsidRDefault="0052708D">
            <w:pPr>
              <w:spacing w:line="360" w:lineRule="auto"/>
              <w:jc w:val="center"/>
            </w:pPr>
            <w:r>
              <w:rPr>
                <w:rFonts w:ascii="宋体" w:hAnsi="宋体" w:hint="eastAsia"/>
              </w:rPr>
              <w:t xml:space="preserve">②－④ </w:t>
            </w:r>
          </w:p>
        </w:tc>
      </w:tr>
      <w:tr w:rsidR="004B168F" w14:paraId="0A41F150" w14:textId="77777777">
        <w:trPr>
          <w:divId w:val="4875948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C86F7" w14:textId="77777777" w:rsidR="0052708D" w:rsidRDefault="0052708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26BE0" w14:textId="77777777" w:rsidR="0052708D" w:rsidRDefault="0052708D">
            <w:pPr>
              <w:spacing w:line="360" w:lineRule="auto"/>
              <w:jc w:val="right"/>
            </w:pPr>
            <w:r>
              <w:rPr>
                <w:rFonts w:ascii="宋体" w:hAnsi="宋体" w:hint="eastAsia"/>
              </w:rPr>
              <w:t xml:space="preserve">0.61%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1486B" w14:textId="77777777" w:rsidR="0052708D" w:rsidRDefault="0052708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3F4C2" w14:textId="77777777" w:rsidR="0052708D" w:rsidRDefault="0052708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17FAE" w14:textId="77777777" w:rsidR="0052708D" w:rsidRDefault="0052708D">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2C2D45" w14:textId="77777777" w:rsidR="0052708D" w:rsidRDefault="0052708D">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1A208" w14:textId="77777777" w:rsidR="0052708D" w:rsidRDefault="0052708D">
            <w:pPr>
              <w:spacing w:line="360" w:lineRule="auto"/>
              <w:jc w:val="right"/>
            </w:pPr>
            <w:r>
              <w:rPr>
                <w:rFonts w:ascii="宋体" w:hAnsi="宋体" w:hint="eastAsia"/>
              </w:rPr>
              <w:t xml:space="preserve">-0.01% </w:t>
            </w:r>
          </w:p>
        </w:tc>
      </w:tr>
      <w:tr w:rsidR="004B168F" w14:paraId="40C55BC8" w14:textId="77777777">
        <w:trPr>
          <w:divId w:val="4875948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34CD3" w14:textId="77777777" w:rsidR="0052708D" w:rsidRDefault="0052708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70E6C" w14:textId="77777777" w:rsidR="0052708D" w:rsidRDefault="0052708D">
            <w:pPr>
              <w:spacing w:line="360" w:lineRule="auto"/>
              <w:jc w:val="right"/>
            </w:pPr>
            <w:r>
              <w:rPr>
                <w:rFonts w:ascii="宋体" w:hAnsi="宋体" w:hint="eastAsia"/>
              </w:rPr>
              <w:t xml:space="preserve">0.87%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121EB" w14:textId="77777777" w:rsidR="0052708D" w:rsidRDefault="0052708D">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F28A9" w14:textId="77777777" w:rsidR="0052708D" w:rsidRDefault="0052708D">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7B1A2" w14:textId="77777777" w:rsidR="0052708D" w:rsidRDefault="0052708D">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6696AE" w14:textId="77777777" w:rsidR="0052708D" w:rsidRDefault="0052708D">
            <w:pPr>
              <w:spacing w:line="360" w:lineRule="auto"/>
              <w:jc w:val="right"/>
            </w:pPr>
            <w:r>
              <w:rPr>
                <w:rFonts w:ascii="宋体" w:hAnsi="宋体" w:hint="eastAsia"/>
              </w:rPr>
              <w:t xml:space="preserve">-0.49%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F4A61" w14:textId="77777777" w:rsidR="0052708D" w:rsidRDefault="0052708D">
            <w:pPr>
              <w:spacing w:line="360" w:lineRule="auto"/>
              <w:jc w:val="right"/>
            </w:pPr>
            <w:r>
              <w:rPr>
                <w:rFonts w:ascii="宋体" w:hAnsi="宋体" w:hint="eastAsia"/>
              </w:rPr>
              <w:t xml:space="preserve">-0.01% </w:t>
            </w:r>
          </w:p>
        </w:tc>
      </w:tr>
      <w:tr w:rsidR="004B168F" w14:paraId="68EA72E4" w14:textId="77777777">
        <w:trPr>
          <w:divId w:val="4875948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EDAC0" w14:textId="77777777" w:rsidR="0052708D" w:rsidRDefault="0052708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AE273" w14:textId="77777777" w:rsidR="0052708D" w:rsidRDefault="0052708D">
            <w:pPr>
              <w:spacing w:line="360" w:lineRule="auto"/>
              <w:jc w:val="right"/>
            </w:pPr>
            <w:r>
              <w:rPr>
                <w:rFonts w:ascii="宋体" w:hAnsi="宋体" w:hint="eastAsia"/>
              </w:rPr>
              <w:t xml:space="preserve">0.89%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E226D" w14:textId="77777777" w:rsidR="0052708D" w:rsidRDefault="0052708D">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BA8D5" w14:textId="77777777" w:rsidR="0052708D" w:rsidRDefault="0052708D">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8C952"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3035BE" w14:textId="77777777" w:rsidR="0052708D" w:rsidRDefault="0052708D">
            <w:pPr>
              <w:spacing w:line="360" w:lineRule="auto"/>
              <w:jc w:val="right"/>
            </w:pPr>
            <w:r>
              <w:rPr>
                <w:rFonts w:ascii="宋体" w:hAnsi="宋体" w:hint="eastAsia"/>
              </w:rPr>
              <w:t xml:space="preserve">-1.30%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A83AD" w14:textId="77777777" w:rsidR="0052708D" w:rsidRDefault="0052708D">
            <w:pPr>
              <w:spacing w:line="360" w:lineRule="auto"/>
              <w:jc w:val="right"/>
            </w:pPr>
            <w:r>
              <w:rPr>
                <w:rFonts w:ascii="宋体" w:hAnsi="宋体" w:hint="eastAsia"/>
              </w:rPr>
              <w:t xml:space="preserve">-0.01% </w:t>
            </w:r>
          </w:p>
        </w:tc>
      </w:tr>
      <w:tr w:rsidR="004B168F" w14:paraId="07B12436" w14:textId="77777777">
        <w:trPr>
          <w:divId w:val="4875948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6762A" w14:textId="77777777" w:rsidR="0052708D" w:rsidRDefault="0052708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FDADB" w14:textId="77777777" w:rsidR="0052708D" w:rsidRDefault="0052708D">
            <w:pPr>
              <w:spacing w:line="360" w:lineRule="auto"/>
              <w:jc w:val="right"/>
            </w:pPr>
            <w:r>
              <w:rPr>
                <w:rFonts w:ascii="宋体" w:hAnsi="宋体" w:hint="eastAsia"/>
              </w:rPr>
              <w:t xml:space="preserve">5.65%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C0D33"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3514A" w14:textId="77777777" w:rsidR="0052708D" w:rsidRDefault="0052708D">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27627" w14:textId="77777777" w:rsidR="0052708D" w:rsidRDefault="005270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4B69CB" w14:textId="77777777" w:rsidR="0052708D" w:rsidRDefault="0052708D">
            <w:pPr>
              <w:spacing w:line="360" w:lineRule="auto"/>
              <w:jc w:val="right"/>
            </w:pPr>
            <w:r>
              <w:rPr>
                <w:rFonts w:ascii="宋体" w:hAnsi="宋体" w:hint="eastAsia"/>
              </w:rPr>
              <w:t xml:space="preserve">-8.10%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6705B" w14:textId="77777777" w:rsidR="0052708D" w:rsidRDefault="0052708D">
            <w:pPr>
              <w:spacing w:line="360" w:lineRule="auto"/>
              <w:jc w:val="right"/>
            </w:pPr>
            <w:r>
              <w:rPr>
                <w:rFonts w:ascii="宋体" w:hAnsi="宋体" w:hint="eastAsia"/>
              </w:rPr>
              <w:t xml:space="preserve">-0.01% </w:t>
            </w:r>
          </w:p>
        </w:tc>
      </w:tr>
      <w:tr w:rsidR="004B168F" w14:paraId="2E37F087" w14:textId="77777777">
        <w:trPr>
          <w:divId w:val="4875948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6D43B" w14:textId="77777777" w:rsidR="0052708D" w:rsidRDefault="0052708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8A025" w14:textId="77777777" w:rsidR="0052708D" w:rsidRDefault="0052708D">
            <w:pPr>
              <w:spacing w:line="360" w:lineRule="auto"/>
              <w:jc w:val="right"/>
            </w:pPr>
            <w:r>
              <w:rPr>
                <w:rFonts w:ascii="宋体" w:hAnsi="宋体" w:hint="eastAsia"/>
              </w:rPr>
              <w:t xml:space="preserve">11.22%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47493" w14:textId="77777777" w:rsidR="0052708D" w:rsidRDefault="0052708D">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8E9AB" w14:textId="77777777" w:rsidR="0052708D" w:rsidRDefault="0052708D">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91CCA"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B238CA" w14:textId="77777777" w:rsidR="0052708D" w:rsidRDefault="0052708D">
            <w:pPr>
              <w:spacing w:line="360" w:lineRule="auto"/>
              <w:jc w:val="right"/>
            </w:pPr>
            <w:r>
              <w:rPr>
                <w:rFonts w:ascii="宋体" w:hAnsi="宋体" w:hint="eastAsia"/>
              </w:rPr>
              <w:t xml:space="preserve">-12.42%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97B31" w14:textId="77777777" w:rsidR="0052708D" w:rsidRDefault="0052708D">
            <w:pPr>
              <w:spacing w:line="360" w:lineRule="auto"/>
              <w:jc w:val="right"/>
            </w:pPr>
            <w:r>
              <w:rPr>
                <w:rFonts w:ascii="宋体" w:hAnsi="宋体" w:hint="eastAsia"/>
              </w:rPr>
              <w:t xml:space="preserve">-0.01% </w:t>
            </w:r>
          </w:p>
        </w:tc>
      </w:tr>
      <w:tr w:rsidR="004B168F" w14:paraId="0A5A3486" w14:textId="77777777">
        <w:trPr>
          <w:divId w:val="4875948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329E9" w14:textId="77777777" w:rsidR="0052708D" w:rsidRDefault="0052708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B9256" w14:textId="77777777" w:rsidR="0052708D" w:rsidRDefault="0052708D">
            <w:pPr>
              <w:spacing w:line="360" w:lineRule="auto"/>
              <w:jc w:val="right"/>
            </w:pPr>
            <w:r>
              <w:rPr>
                <w:rFonts w:ascii="宋体" w:hAnsi="宋体" w:hint="eastAsia"/>
              </w:rPr>
              <w:t xml:space="preserve">31.49%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993AE" w14:textId="77777777" w:rsidR="0052708D" w:rsidRDefault="0052708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35B06" w14:textId="77777777" w:rsidR="0052708D" w:rsidRDefault="0052708D">
            <w:pPr>
              <w:spacing w:line="360" w:lineRule="auto"/>
              <w:jc w:val="right"/>
            </w:pPr>
            <w:r>
              <w:rPr>
                <w:rFonts w:ascii="宋体" w:hAnsi="宋体" w:hint="eastAsia"/>
              </w:rPr>
              <w:t xml:space="preserve">60.11%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7A7D4"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4E6820" w14:textId="77777777" w:rsidR="0052708D" w:rsidRDefault="0052708D">
            <w:pPr>
              <w:spacing w:line="360" w:lineRule="auto"/>
              <w:jc w:val="right"/>
            </w:pPr>
            <w:r>
              <w:rPr>
                <w:rFonts w:ascii="宋体" w:hAnsi="宋体" w:hint="eastAsia"/>
              </w:rPr>
              <w:t xml:space="preserve">-28.62%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D7410" w14:textId="77777777" w:rsidR="0052708D" w:rsidRDefault="0052708D">
            <w:pPr>
              <w:spacing w:line="360" w:lineRule="auto"/>
              <w:jc w:val="right"/>
            </w:pPr>
            <w:r>
              <w:rPr>
                <w:rFonts w:ascii="宋体" w:hAnsi="宋体" w:hint="eastAsia"/>
              </w:rPr>
              <w:t xml:space="preserve">0.01% </w:t>
            </w:r>
          </w:p>
        </w:tc>
      </w:tr>
    </w:tbl>
    <w:p w14:paraId="419DC0B0" w14:textId="77777777" w:rsidR="0052708D" w:rsidRDefault="0052708D">
      <w:pPr>
        <w:spacing w:line="360" w:lineRule="auto"/>
        <w:jc w:val="center"/>
        <w:divId w:val="467863809"/>
      </w:pPr>
      <w:r>
        <w:rPr>
          <w:rFonts w:ascii="宋体" w:hAnsi="宋体" w:hint="eastAsia"/>
        </w:rPr>
        <w:t>摩根纯债丰利债券D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B168F" w14:paraId="00CBBE31" w14:textId="77777777">
        <w:trPr>
          <w:divId w:val="46786380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F5E8C4" w14:textId="77777777" w:rsidR="0052708D" w:rsidRDefault="0052708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EF9653" w14:textId="77777777" w:rsidR="0052708D" w:rsidRDefault="0052708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66AFF1" w14:textId="77777777" w:rsidR="0052708D" w:rsidRDefault="0052708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787676" w14:textId="77777777" w:rsidR="0052708D" w:rsidRDefault="0052708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655267" w14:textId="77777777" w:rsidR="0052708D" w:rsidRDefault="0052708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70279" w14:textId="77777777" w:rsidR="0052708D" w:rsidRDefault="0052708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C6B99E" w14:textId="77777777" w:rsidR="0052708D" w:rsidRDefault="0052708D">
            <w:pPr>
              <w:spacing w:line="360" w:lineRule="auto"/>
              <w:jc w:val="center"/>
            </w:pPr>
            <w:r>
              <w:rPr>
                <w:rFonts w:ascii="宋体" w:hAnsi="宋体" w:hint="eastAsia"/>
              </w:rPr>
              <w:t xml:space="preserve">②－④ </w:t>
            </w:r>
          </w:p>
        </w:tc>
      </w:tr>
      <w:tr w:rsidR="004B168F" w14:paraId="08A4A7FD" w14:textId="77777777">
        <w:trPr>
          <w:divId w:val="4678638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BFE79" w14:textId="77777777" w:rsidR="0052708D" w:rsidRDefault="0052708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E22EE" w14:textId="77777777" w:rsidR="0052708D" w:rsidRDefault="0052708D">
            <w:pPr>
              <w:spacing w:line="360" w:lineRule="auto"/>
              <w:jc w:val="right"/>
            </w:pPr>
            <w:r>
              <w:rPr>
                <w:rFonts w:ascii="宋体" w:hAnsi="宋体" w:hint="eastAsia"/>
              </w:rPr>
              <w:t xml:space="preserve">0.63%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EC190" w14:textId="77777777" w:rsidR="0052708D" w:rsidRDefault="0052708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4A334" w14:textId="77777777" w:rsidR="0052708D" w:rsidRDefault="0052708D">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5DF54" w14:textId="77777777" w:rsidR="0052708D" w:rsidRDefault="0052708D">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956066" w14:textId="77777777" w:rsidR="0052708D" w:rsidRDefault="0052708D">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FFC74" w14:textId="77777777" w:rsidR="0052708D" w:rsidRDefault="0052708D">
            <w:pPr>
              <w:spacing w:line="360" w:lineRule="auto"/>
              <w:jc w:val="right"/>
            </w:pPr>
            <w:r>
              <w:rPr>
                <w:rFonts w:ascii="宋体" w:hAnsi="宋体" w:hint="eastAsia"/>
              </w:rPr>
              <w:t xml:space="preserve">-0.01% </w:t>
            </w:r>
          </w:p>
        </w:tc>
      </w:tr>
      <w:tr w:rsidR="004B168F" w14:paraId="3558DD20" w14:textId="77777777">
        <w:trPr>
          <w:divId w:val="4678638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D5114" w14:textId="77777777" w:rsidR="0052708D" w:rsidRDefault="0052708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C40A2" w14:textId="77777777" w:rsidR="0052708D" w:rsidRDefault="0052708D">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874EC" w14:textId="77777777" w:rsidR="0052708D" w:rsidRDefault="0052708D">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A5520" w14:textId="77777777" w:rsidR="0052708D" w:rsidRDefault="0052708D">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0B332" w14:textId="77777777" w:rsidR="0052708D" w:rsidRDefault="0052708D">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7767B1" w14:textId="77777777" w:rsidR="0052708D" w:rsidRDefault="0052708D">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1EC08" w14:textId="77777777" w:rsidR="0052708D" w:rsidRDefault="0052708D">
            <w:pPr>
              <w:spacing w:line="360" w:lineRule="auto"/>
              <w:jc w:val="right"/>
            </w:pPr>
            <w:r>
              <w:rPr>
                <w:rFonts w:ascii="宋体" w:hAnsi="宋体" w:hint="eastAsia"/>
              </w:rPr>
              <w:t xml:space="preserve">-0.01% </w:t>
            </w:r>
          </w:p>
        </w:tc>
      </w:tr>
      <w:tr w:rsidR="004B168F" w14:paraId="325D558E" w14:textId="77777777">
        <w:trPr>
          <w:divId w:val="4678638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7F5E2" w14:textId="77777777" w:rsidR="0052708D" w:rsidRDefault="0052708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0B019" w14:textId="77777777" w:rsidR="0052708D" w:rsidRDefault="0052708D">
            <w:pPr>
              <w:spacing w:line="360" w:lineRule="auto"/>
              <w:jc w:val="right"/>
            </w:pPr>
            <w:r>
              <w:rPr>
                <w:rFonts w:ascii="宋体" w:hAnsi="宋体" w:hint="eastAsia"/>
              </w:rPr>
              <w:t xml:space="preserve">1.00%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0967C" w14:textId="77777777" w:rsidR="0052708D" w:rsidRDefault="0052708D">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9DFFF" w14:textId="77777777" w:rsidR="0052708D" w:rsidRDefault="0052708D">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32861"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E0FCE9" w14:textId="77777777" w:rsidR="0052708D" w:rsidRDefault="0052708D">
            <w:pPr>
              <w:spacing w:line="360" w:lineRule="auto"/>
              <w:jc w:val="right"/>
            </w:pPr>
            <w:r>
              <w:rPr>
                <w:rFonts w:ascii="宋体" w:hAnsi="宋体" w:hint="eastAsia"/>
              </w:rPr>
              <w:t xml:space="preserve">-1.19%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35128" w14:textId="77777777" w:rsidR="0052708D" w:rsidRDefault="0052708D">
            <w:pPr>
              <w:spacing w:line="360" w:lineRule="auto"/>
              <w:jc w:val="right"/>
            </w:pPr>
            <w:r>
              <w:rPr>
                <w:rFonts w:ascii="宋体" w:hAnsi="宋体" w:hint="eastAsia"/>
              </w:rPr>
              <w:t xml:space="preserve">-0.01% </w:t>
            </w:r>
          </w:p>
        </w:tc>
      </w:tr>
      <w:tr w:rsidR="004B168F" w14:paraId="7AA47180" w14:textId="77777777">
        <w:trPr>
          <w:divId w:val="4678638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80340" w14:textId="77777777" w:rsidR="0052708D" w:rsidRDefault="0052708D">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17FD8" w14:textId="77777777" w:rsidR="0052708D" w:rsidRDefault="0052708D">
            <w:pPr>
              <w:spacing w:line="360" w:lineRule="auto"/>
              <w:jc w:val="right"/>
            </w:pPr>
            <w:r>
              <w:rPr>
                <w:rFonts w:ascii="宋体" w:hAnsi="宋体" w:hint="eastAsia"/>
              </w:rPr>
              <w:lastRenderedPageBreak/>
              <w:t xml:space="preserve">4.83%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27A41" w14:textId="77777777" w:rsidR="0052708D" w:rsidRDefault="0052708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8E1F6" w14:textId="77777777" w:rsidR="0052708D" w:rsidRDefault="0052708D">
            <w:pPr>
              <w:spacing w:line="360" w:lineRule="auto"/>
              <w:jc w:val="right"/>
            </w:pPr>
            <w:r>
              <w:rPr>
                <w:rFonts w:ascii="宋体" w:hAnsi="宋体" w:hint="eastAsia"/>
              </w:rPr>
              <w:t xml:space="preserve">7.36%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165BE" w14:textId="77777777" w:rsidR="0052708D" w:rsidRDefault="0052708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291FE2" w14:textId="77777777" w:rsidR="0052708D" w:rsidRDefault="0052708D">
            <w:pPr>
              <w:spacing w:line="360" w:lineRule="auto"/>
              <w:jc w:val="right"/>
            </w:pPr>
            <w:r>
              <w:rPr>
                <w:rFonts w:ascii="宋体" w:hAnsi="宋体" w:hint="eastAsia"/>
              </w:rPr>
              <w:t xml:space="preserve">-2.53%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91696" w14:textId="77777777" w:rsidR="0052708D" w:rsidRDefault="0052708D">
            <w:pPr>
              <w:spacing w:line="360" w:lineRule="auto"/>
              <w:jc w:val="right"/>
            </w:pPr>
            <w:r>
              <w:rPr>
                <w:rFonts w:ascii="宋体" w:hAnsi="宋体" w:hint="eastAsia"/>
              </w:rPr>
              <w:t xml:space="preserve">-0.02% </w:t>
            </w:r>
          </w:p>
        </w:tc>
      </w:tr>
    </w:tbl>
    <w:p w14:paraId="11A322D4" w14:textId="77777777" w:rsidR="0052708D" w:rsidRDefault="0052708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A7BE513" w14:textId="71333FE8" w:rsidR="0052708D" w:rsidRDefault="008255DD">
      <w:pPr>
        <w:spacing w:line="360" w:lineRule="auto"/>
        <w:jc w:val="left"/>
        <w:divId w:val="358556654"/>
      </w:pPr>
      <w:bookmarkStart w:id="70" w:name="m07_04_07_09"/>
      <w:bookmarkStart w:id="71" w:name="m07_04_07_09_tab"/>
      <w:r>
        <w:rPr>
          <w:rFonts w:ascii="宋体" w:hAnsi="宋体" w:hint="eastAsia"/>
          <w:noProof/>
        </w:rPr>
        <w:drawing>
          <wp:inline distT="0" distB="0" distL="0" distR="0" wp14:anchorId="56279487" wp14:editId="4779D29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E0FDD5F" w14:textId="54A65D22" w:rsidR="0052708D" w:rsidRDefault="008255DD">
      <w:pPr>
        <w:spacing w:line="360" w:lineRule="auto"/>
        <w:jc w:val="left"/>
        <w:divId w:val="1864630711"/>
      </w:pPr>
      <w:r>
        <w:rPr>
          <w:rFonts w:ascii="宋体" w:hAnsi="宋体" w:hint="eastAsia"/>
          <w:noProof/>
        </w:rPr>
        <w:drawing>
          <wp:inline distT="0" distB="0" distL="0" distR="0" wp14:anchorId="0D4FD20C" wp14:editId="4A39D107">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1AC6CB1" w14:textId="5F14223E" w:rsidR="0052708D" w:rsidRDefault="008255DD">
      <w:pPr>
        <w:spacing w:line="360" w:lineRule="auto"/>
        <w:jc w:val="left"/>
        <w:divId w:val="1187140709"/>
      </w:pPr>
      <w:r>
        <w:rPr>
          <w:rFonts w:ascii="宋体" w:hAnsi="宋体" w:hint="eastAsia"/>
          <w:noProof/>
        </w:rPr>
        <w:lastRenderedPageBreak/>
        <w:drawing>
          <wp:inline distT="0" distB="0" distL="0" distR="0" wp14:anchorId="22728E06" wp14:editId="1FBF4C6E">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ED27A59" w14:textId="77777777" w:rsidR="0052708D" w:rsidRDefault="0052708D">
      <w:pPr>
        <w:spacing w:line="360" w:lineRule="auto"/>
      </w:pPr>
      <w:r>
        <w:rPr>
          <w:rFonts w:ascii="宋体" w:hAnsi="宋体" w:hint="eastAsia"/>
        </w:rPr>
        <w:t>注：</w:t>
      </w:r>
      <w:r>
        <w:rPr>
          <w:rFonts w:ascii="宋体" w:hAnsi="宋体" w:hint="eastAsia"/>
          <w:lang w:eastAsia="zh-Hans"/>
        </w:rPr>
        <w:t>本基金合同生效日为2014年11月18日，图示的时间段为合同生效日至本报告期末。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本基金自 2024年3月8日起增加D类份额，相关数据按实际存续期计算。</w:t>
      </w:r>
      <w:r>
        <w:rPr>
          <w:rFonts w:ascii="宋体" w:hAnsi="宋体" w:hint="eastAsia"/>
          <w:kern w:val="0"/>
          <w:lang w:eastAsia="zh-Hans"/>
        </w:rPr>
        <w:t xml:space="preserve"> </w:t>
      </w:r>
    </w:p>
    <w:p w14:paraId="7BAC7D13" w14:textId="77777777" w:rsidR="0052708D" w:rsidRDefault="0052708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3474375" w14:textId="77777777" w:rsidR="0052708D" w:rsidRDefault="0052708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B168F" w14:paraId="4F6132A5" w14:textId="77777777">
        <w:trPr>
          <w:divId w:val="198642434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39539" w14:textId="77777777" w:rsidR="0052708D" w:rsidRDefault="0052708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0B4FA" w14:textId="77777777" w:rsidR="0052708D" w:rsidRDefault="0052708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BABAC" w14:textId="77777777" w:rsidR="0052708D" w:rsidRDefault="0052708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59895" w14:textId="77777777" w:rsidR="0052708D" w:rsidRDefault="0052708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B87B0" w14:textId="77777777" w:rsidR="0052708D" w:rsidRDefault="0052708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B168F" w14:paraId="3571237D" w14:textId="77777777">
        <w:trPr>
          <w:divId w:val="198642434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0B743" w14:textId="77777777" w:rsidR="0052708D" w:rsidRDefault="0052708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35E94" w14:textId="77777777" w:rsidR="0052708D" w:rsidRDefault="0052708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B03A6B" w14:textId="77777777" w:rsidR="0052708D" w:rsidRDefault="0052708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DEF03" w14:textId="77777777" w:rsidR="0052708D" w:rsidRDefault="0052708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7459F" w14:textId="77777777" w:rsidR="0052708D" w:rsidRDefault="0052708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69E3B" w14:textId="77777777" w:rsidR="0052708D" w:rsidRDefault="0052708D">
            <w:pPr>
              <w:widowControl/>
              <w:jc w:val="left"/>
            </w:pPr>
          </w:p>
        </w:tc>
      </w:tr>
      <w:tr w:rsidR="004B168F" w14:paraId="4660CA9D" w14:textId="77777777">
        <w:trPr>
          <w:divId w:val="198642434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B3505" w14:textId="77777777" w:rsidR="0052708D" w:rsidRDefault="0052708D">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DED03" w14:textId="77777777" w:rsidR="0052708D" w:rsidRDefault="0052708D">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A7105" w14:textId="77777777" w:rsidR="0052708D" w:rsidRDefault="0052708D">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E99FF" w14:textId="77777777" w:rsidR="0052708D" w:rsidRDefault="0052708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68290" w14:textId="77777777" w:rsidR="0052708D" w:rsidRDefault="0052708D">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B8743" w14:textId="77777777" w:rsidR="0052708D" w:rsidRDefault="0052708D">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bl>
    <w:p w14:paraId="0A49C87F" w14:textId="77777777" w:rsidR="0052708D" w:rsidRDefault="0052708D">
      <w:pPr>
        <w:wordWrap w:val="0"/>
        <w:spacing w:line="360" w:lineRule="auto"/>
        <w:jc w:val="left"/>
        <w:divId w:val="164577110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B9D7359" w14:textId="77777777" w:rsidR="0052708D" w:rsidRDefault="0052708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25EF48C" w14:textId="77777777" w:rsidR="0052708D" w:rsidRDefault="0052708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w:t>
      </w:r>
      <w:r>
        <w:rPr>
          <w:rFonts w:ascii="宋体" w:hAnsi="宋体" w:hint="eastAsia"/>
        </w:rPr>
        <w:lastRenderedPageBreak/>
        <w:t>法规、本基金基金合同的规定。</w:t>
      </w:r>
    </w:p>
    <w:p w14:paraId="3FD8892F" w14:textId="77777777" w:rsidR="0052708D" w:rsidRDefault="0052708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113A052" w14:textId="77777777" w:rsidR="0052708D" w:rsidRDefault="0052708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8FA583C" w14:textId="77777777" w:rsidR="0052708D" w:rsidRDefault="0052708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717C5BF" w14:textId="77777777" w:rsidR="0052708D" w:rsidRDefault="0052708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60A02F5" w14:textId="77777777" w:rsidR="0052708D" w:rsidRDefault="0052708D">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920514A" w14:textId="77777777" w:rsidR="0052708D" w:rsidRDefault="0052708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7DB4705" w14:textId="77777777" w:rsidR="0052708D" w:rsidRDefault="0052708D">
      <w:pPr>
        <w:spacing w:line="360" w:lineRule="auto"/>
        <w:ind w:firstLineChars="200" w:firstLine="420"/>
        <w:jc w:val="left"/>
      </w:pPr>
      <w:r>
        <w:rPr>
          <w:rFonts w:ascii="宋体" w:hAnsi="宋体" w:cs="宋体" w:hint="eastAsia"/>
          <w:color w:val="000000"/>
          <w:kern w:val="0"/>
        </w:rPr>
        <w:t>2026年第一季度，债券市场运行明显的分为了几个阶段。第一周收益率上行明显，这是因为年初资管产品集体降低久期的操作。之后市场的久期维持在较低的位置，符合年初市场对于债券特别是长期债券的风险的一致预期。另一方面，银行体系存款流入较多而贷款投放不及预期使得银行间资金较为充裕。在经历了第一周收益率明显上行之后，债券对配置力量有了一定的吸引力。从一月份第二周到春节后，债券市场开始有了明显修复。其中短端和信用品种修复更为有力，市场呈现曲线陡峭化和信用利差压缩的特点。进入三月份以后，因为中东局势的影响，国际油价明显抬升，同时贸易数据较好，二手房交易量开始提升。债券市场进一步陡峭化，30年期国债上行至2.3%左右的位置，短端由于货币环境宽松，收益率维持在低位。</w:t>
      </w:r>
      <w:r>
        <w:rPr>
          <w:rFonts w:ascii="宋体" w:hAnsi="宋体" w:cs="宋体" w:hint="eastAsia"/>
          <w:color w:val="000000"/>
          <w:kern w:val="0"/>
        </w:rPr>
        <w:br/>
      </w:r>
      <w:r>
        <w:rPr>
          <w:rFonts w:ascii="宋体" w:hAnsi="宋体" w:cs="宋体" w:hint="eastAsia"/>
          <w:color w:val="000000"/>
          <w:kern w:val="0"/>
        </w:rPr>
        <w:lastRenderedPageBreak/>
        <w:t xml:space="preserve">　　本基金在季度初维持了一定的久期。由于资金价格相对平稳，本基金通过持有在曲线上明显凸出位置的债券争取获取相对确定性较高的收益。本基金大部分时候还使用了杠杆策略。</w:t>
      </w:r>
      <w:r>
        <w:rPr>
          <w:rFonts w:ascii="宋体" w:hAnsi="宋体" w:cs="宋体" w:hint="eastAsia"/>
          <w:color w:val="000000"/>
          <w:kern w:val="0"/>
        </w:rPr>
        <w:br/>
        <w:t xml:space="preserve">　　展望二季度，我们对债券市场保持相对谨慎的态度。地缘摩擦给市场带来了很大的不确定性，通胀数据依然可能对市场造成扰动。国内需求如果继续改善，对资金的需求可能改变银行间资金过度充裕的情况，对债券市场造成一定压力。目前曲线虽然较过去一段时间更为陡峭，但并不极端，在通胀预期和资金面边际收紧的情况下，曲线仍然有可能进一步陡峭化。同时，货币政策环境将保持在适度宽松的状态，短端债券收益率大幅上行的风险依然有限。从策略上讲，我们将采取更为稳健的持仓，利用好友好的货币环境，保持合理杠杆水平，通过短端债券争取获得相对确定的收益。同时，如果长端债券收益率上行幅度较大，在严格控制回撤和坚守止损纪律的前提下，我们仍然会考虑用一部分仓位参与长端的博弈。总之，我们将努力做到严格投资纪律，执行好投资决策，以逆向操作应对震荡格局。</w:t>
      </w:r>
    </w:p>
    <w:p w14:paraId="72405B10" w14:textId="77777777" w:rsidR="0052708D" w:rsidRDefault="0052708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9F26342" w14:textId="77777777" w:rsidR="0052708D" w:rsidRDefault="0052708D">
      <w:pPr>
        <w:spacing w:line="360" w:lineRule="auto"/>
        <w:ind w:firstLineChars="200" w:firstLine="420"/>
      </w:pPr>
      <w:r>
        <w:rPr>
          <w:rFonts w:ascii="宋体" w:hAnsi="宋体" w:hint="eastAsia"/>
        </w:rPr>
        <w:t>本报告期摩根纯债丰利债券A份额净值增长率为：0.63%，同期业绩比较基准收益率为：0.82%；</w:t>
      </w:r>
      <w:r>
        <w:rPr>
          <w:rFonts w:ascii="宋体" w:hAnsi="宋体" w:hint="eastAsia"/>
        </w:rPr>
        <w:br/>
        <w:t xml:space="preserve">　　摩根纯债丰利债券C份额净值增长率为：0.61%，同期业绩比较基准收益率为：0.82%；</w:t>
      </w:r>
      <w:r>
        <w:rPr>
          <w:rFonts w:ascii="宋体" w:hAnsi="宋体" w:hint="eastAsia"/>
        </w:rPr>
        <w:br/>
        <w:t xml:space="preserve">　　摩根纯债丰利债券D份额净值增长率为：0.63%，同期业绩比较基准收益率为：0.82%。</w:t>
      </w:r>
    </w:p>
    <w:p w14:paraId="52D6AAED" w14:textId="77777777" w:rsidR="0052708D" w:rsidRDefault="0052708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06818AC" w14:textId="77777777" w:rsidR="0052708D" w:rsidRDefault="0052708D">
      <w:pPr>
        <w:spacing w:line="360" w:lineRule="auto"/>
        <w:ind w:firstLineChars="200" w:firstLine="420"/>
        <w:jc w:val="left"/>
      </w:pPr>
      <w:r>
        <w:rPr>
          <w:rFonts w:ascii="宋体" w:hAnsi="宋体" w:hint="eastAsia"/>
        </w:rPr>
        <w:t>无。</w:t>
      </w:r>
    </w:p>
    <w:p w14:paraId="04873868" w14:textId="77777777" w:rsidR="0052708D" w:rsidRDefault="0052708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28BB0EB" w14:textId="77777777" w:rsidR="0052708D" w:rsidRDefault="0052708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B168F" w14:paraId="4B65568D"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0EF79E" w14:textId="77777777" w:rsidR="0052708D" w:rsidRDefault="0052708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D3E56D7" w14:textId="77777777" w:rsidR="0052708D" w:rsidRDefault="0052708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B966C45" w14:textId="77777777" w:rsidR="0052708D" w:rsidRDefault="0052708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4C457B4" w14:textId="77777777" w:rsidR="0052708D" w:rsidRDefault="0052708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B168F" w14:paraId="3015BF31"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B647FA" w14:textId="77777777" w:rsidR="0052708D" w:rsidRDefault="0052708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0F3F2C0" w14:textId="77777777" w:rsidR="0052708D" w:rsidRDefault="0052708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B47AAE" w14:textId="77777777" w:rsidR="0052708D" w:rsidRDefault="005270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D33144" w14:textId="77777777" w:rsidR="0052708D" w:rsidRDefault="0052708D">
            <w:pPr>
              <w:jc w:val="right"/>
            </w:pPr>
            <w:r>
              <w:rPr>
                <w:rFonts w:ascii="宋体" w:hAnsi="宋体" w:hint="eastAsia"/>
                <w:szCs w:val="24"/>
                <w:lang w:eastAsia="zh-Hans"/>
              </w:rPr>
              <w:t>-</w:t>
            </w:r>
          </w:p>
        </w:tc>
      </w:tr>
      <w:tr w:rsidR="004B168F" w14:paraId="4D85A418"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548B33" w14:textId="77777777" w:rsidR="0052708D" w:rsidRDefault="0052708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6CF98C" w14:textId="77777777" w:rsidR="0052708D" w:rsidRDefault="0052708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AE376A" w14:textId="77777777" w:rsidR="0052708D" w:rsidRDefault="005270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90C942" w14:textId="77777777" w:rsidR="0052708D" w:rsidRDefault="0052708D">
            <w:pPr>
              <w:jc w:val="right"/>
            </w:pPr>
            <w:r>
              <w:rPr>
                <w:rFonts w:ascii="宋体" w:hAnsi="宋体" w:hint="eastAsia"/>
                <w:szCs w:val="24"/>
                <w:lang w:eastAsia="zh-Hans"/>
              </w:rPr>
              <w:t>-</w:t>
            </w:r>
          </w:p>
        </w:tc>
      </w:tr>
      <w:tr w:rsidR="004B168F" w14:paraId="5D259406"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F512A0" w14:textId="77777777" w:rsidR="0052708D" w:rsidRDefault="0052708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6D84443" w14:textId="77777777" w:rsidR="0052708D" w:rsidRDefault="0052708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BFAAC2" w14:textId="77777777" w:rsidR="0052708D" w:rsidRDefault="005270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106CE4F" w14:textId="77777777" w:rsidR="0052708D" w:rsidRDefault="0052708D">
            <w:pPr>
              <w:jc w:val="right"/>
            </w:pPr>
            <w:r>
              <w:rPr>
                <w:rFonts w:ascii="宋体" w:hAnsi="宋体" w:hint="eastAsia"/>
                <w:szCs w:val="24"/>
                <w:lang w:eastAsia="zh-Hans"/>
              </w:rPr>
              <w:t>-</w:t>
            </w:r>
          </w:p>
        </w:tc>
      </w:tr>
      <w:tr w:rsidR="004B168F" w14:paraId="0B99E5ED"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AC9688" w14:textId="77777777" w:rsidR="0052708D" w:rsidRDefault="0052708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17858B" w14:textId="77777777" w:rsidR="0052708D" w:rsidRDefault="0052708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6B10CC" w14:textId="77777777" w:rsidR="0052708D" w:rsidRDefault="0052708D">
            <w:pPr>
              <w:jc w:val="right"/>
            </w:pPr>
            <w:r>
              <w:rPr>
                <w:rFonts w:ascii="宋体" w:hAnsi="宋体" w:hint="eastAsia"/>
                <w:szCs w:val="24"/>
                <w:lang w:eastAsia="zh-Hans"/>
              </w:rPr>
              <w:t>409,873,471.72</w:t>
            </w:r>
          </w:p>
        </w:tc>
        <w:tc>
          <w:tcPr>
            <w:tcW w:w="1333" w:type="pct"/>
            <w:tcBorders>
              <w:top w:val="single" w:sz="4" w:space="0" w:color="auto"/>
              <w:left w:val="nil"/>
              <w:bottom w:val="single" w:sz="4" w:space="0" w:color="auto"/>
              <w:right w:val="single" w:sz="4" w:space="0" w:color="auto"/>
            </w:tcBorders>
            <w:vAlign w:val="center"/>
            <w:hideMark/>
          </w:tcPr>
          <w:p w14:paraId="747019C7" w14:textId="77777777" w:rsidR="0052708D" w:rsidRDefault="0052708D">
            <w:pPr>
              <w:jc w:val="right"/>
            </w:pPr>
            <w:r>
              <w:rPr>
                <w:rFonts w:ascii="宋体" w:hAnsi="宋体" w:hint="eastAsia"/>
                <w:szCs w:val="24"/>
                <w:lang w:eastAsia="zh-Hans"/>
              </w:rPr>
              <w:t>99.79</w:t>
            </w:r>
          </w:p>
        </w:tc>
      </w:tr>
      <w:tr w:rsidR="004B168F" w14:paraId="5508BB48"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1667AD" w14:textId="77777777" w:rsidR="0052708D" w:rsidRDefault="0052708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89422A0" w14:textId="77777777" w:rsidR="0052708D" w:rsidRDefault="0052708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01389B" w14:textId="77777777" w:rsidR="0052708D" w:rsidRDefault="0052708D">
            <w:pPr>
              <w:jc w:val="right"/>
            </w:pPr>
            <w:r>
              <w:rPr>
                <w:rFonts w:ascii="宋体" w:hAnsi="宋体" w:hint="eastAsia"/>
                <w:szCs w:val="24"/>
                <w:lang w:eastAsia="zh-Hans"/>
              </w:rPr>
              <w:t>409,873,471.72</w:t>
            </w:r>
          </w:p>
        </w:tc>
        <w:tc>
          <w:tcPr>
            <w:tcW w:w="1333" w:type="pct"/>
            <w:tcBorders>
              <w:top w:val="single" w:sz="4" w:space="0" w:color="auto"/>
              <w:left w:val="nil"/>
              <w:bottom w:val="single" w:sz="4" w:space="0" w:color="auto"/>
              <w:right w:val="single" w:sz="4" w:space="0" w:color="auto"/>
            </w:tcBorders>
            <w:vAlign w:val="center"/>
            <w:hideMark/>
          </w:tcPr>
          <w:p w14:paraId="17E55C0A" w14:textId="77777777" w:rsidR="0052708D" w:rsidRDefault="0052708D">
            <w:pPr>
              <w:jc w:val="right"/>
            </w:pPr>
            <w:r>
              <w:rPr>
                <w:rFonts w:ascii="宋体" w:hAnsi="宋体" w:hint="eastAsia"/>
                <w:szCs w:val="24"/>
                <w:lang w:eastAsia="zh-Hans"/>
              </w:rPr>
              <w:t>99.79</w:t>
            </w:r>
          </w:p>
        </w:tc>
      </w:tr>
      <w:tr w:rsidR="004B168F" w14:paraId="026A16C1"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059638" w14:textId="77777777" w:rsidR="0052708D" w:rsidRDefault="0052708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60ACC0" w14:textId="77777777" w:rsidR="0052708D" w:rsidRDefault="0052708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D00364" w14:textId="77777777" w:rsidR="0052708D" w:rsidRDefault="005270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1ECB4C" w14:textId="77777777" w:rsidR="0052708D" w:rsidRDefault="0052708D">
            <w:pPr>
              <w:jc w:val="right"/>
            </w:pPr>
            <w:r>
              <w:rPr>
                <w:rFonts w:ascii="宋体" w:hAnsi="宋体" w:hint="eastAsia"/>
                <w:szCs w:val="24"/>
                <w:lang w:eastAsia="zh-Hans"/>
              </w:rPr>
              <w:t>-</w:t>
            </w:r>
          </w:p>
        </w:tc>
      </w:tr>
      <w:tr w:rsidR="004B168F" w14:paraId="3AAFD810"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F78C0E" w14:textId="77777777" w:rsidR="0052708D" w:rsidRDefault="0052708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5C4D9CB" w14:textId="77777777" w:rsidR="0052708D" w:rsidRDefault="0052708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E41006" w14:textId="77777777" w:rsidR="0052708D" w:rsidRDefault="005270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477066" w14:textId="77777777" w:rsidR="0052708D" w:rsidRDefault="0052708D">
            <w:pPr>
              <w:jc w:val="right"/>
            </w:pPr>
            <w:r>
              <w:rPr>
                <w:rFonts w:ascii="宋体" w:hAnsi="宋体" w:hint="eastAsia"/>
                <w:szCs w:val="24"/>
                <w:lang w:eastAsia="zh-Hans"/>
              </w:rPr>
              <w:t>-</w:t>
            </w:r>
          </w:p>
        </w:tc>
      </w:tr>
      <w:tr w:rsidR="004B168F" w14:paraId="5138678D"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00C3F2" w14:textId="77777777" w:rsidR="0052708D" w:rsidRDefault="0052708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369BE21" w14:textId="77777777" w:rsidR="0052708D" w:rsidRDefault="0052708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AFE010" w14:textId="77777777" w:rsidR="0052708D" w:rsidRDefault="005270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33AB1D" w14:textId="77777777" w:rsidR="0052708D" w:rsidRDefault="0052708D">
            <w:pPr>
              <w:jc w:val="right"/>
            </w:pPr>
            <w:r>
              <w:rPr>
                <w:rFonts w:ascii="宋体" w:hAnsi="宋体" w:hint="eastAsia"/>
                <w:szCs w:val="24"/>
                <w:lang w:eastAsia="zh-Hans"/>
              </w:rPr>
              <w:t>-</w:t>
            </w:r>
          </w:p>
        </w:tc>
      </w:tr>
      <w:tr w:rsidR="004B168F" w14:paraId="3E059114"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E97B43" w14:textId="77777777" w:rsidR="0052708D" w:rsidRDefault="0052708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72AC0E3" w14:textId="77777777" w:rsidR="0052708D" w:rsidRDefault="0052708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368E92" w14:textId="77777777" w:rsidR="0052708D" w:rsidRDefault="005270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08432B" w14:textId="77777777" w:rsidR="0052708D" w:rsidRDefault="0052708D">
            <w:pPr>
              <w:jc w:val="right"/>
            </w:pPr>
            <w:r>
              <w:rPr>
                <w:rFonts w:ascii="宋体" w:hAnsi="宋体" w:hint="eastAsia"/>
                <w:szCs w:val="24"/>
                <w:lang w:eastAsia="zh-Hans"/>
              </w:rPr>
              <w:t>-</w:t>
            </w:r>
          </w:p>
        </w:tc>
      </w:tr>
      <w:tr w:rsidR="004B168F" w14:paraId="1FAFCBD8"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9B788A" w14:textId="77777777" w:rsidR="0052708D" w:rsidRDefault="0052708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6C42E3" w14:textId="77777777" w:rsidR="0052708D" w:rsidRDefault="0052708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4EE8F0" w14:textId="77777777" w:rsidR="0052708D" w:rsidRDefault="0052708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4B1D4D" w14:textId="77777777" w:rsidR="0052708D" w:rsidRDefault="0052708D">
            <w:pPr>
              <w:jc w:val="right"/>
            </w:pPr>
            <w:r>
              <w:rPr>
                <w:rFonts w:ascii="宋体" w:hAnsi="宋体" w:hint="eastAsia"/>
                <w:szCs w:val="24"/>
                <w:lang w:eastAsia="zh-Hans"/>
              </w:rPr>
              <w:t>-</w:t>
            </w:r>
          </w:p>
        </w:tc>
      </w:tr>
      <w:tr w:rsidR="004B168F" w14:paraId="3ABFF2BC"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2BF223" w14:textId="77777777" w:rsidR="0052708D" w:rsidRDefault="0052708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EF50C4B" w14:textId="77777777" w:rsidR="0052708D" w:rsidRDefault="0052708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E58272" w14:textId="77777777" w:rsidR="0052708D" w:rsidRDefault="0052708D">
            <w:pPr>
              <w:jc w:val="right"/>
            </w:pPr>
            <w:r>
              <w:rPr>
                <w:rFonts w:ascii="宋体" w:hAnsi="宋体" w:hint="eastAsia"/>
                <w:szCs w:val="24"/>
                <w:lang w:eastAsia="zh-Hans"/>
              </w:rPr>
              <w:t>860,348.71</w:t>
            </w:r>
          </w:p>
        </w:tc>
        <w:tc>
          <w:tcPr>
            <w:tcW w:w="1333" w:type="pct"/>
            <w:tcBorders>
              <w:top w:val="single" w:sz="4" w:space="0" w:color="auto"/>
              <w:left w:val="nil"/>
              <w:bottom w:val="single" w:sz="4" w:space="0" w:color="auto"/>
              <w:right w:val="single" w:sz="4" w:space="0" w:color="auto"/>
            </w:tcBorders>
            <w:vAlign w:val="center"/>
            <w:hideMark/>
          </w:tcPr>
          <w:p w14:paraId="64CA2A26" w14:textId="77777777" w:rsidR="0052708D" w:rsidRDefault="0052708D">
            <w:pPr>
              <w:jc w:val="right"/>
            </w:pPr>
            <w:r>
              <w:rPr>
                <w:rFonts w:ascii="宋体" w:hAnsi="宋体" w:hint="eastAsia"/>
                <w:szCs w:val="24"/>
                <w:lang w:eastAsia="zh-Hans"/>
              </w:rPr>
              <w:t>0.21</w:t>
            </w:r>
          </w:p>
        </w:tc>
      </w:tr>
      <w:tr w:rsidR="004B168F" w14:paraId="44D6C164"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CFE498" w14:textId="77777777" w:rsidR="0052708D" w:rsidRDefault="0052708D">
            <w:pPr>
              <w:jc w:val="center"/>
            </w:pPr>
            <w:r>
              <w:rPr>
                <w:rFonts w:ascii="宋体" w:hAnsi="宋体" w:hint="eastAsia"/>
                <w:color w:val="000000"/>
                <w:lang w:eastAsia="zh-Hans"/>
              </w:rPr>
              <w:lastRenderedPageBreak/>
              <w:t>8</w:t>
            </w:r>
          </w:p>
        </w:tc>
        <w:tc>
          <w:tcPr>
            <w:tcW w:w="1979" w:type="pct"/>
            <w:tcBorders>
              <w:top w:val="single" w:sz="4" w:space="0" w:color="auto"/>
              <w:left w:val="nil"/>
              <w:bottom w:val="single" w:sz="4" w:space="0" w:color="auto"/>
              <w:right w:val="single" w:sz="4" w:space="0" w:color="auto"/>
            </w:tcBorders>
            <w:vAlign w:val="center"/>
            <w:hideMark/>
          </w:tcPr>
          <w:p w14:paraId="7281944D" w14:textId="77777777" w:rsidR="0052708D" w:rsidRDefault="0052708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233C31" w14:textId="77777777" w:rsidR="0052708D" w:rsidRDefault="0052708D">
            <w:pPr>
              <w:jc w:val="right"/>
            </w:pPr>
            <w:r>
              <w:rPr>
                <w:rFonts w:ascii="宋体" w:hAnsi="宋体" w:hint="eastAsia"/>
                <w:szCs w:val="24"/>
                <w:lang w:eastAsia="zh-Hans"/>
              </w:rPr>
              <w:t>110.91</w:t>
            </w:r>
          </w:p>
        </w:tc>
        <w:tc>
          <w:tcPr>
            <w:tcW w:w="1333" w:type="pct"/>
            <w:tcBorders>
              <w:top w:val="single" w:sz="4" w:space="0" w:color="auto"/>
              <w:left w:val="nil"/>
              <w:bottom w:val="single" w:sz="4" w:space="0" w:color="auto"/>
              <w:right w:val="single" w:sz="4" w:space="0" w:color="auto"/>
            </w:tcBorders>
            <w:vAlign w:val="center"/>
            <w:hideMark/>
          </w:tcPr>
          <w:p w14:paraId="12C90523" w14:textId="77777777" w:rsidR="0052708D" w:rsidRDefault="0052708D">
            <w:pPr>
              <w:jc w:val="right"/>
            </w:pPr>
            <w:r>
              <w:rPr>
                <w:rFonts w:ascii="宋体" w:hAnsi="宋体" w:hint="eastAsia"/>
                <w:szCs w:val="24"/>
                <w:lang w:eastAsia="zh-Hans"/>
              </w:rPr>
              <w:t>0.00</w:t>
            </w:r>
          </w:p>
        </w:tc>
      </w:tr>
      <w:tr w:rsidR="004B168F" w14:paraId="1084C982" w14:textId="77777777">
        <w:trPr>
          <w:divId w:val="55878851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C60393" w14:textId="77777777" w:rsidR="0052708D" w:rsidRDefault="0052708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0840DF9" w14:textId="77777777" w:rsidR="0052708D" w:rsidRDefault="0052708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18CEC4" w14:textId="77777777" w:rsidR="0052708D" w:rsidRDefault="0052708D">
            <w:pPr>
              <w:jc w:val="right"/>
            </w:pPr>
            <w:r>
              <w:rPr>
                <w:rFonts w:ascii="宋体" w:hAnsi="宋体" w:hint="eastAsia"/>
                <w:szCs w:val="24"/>
                <w:lang w:eastAsia="zh-Hans"/>
              </w:rPr>
              <w:t>410,733,931.34</w:t>
            </w:r>
          </w:p>
        </w:tc>
        <w:tc>
          <w:tcPr>
            <w:tcW w:w="1333" w:type="pct"/>
            <w:tcBorders>
              <w:top w:val="single" w:sz="4" w:space="0" w:color="auto"/>
              <w:left w:val="nil"/>
              <w:bottom w:val="single" w:sz="4" w:space="0" w:color="auto"/>
              <w:right w:val="single" w:sz="4" w:space="0" w:color="auto"/>
            </w:tcBorders>
            <w:vAlign w:val="center"/>
            <w:hideMark/>
          </w:tcPr>
          <w:p w14:paraId="33C10FB8" w14:textId="77777777" w:rsidR="0052708D" w:rsidRDefault="0052708D">
            <w:pPr>
              <w:jc w:val="right"/>
            </w:pPr>
            <w:r>
              <w:rPr>
                <w:rFonts w:ascii="宋体" w:hAnsi="宋体" w:hint="eastAsia"/>
                <w:szCs w:val="24"/>
                <w:lang w:eastAsia="zh-Hans"/>
              </w:rPr>
              <w:t>100.00</w:t>
            </w:r>
          </w:p>
        </w:tc>
      </w:tr>
    </w:tbl>
    <w:p w14:paraId="51333487" w14:textId="77777777" w:rsidR="0052708D" w:rsidRDefault="0052708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472F0A4" w14:textId="77777777" w:rsidR="0052708D" w:rsidRDefault="0052708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38869600" w14:textId="77777777" w:rsidR="0052708D" w:rsidRDefault="0052708D">
      <w:pPr>
        <w:spacing w:line="360" w:lineRule="auto"/>
        <w:ind w:firstLineChars="200" w:firstLine="420"/>
        <w:divId w:val="1897935680"/>
      </w:pPr>
      <w:r>
        <w:rPr>
          <w:rFonts w:ascii="宋体" w:hAnsi="宋体" w:hint="eastAsia"/>
          <w:szCs w:val="21"/>
          <w:lang w:eastAsia="zh-Hans"/>
        </w:rPr>
        <w:t>本基金本报告期末未持有境内股票。</w:t>
      </w:r>
    </w:p>
    <w:p w14:paraId="1E355059" w14:textId="77777777" w:rsidR="0052708D" w:rsidRDefault="0052708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E5831B5" w14:textId="77777777" w:rsidR="0052708D" w:rsidRDefault="0052708D">
      <w:pPr>
        <w:spacing w:line="360" w:lineRule="auto"/>
        <w:ind w:firstLineChars="200" w:firstLine="420"/>
        <w:divId w:val="613559242"/>
      </w:pPr>
      <w:r>
        <w:rPr>
          <w:rFonts w:ascii="宋体" w:hAnsi="宋体" w:hint="eastAsia"/>
          <w:szCs w:val="21"/>
          <w:lang w:eastAsia="zh-Hans"/>
        </w:rPr>
        <w:t>本基金本报告期末未持有港股通股票　。</w:t>
      </w:r>
    </w:p>
    <w:p w14:paraId="1877E29E" w14:textId="77777777" w:rsidR="0052708D" w:rsidRDefault="0052708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A3D9699" w14:textId="77777777" w:rsidR="0052708D" w:rsidRDefault="0052708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37C74532" w14:textId="77777777" w:rsidR="0052708D" w:rsidRDefault="0052708D">
      <w:pPr>
        <w:spacing w:line="360" w:lineRule="auto"/>
        <w:ind w:firstLineChars="200" w:firstLine="420"/>
        <w:jc w:val="left"/>
      </w:pPr>
      <w:r>
        <w:rPr>
          <w:rFonts w:ascii="宋体" w:hAnsi="宋体" w:hint="eastAsia"/>
          <w:color w:val="000000"/>
          <w:szCs w:val="21"/>
          <w:lang w:eastAsia="zh-Hans"/>
        </w:rPr>
        <w:t>本基金本报告期末未持有股票。</w:t>
      </w:r>
    </w:p>
    <w:p w14:paraId="72B6724B" w14:textId="77777777" w:rsidR="0052708D" w:rsidRDefault="0052708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4B168F" w14:paraId="3D26EFBC"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4B8CFF" w14:textId="77777777" w:rsidR="0052708D" w:rsidRDefault="0052708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6D0640" w14:textId="77777777" w:rsidR="0052708D" w:rsidRDefault="0052708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95A981" w14:textId="77777777" w:rsidR="0052708D" w:rsidRDefault="0052708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94950C" w14:textId="77777777" w:rsidR="0052708D" w:rsidRDefault="0052708D">
            <w:pPr>
              <w:jc w:val="center"/>
            </w:pPr>
            <w:r>
              <w:rPr>
                <w:rFonts w:ascii="宋体" w:hAnsi="宋体" w:hint="eastAsia"/>
                <w:color w:val="000000"/>
              </w:rPr>
              <w:t xml:space="preserve">占基金资产净值比例（%） </w:t>
            </w:r>
          </w:p>
        </w:tc>
      </w:tr>
      <w:tr w:rsidR="004B168F" w14:paraId="4C51379A"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C7DB3D" w14:textId="77777777" w:rsidR="0052708D" w:rsidRDefault="0052708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3261C5" w14:textId="77777777" w:rsidR="0052708D" w:rsidRDefault="0052708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EDD754B" w14:textId="77777777" w:rsidR="0052708D" w:rsidRDefault="0052708D">
            <w:pPr>
              <w:jc w:val="right"/>
            </w:pPr>
            <w:r>
              <w:rPr>
                <w:rFonts w:ascii="宋体" w:hAnsi="宋体" w:hint="eastAsia"/>
                <w:szCs w:val="24"/>
                <w:lang w:eastAsia="zh-Hans"/>
              </w:rPr>
              <w:t>20,064,729.28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E996F5" w14:textId="77777777" w:rsidR="0052708D" w:rsidRDefault="0052708D">
            <w:pPr>
              <w:jc w:val="right"/>
            </w:pPr>
            <w:r>
              <w:rPr>
                <w:rFonts w:ascii="宋体" w:hAnsi="宋体" w:hint="eastAsia"/>
                <w:szCs w:val="24"/>
                <w:lang w:eastAsia="zh-Hans"/>
              </w:rPr>
              <w:t>6.30</w:t>
            </w:r>
          </w:p>
        </w:tc>
      </w:tr>
      <w:tr w:rsidR="004B168F" w14:paraId="5A0C5772"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CEFFDC" w14:textId="77777777" w:rsidR="0052708D" w:rsidRDefault="0052708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A3A90DC" w14:textId="77777777" w:rsidR="0052708D" w:rsidRDefault="0052708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D41E03" w14:textId="77777777" w:rsidR="0052708D" w:rsidRDefault="005270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904DFB" w14:textId="77777777" w:rsidR="0052708D" w:rsidRDefault="0052708D">
            <w:pPr>
              <w:jc w:val="right"/>
            </w:pPr>
            <w:r>
              <w:rPr>
                <w:rFonts w:ascii="宋体" w:hAnsi="宋体" w:hint="eastAsia"/>
                <w:szCs w:val="24"/>
                <w:lang w:eastAsia="zh-Hans"/>
              </w:rPr>
              <w:t>-</w:t>
            </w:r>
          </w:p>
        </w:tc>
      </w:tr>
      <w:tr w:rsidR="004B168F" w14:paraId="4432593F"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839246" w14:textId="77777777" w:rsidR="0052708D" w:rsidRDefault="0052708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08F4373" w14:textId="77777777" w:rsidR="0052708D" w:rsidRDefault="0052708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1B5936" w14:textId="77777777" w:rsidR="0052708D" w:rsidRDefault="0052708D">
            <w:pPr>
              <w:jc w:val="right"/>
            </w:pPr>
            <w:r>
              <w:rPr>
                <w:rFonts w:ascii="宋体" w:hAnsi="宋体" w:hint="eastAsia"/>
                <w:szCs w:val="24"/>
                <w:lang w:eastAsia="zh-Hans"/>
              </w:rPr>
              <w:t>389,808,742.44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3A3C91" w14:textId="77777777" w:rsidR="0052708D" w:rsidRDefault="0052708D">
            <w:pPr>
              <w:jc w:val="right"/>
            </w:pPr>
            <w:r>
              <w:rPr>
                <w:rFonts w:ascii="宋体" w:hAnsi="宋体" w:hint="eastAsia"/>
                <w:szCs w:val="24"/>
                <w:lang w:eastAsia="zh-Hans"/>
              </w:rPr>
              <w:t>122.43</w:t>
            </w:r>
          </w:p>
        </w:tc>
      </w:tr>
      <w:tr w:rsidR="004B168F" w14:paraId="2DD8E549"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96A62B" w14:textId="77777777" w:rsidR="0052708D" w:rsidRDefault="0052708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71A91E" w14:textId="77777777" w:rsidR="0052708D" w:rsidRDefault="0052708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71DA84" w14:textId="77777777" w:rsidR="0052708D" w:rsidRDefault="0052708D">
            <w:pPr>
              <w:jc w:val="right"/>
            </w:pPr>
            <w:r>
              <w:rPr>
                <w:rFonts w:ascii="宋体" w:hAnsi="宋体" w:hint="eastAsia"/>
                <w:szCs w:val="24"/>
                <w:lang w:eastAsia="zh-Hans"/>
              </w:rPr>
              <w:t>92,178,936.98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1D89BAC" w14:textId="77777777" w:rsidR="0052708D" w:rsidRDefault="0052708D">
            <w:pPr>
              <w:jc w:val="right"/>
            </w:pPr>
            <w:r>
              <w:rPr>
                <w:rFonts w:ascii="宋体" w:hAnsi="宋体" w:hint="eastAsia"/>
                <w:szCs w:val="24"/>
                <w:lang w:eastAsia="zh-Hans"/>
              </w:rPr>
              <w:t>28.95</w:t>
            </w:r>
          </w:p>
        </w:tc>
      </w:tr>
      <w:tr w:rsidR="004B168F" w14:paraId="651EBD24"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E0E627" w14:textId="77777777" w:rsidR="0052708D" w:rsidRDefault="0052708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EA4EB1" w14:textId="77777777" w:rsidR="0052708D" w:rsidRDefault="0052708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D9C521" w14:textId="77777777" w:rsidR="0052708D" w:rsidRDefault="005270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6C3AF6" w14:textId="77777777" w:rsidR="0052708D" w:rsidRDefault="0052708D">
            <w:pPr>
              <w:jc w:val="right"/>
            </w:pPr>
            <w:r>
              <w:rPr>
                <w:rFonts w:ascii="宋体" w:hAnsi="宋体" w:hint="eastAsia"/>
                <w:szCs w:val="24"/>
                <w:lang w:eastAsia="zh-Hans"/>
              </w:rPr>
              <w:t>-</w:t>
            </w:r>
          </w:p>
        </w:tc>
      </w:tr>
      <w:tr w:rsidR="004B168F" w14:paraId="45551322"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4AFCBF" w14:textId="77777777" w:rsidR="0052708D" w:rsidRDefault="0052708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CF1017" w14:textId="77777777" w:rsidR="0052708D" w:rsidRDefault="0052708D">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A920FE" w14:textId="77777777" w:rsidR="0052708D" w:rsidRDefault="005270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637390" w14:textId="77777777" w:rsidR="0052708D" w:rsidRDefault="0052708D">
            <w:pPr>
              <w:jc w:val="right"/>
            </w:pPr>
            <w:r>
              <w:rPr>
                <w:rFonts w:ascii="宋体" w:hAnsi="宋体" w:hint="eastAsia"/>
                <w:szCs w:val="24"/>
                <w:lang w:eastAsia="zh-Hans"/>
              </w:rPr>
              <w:t>-</w:t>
            </w:r>
          </w:p>
        </w:tc>
      </w:tr>
      <w:tr w:rsidR="004B168F" w14:paraId="30B4907A"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CBE58D" w14:textId="77777777" w:rsidR="0052708D" w:rsidRDefault="0052708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324923" w14:textId="77777777" w:rsidR="0052708D" w:rsidRDefault="0052708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C2C8162" w14:textId="77777777" w:rsidR="0052708D" w:rsidRDefault="005270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26C52E3" w14:textId="77777777" w:rsidR="0052708D" w:rsidRDefault="0052708D">
            <w:pPr>
              <w:jc w:val="right"/>
            </w:pPr>
            <w:r>
              <w:rPr>
                <w:rFonts w:ascii="宋体" w:hAnsi="宋体" w:hint="eastAsia"/>
                <w:szCs w:val="24"/>
                <w:lang w:eastAsia="zh-Hans"/>
              </w:rPr>
              <w:t>-</w:t>
            </w:r>
          </w:p>
        </w:tc>
      </w:tr>
      <w:tr w:rsidR="004B168F" w14:paraId="6431F0F7"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177323" w14:textId="77777777" w:rsidR="0052708D" w:rsidRDefault="0052708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A8BEE3" w14:textId="77777777" w:rsidR="0052708D" w:rsidRDefault="0052708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AFD4A5" w14:textId="77777777" w:rsidR="0052708D" w:rsidRDefault="005270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87D9109" w14:textId="77777777" w:rsidR="0052708D" w:rsidRDefault="0052708D">
            <w:pPr>
              <w:jc w:val="right"/>
            </w:pPr>
            <w:r>
              <w:rPr>
                <w:rFonts w:ascii="宋体" w:hAnsi="宋体" w:hint="eastAsia"/>
                <w:szCs w:val="24"/>
                <w:lang w:eastAsia="zh-Hans"/>
              </w:rPr>
              <w:t>-</w:t>
            </w:r>
          </w:p>
        </w:tc>
      </w:tr>
      <w:tr w:rsidR="004B168F" w14:paraId="2D92AF0B"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AF626BE" w14:textId="77777777" w:rsidR="0052708D" w:rsidRDefault="0052708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394043" w14:textId="77777777" w:rsidR="0052708D" w:rsidRDefault="0052708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62F9EC" w14:textId="77777777" w:rsidR="0052708D" w:rsidRDefault="005270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31A9354" w14:textId="77777777" w:rsidR="0052708D" w:rsidRDefault="0052708D">
            <w:pPr>
              <w:jc w:val="right"/>
            </w:pPr>
            <w:r>
              <w:rPr>
                <w:rFonts w:ascii="宋体" w:hAnsi="宋体" w:hint="eastAsia"/>
                <w:szCs w:val="24"/>
                <w:lang w:eastAsia="zh-Hans"/>
              </w:rPr>
              <w:t>-</w:t>
            </w:r>
          </w:p>
        </w:tc>
      </w:tr>
      <w:tr w:rsidR="004B168F" w14:paraId="09768E9F"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52154F" w14:textId="77777777" w:rsidR="0052708D" w:rsidRDefault="0052708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086026" w14:textId="77777777" w:rsidR="0052708D" w:rsidRDefault="0052708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5D73BC" w14:textId="77777777" w:rsidR="0052708D" w:rsidRDefault="0052708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2DDCA5" w14:textId="77777777" w:rsidR="0052708D" w:rsidRDefault="0052708D">
            <w:pPr>
              <w:jc w:val="right"/>
            </w:pPr>
            <w:r>
              <w:rPr>
                <w:rFonts w:ascii="宋体" w:hAnsi="宋体" w:hint="eastAsia"/>
                <w:szCs w:val="24"/>
                <w:lang w:eastAsia="zh-Hans"/>
              </w:rPr>
              <w:t>-</w:t>
            </w:r>
          </w:p>
        </w:tc>
      </w:tr>
      <w:tr w:rsidR="004B168F" w14:paraId="46EEE0A3" w14:textId="77777777">
        <w:trPr>
          <w:divId w:val="200411900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44A13B9" w14:textId="77777777" w:rsidR="0052708D" w:rsidRDefault="0052708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E36F42" w14:textId="77777777" w:rsidR="0052708D" w:rsidRDefault="0052708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83002A7" w14:textId="77777777" w:rsidR="0052708D" w:rsidRDefault="0052708D">
            <w:pPr>
              <w:jc w:val="right"/>
            </w:pPr>
            <w:r>
              <w:rPr>
                <w:rFonts w:ascii="宋体" w:hAnsi="宋体" w:hint="eastAsia"/>
                <w:szCs w:val="24"/>
                <w:lang w:eastAsia="zh-Hans"/>
              </w:rPr>
              <w:t>409,873,471.72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E2AC0A" w14:textId="77777777" w:rsidR="0052708D" w:rsidRDefault="0052708D">
            <w:pPr>
              <w:jc w:val="right"/>
            </w:pPr>
            <w:r>
              <w:rPr>
                <w:rFonts w:ascii="宋体" w:hAnsi="宋体" w:hint="eastAsia"/>
                <w:szCs w:val="24"/>
                <w:lang w:eastAsia="zh-Hans"/>
              </w:rPr>
              <w:t>128.73</w:t>
            </w:r>
          </w:p>
        </w:tc>
      </w:tr>
    </w:tbl>
    <w:p w14:paraId="552CA15C" w14:textId="77777777" w:rsidR="0052708D" w:rsidRDefault="0052708D">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B168F" w14:paraId="1A7FDD67" w14:textId="77777777">
        <w:trPr>
          <w:divId w:val="159208001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371F97" w14:textId="77777777" w:rsidR="0052708D" w:rsidRDefault="0052708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C39D2D" w14:textId="77777777" w:rsidR="0052708D" w:rsidRDefault="0052708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719F77" w14:textId="77777777" w:rsidR="0052708D" w:rsidRDefault="0052708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FF6315" w14:textId="77777777" w:rsidR="0052708D" w:rsidRDefault="0052708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890814" w14:textId="77777777" w:rsidR="0052708D" w:rsidRDefault="0052708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07ACE0" w14:textId="77777777" w:rsidR="0052708D" w:rsidRDefault="0052708D">
            <w:pPr>
              <w:jc w:val="center"/>
            </w:pPr>
            <w:r>
              <w:rPr>
                <w:rFonts w:ascii="宋体" w:hAnsi="宋体" w:hint="eastAsia"/>
                <w:color w:val="000000"/>
              </w:rPr>
              <w:t xml:space="preserve">占基金资产净值比例（%） </w:t>
            </w:r>
          </w:p>
        </w:tc>
      </w:tr>
      <w:tr w:rsidR="004B168F" w14:paraId="004580DE" w14:textId="77777777">
        <w:trPr>
          <w:divId w:val="15920800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D6B98" w14:textId="77777777" w:rsidR="0052708D" w:rsidRDefault="0052708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58262" w14:textId="77777777" w:rsidR="0052708D" w:rsidRDefault="0052708D">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7AD1D" w14:textId="77777777" w:rsidR="0052708D" w:rsidRDefault="0052708D">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8FE42" w14:textId="77777777" w:rsidR="0052708D" w:rsidRDefault="0052708D">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F2A2D" w14:textId="77777777" w:rsidR="0052708D" w:rsidRDefault="0052708D">
            <w:pPr>
              <w:jc w:val="right"/>
            </w:pPr>
            <w:r>
              <w:rPr>
                <w:rFonts w:ascii="宋体" w:hAnsi="宋体" w:hint="eastAsia"/>
                <w:szCs w:val="24"/>
                <w:lang w:eastAsia="zh-Hans"/>
              </w:rPr>
              <w:t>31,268,153.42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1F876" w14:textId="77777777" w:rsidR="0052708D" w:rsidRDefault="0052708D">
            <w:pPr>
              <w:jc w:val="right"/>
            </w:pPr>
            <w:r>
              <w:rPr>
                <w:rFonts w:ascii="宋体" w:hAnsi="宋体" w:hint="eastAsia"/>
                <w:szCs w:val="24"/>
                <w:lang w:eastAsia="zh-Hans"/>
              </w:rPr>
              <w:t>9.82</w:t>
            </w:r>
          </w:p>
        </w:tc>
      </w:tr>
      <w:tr w:rsidR="004B168F" w14:paraId="578CE47D" w14:textId="77777777">
        <w:trPr>
          <w:divId w:val="15920800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D6865" w14:textId="77777777" w:rsidR="0052708D" w:rsidRDefault="0052708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A9075" w14:textId="77777777" w:rsidR="0052708D" w:rsidRDefault="0052708D">
            <w:pPr>
              <w:jc w:val="center"/>
            </w:pPr>
            <w:r>
              <w:rPr>
                <w:rFonts w:ascii="宋体" w:hAnsi="宋体" w:hint="eastAsia"/>
                <w:szCs w:val="24"/>
                <w:lang w:eastAsia="zh-Hans"/>
              </w:rPr>
              <w:t>2520008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4AF55" w14:textId="77777777" w:rsidR="0052708D" w:rsidRDefault="0052708D">
            <w:pPr>
              <w:jc w:val="center"/>
            </w:pPr>
            <w:r>
              <w:rPr>
                <w:rFonts w:ascii="宋体" w:hAnsi="宋体" w:hint="eastAsia"/>
                <w:szCs w:val="24"/>
                <w:lang w:eastAsia="zh-Hans"/>
              </w:rPr>
              <w:t>25桂林银行三农债01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726DF" w14:textId="77777777" w:rsidR="0052708D" w:rsidRDefault="0052708D">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B0E6E" w14:textId="77777777" w:rsidR="0052708D" w:rsidRDefault="0052708D">
            <w:pPr>
              <w:jc w:val="right"/>
            </w:pPr>
            <w:r>
              <w:rPr>
                <w:rFonts w:ascii="宋体" w:hAnsi="宋体" w:hint="eastAsia"/>
                <w:szCs w:val="24"/>
                <w:lang w:eastAsia="zh-Hans"/>
              </w:rPr>
              <w:t>30,677,012.05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56E80" w14:textId="77777777" w:rsidR="0052708D" w:rsidRDefault="0052708D">
            <w:pPr>
              <w:jc w:val="right"/>
            </w:pPr>
            <w:r>
              <w:rPr>
                <w:rFonts w:ascii="宋体" w:hAnsi="宋体" w:hint="eastAsia"/>
                <w:szCs w:val="24"/>
                <w:lang w:eastAsia="zh-Hans"/>
              </w:rPr>
              <w:t>9.63</w:t>
            </w:r>
          </w:p>
        </w:tc>
      </w:tr>
      <w:tr w:rsidR="004B168F" w14:paraId="59EAACDA" w14:textId="77777777">
        <w:trPr>
          <w:divId w:val="15920800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66DE5" w14:textId="77777777" w:rsidR="0052708D" w:rsidRDefault="0052708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2C5E8" w14:textId="77777777" w:rsidR="0052708D" w:rsidRDefault="0052708D">
            <w:pPr>
              <w:jc w:val="center"/>
            </w:pPr>
            <w:r>
              <w:rPr>
                <w:rFonts w:ascii="宋体" w:hAnsi="宋体" w:hint="eastAsia"/>
                <w:szCs w:val="24"/>
                <w:lang w:eastAsia="zh-Hans"/>
              </w:rPr>
              <w:t>210208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F1558" w14:textId="77777777" w:rsidR="0052708D" w:rsidRDefault="0052708D">
            <w:pPr>
              <w:jc w:val="center"/>
            </w:pPr>
            <w:r>
              <w:rPr>
                <w:rFonts w:ascii="宋体" w:hAnsi="宋体" w:hint="eastAsia"/>
                <w:szCs w:val="24"/>
                <w:lang w:eastAsia="zh-Hans"/>
              </w:rPr>
              <w:t>21国开08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2B66D" w14:textId="77777777" w:rsidR="0052708D" w:rsidRDefault="0052708D">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D24F9" w14:textId="77777777" w:rsidR="0052708D" w:rsidRDefault="0052708D">
            <w:pPr>
              <w:jc w:val="right"/>
            </w:pPr>
            <w:r>
              <w:rPr>
                <w:rFonts w:ascii="宋体" w:hAnsi="宋体" w:hint="eastAsia"/>
                <w:szCs w:val="24"/>
                <w:lang w:eastAsia="zh-Hans"/>
              </w:rPr>
              <w:t>30,661,183.56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05932" w14:textId="77777777" w:rsidR="0052708D" w:rsidRDefault="0052708D">
            <w:pPr>
              <w:jc w:val="right"/>
            </w:pPr>
            <w:r>
              <w:rPr>
                <w:rFonts w:ascii="宋体" w:hAnsi="宋体" w:hint="eastAsia"/>
                <w:szCs w:val="24"/>
                <w:lang w:eastAsia="zh-Hans"/>
              </w:rPr>
              <w:t>9.63</w:t>
            </w:r>
          </w:p>
        </w:tc>
      </w:tr>
      <w:tr w:rsidR="004B168F" w14:paraId="3F8CF40C" w14:textId="77777777">
        <w:trPr>
          <w:divId w:val="15920800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6114C" w14:textId="77777777" w:rsidR="0052708D" w:rsidRDefault="0052708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24BE0" w14:textId="77777777" w:rsidR="0052708D" w:rsidRDefault="0052708D">
            <w:pPr>
              <w:jc w:val="center"/>
            </w:pPr>
            <w:r>
              <w:rPr>
                <w:rFonts w:ascii="宋体" w:hAnsi="宋体" w:hint="eastAsia"/>
                <w:szCs w:val="24"/>
                <w:lang w:eastAsia="zh-Hans"/>
              </w:rPr>
              <w:t>212400010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5C438" w14:textId="77777777" w:rsidR="0052708D" w:rsidRDefault="0052708D">
            <w:pPr>
              <w:jc w:val="center"/>
            </w:pPr>
            <w:r>
              <w:rPr>
                <w:rFonts w:ascii="宋体" w:hAnsi="宋体" w:hint="eastAsia"/>
                <w:szCs w:val="24"/>
                <w:lang w:eastAsia="zh-Hans"/>
              </w:rPr>
              <w:t>24中原银行小微债01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544EE" w14:textId="77777777" w:rsidR="0052708D" w:rsidRDefault="0052708D">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214DC" w14:textId="77777777" w:rsidR="0052708D" w:rsidRDefault="0052708D">
            <w:pPr>
              <w:jc w:val="right"/>
            </w:pPr>
            <w:r>
              <w:rPr>
                <w:rFonts w:ascii="宋体" w:hAnsi="宋体" w:hint="eastAsia"/>
                <w:szCs w:val="24"/>
                <w:lang w:eastAsia="zh-Hans"/>
              </w:rPr>
              <w:t>30,511,356.16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710D1" w14:textId="77777777" w:rsidR="0052708D" w:rsidRDefault="0052708D">
            <w:pPr>
              <w:jc w:val="right"/>
            </w:pPr>
            <w:r>
              <w:rPr>
                <w:rFonts w:ascii="宋体" w:hAnsi="宋体" w:hint="eastAsia"/>
                <w:szCs w:val="24"/>
                <w:lang w:eastAsia="zh-Hans"/>
              </w:rPr>
              <w:t>9.58</w:t>
            </w:r>
          </w:p>
        </w:tc>
      </w:tr>
      <w:tr w:rsidR="004B168F" w14:paraId="24E3BD8E" w14:textId="77777777">
        <w:trPr>
          <w:divId w:val="15920800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B4D33" w14:textId="77777777" w:rsidR="0052708D" w:rsidRDefault="0052708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D5307" w14:textId="77777777" w:rsidR="0052708D" w:rsidRDefault="0052708D">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7018C" w14:textId="77777777" w:rsidR="0052708D" w:rsidRDefault="0052708D">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30EB5" w14:textId="77777777" w:rsidR="0052708D" w:rsidRDefault="0052708D">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80E17" w14:textId="77777777" w:rsidR="0052708D" w:rsidRDefault="0052708D">
            <w:pPr>
              <w:jc w:val="right"/>
            </w:pPr>
            <w:r>
              <w:rPr>
                <w:rFonts w:ascii="宋体" w:hAnsi="宋体" w:hint="eastAsia"/>
                <w:szCs w:val="24"/>
                <w:lang w:eastAsia="zh-Hans"/>
              </w:rPr>
              <w:t>30,249,600.00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18E7A" w14:textId="77777777" w:rsidR="0052708D" w:rsidRDefault="0052708D">
            <w:pPr>
              <w:jc w:val="right"/>
            </w:pPr>
            <w:r>
              <w:rPr>
                <w:rFonts w:ascii="宋体" w:hAnsi="宋体" w:hint="eastAsia"/>
                <w:szCs w:val="24"/>
                <w:lang w:eastAsia="zh-Hans"/>
              </w:rPr>
              <w:t>9.50</w:t>
            </w:r>
          </w:p>
        </w:tc>
      </w:tr>
    </w:tbl>
    <w:p w14:paraId="4FEBC541" w14:textId="77777777" w:rsidR="0052708D" w:rsidRDefault="0052708D">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2FB3232" w14:textId="77777777" w:rsidR="0052708D" w:rsidRDefault="0052708D">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19C16B01" w14:textId="77777777" w:rsidR="0052708D" w:rsidRDefault="0052708D">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2C32B9BD" w14:textId="77777777" w:rsidR="0052708D" w:rsidRDefault="0052708D">
      <w:pPr>
        <w:spacing w:line="360" w:lineRule="auto"/>
        <w:ind w:firstLineChars="200" w:firstLine="420"/>
        <w:divId w:val="1715109419"/>
      </w:pPr>
      <w:r>
        <w:rPr>
          <w:rFonts w:ascii="宋体" w:hAnsi="宋体" w:hint="eastAsia"/>
          <w:szCs w:val="21"/>
          <w:lang w:eastAsia="zh-Hans"/>
        </w:rPr>
        <w:t>本基金本报告期末未持有贵金属。</w:t>
      </w:r>
    </w:p>
    <w:p w14:paraId="310C603A" w14:textId="77777777" w:rsidR="0052708D" w:rsidRDefault="0052708D">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42D45F5F" w14:textId="77777777" w:rsidR="0052708D" w:rsidRDefault="0052708D">
      <w:pPr>
        <w:spacing w:line="360" w:lineRule="auto"/>
        <w:ind w:firstLineChars="200" w:firstLine="420"/>
        <w:divId w:val="1648196812"/>
      </w:pPr>
      <w:r>
        <w:rPr>
          <w:rFonts w:ascii="宋体" w:hAnsi="宋体" w:hint="eastAsia"/>
          <w:szCs w:val="21"/>
          <w:lang w:eastAsia="zh-Hans"/>
        </w:rPr>
        <w:t>本基金本报告期末未持有权证。</w:t>
      </w:r>
    </w:p>
    <w:p w14:paraId="685B923B" w14:textId="77777777" w:rsidR="0052708D" w:rsidRDefault="0052708D">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1C05CFA8" w14:textId="77777777" w:rsidR="0052708D" w:rsidRDefault="0052708D">
      <w:pPr>
        <w:spacing w:line="360" w:lineRule="auto"/>
        <w:ind w:firstLineChars="200" w:firstLine="420"/>
        <w:divId w:val="988630174"/>
      </w:pPr>
      <w:r>
        <w:rPr>
          <w:rFonts w:ascii="宋体" w:hAnsi="宋体" w:hint="eastAsia"/>
          <w:szCs w:val="21"/>
          <w:lang w:eastAsia="zh-Hans"/>
        </w:rPr>
        <w:t>本基金本报告期末未持有股指期货。</w:t>
      </w:r>
    </w:p>
    <w:p w14:paraId="25FC1AED" w14:textId="77777777" w:rsidR="0052708D" w:rsidRDefault="0052708D">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53A1C718" w14:textId="77777777" w:rsidR="0052708D" w:rsidRDefault="0052708D">
      <w:pPr>
        <w:spacing w:line="360" w:lineRule="auto"/>
        <w:ind w:firstLineChars="200" w:firstLine="420"/>
        <w:divId w:val="1590460407"/>
      </w:pPr>
      <w:bookmarkStart w:id="250" w:name="m510_01_1597"/>
      <w:bookmarkStart w:id="251" w:name="m510_01_1598"/>
      <w:bookmarkEnd w:id="250"/>
      <w:r>
        <w:rPr>
          <w:rFonts w:ascii="宋体" w:hAnsi="宋体" w:hint="eastAsia"/>
          <w:szCs w:val="21"/>
          <w:lang w:eastAsia="zh-Hans"/>
        </w:rPr>
        <w:t>本基金本报告期末未持有国债期货。</w:t>
      </w:r>
    </w:p>
    <w:p w14:paraId="005FCB20" w14:textId="77777777" w:rsidR="0052708D" w:rsidRDefault="0052708D">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76003136" w14:textId="77777777" w:rsidR="0052708D" w:rsidRDefault="0052708D">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006CD35E" w14:textId="77777777" w:rsidR="0052708D" w:rsidRDefault="0052708D">
      <w:pPr>
        <w:spacing w:line="360" w:lineRule="auto"/>
        <w:ind w:firstLineChars="200" w:firstLine="420"/>
      </w:pPr>
      <w:r>
        <w:rPr>
          <w:rFonts w:ascii="宋体" w:hAnsi="宋体" w:hint="eastAsia"/>
        </w:rPr>
        <w:t>本基金投资的前十名证券的发行主体中，广发银行股份有限公司报告编制日前一年内曾受到国家外汇管理局广东省分局、国家金融监督管理总局的处罚，桂林银行股份有限公司报告编制日前一年内曾受到央行广西壮族自治区分行的处罚，中国民生银行股份有限公司报告编制日前一年内曾受到国家金融监督管理总局宁波监管局、国家金融监督管理总局、金融监管总局的处罚，中信银行股份有限公司报告编制日前一年内曾受到央行、国家金融监督管理总局的处罚，天津银行股份有限公司报告编制日前一年内曾受到央行天津市分行的处罚，国家开发银行报告编制日前一年内曾受到央行、国家外汇管理局北京市分局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9F56A7A" w14:textId="77777777" w:rsidR="0052708D" w:rsidRDefault="0052708D">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0702C668" w14:textId="77777777" w:rsidR="0052708D" w:rsidRDefault="0052708D">
      <w:pPr>
        <w:spacing w:line="360" w:lineRule="auto"/>
        <w:ind w:firstLineChars="200" w:firstLine="420"/>
      </w:pPr>
      <w:r>
        <w:rPr>
          <w:rFonts w:ascii="宋体" w:hAnsi="宋体" w:hint="eastAsia"/>
        </w:rPr>
        <w:t>报告期内本基金投资的前十名股票中没有在基金合同规定备选股票库之外的股票。</w:t>
      </w:r>
    </w:p>
    <w:p w14:paraId="10823AEF" w14:textId="77777777" w:rsidR="0052708D" w:rsidRDefault="0052708D">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B168F" w14:paraId="7CEDF266" w14:textId="77777777">
        <w:trPr>
          <w:divId w:val="171049196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B8A4F" w14:textId="77777777" w:rsidR="0052708D" w:rsidRDefault="0052708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5EE57" w14:textId="77777777" w:rsidR="0052708D" w:rsidRDefault="0052708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539FA" w14:textId="77777777" w:rsidR="0052708D" w:rsidRDefault="0052708D">
            <w:pPr>
              <w:jc w:val="center"/>
            </w:pPr>
            <w:r>
              <w:rPr>
                <w:rFonts w:ascii="宋体" w:hAnsi="宋体" w:hint="eastAsia"/>
              </w:rPr>
              <w:t>金额（元）</w:t>
            </w:r>
            <w:r>
              <w:t xml:space="preserve"> </w:t>
            </w:r>
          </w:p>
        </w:tc>
      </w:tr>
      <w:tr w:rsidR="004B168F" w14:paraId="0B5C20BC" w14:textId="77777777">
        <w:trPr>
          <w:divId w:val="1710491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9374D" w14:textId="77777777" w:rsidR="0052708D" w:rsidRDefault="0052708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B75BD" w14:textId="77777777" w:rsidR="0052708D" w:rsidRDefault="0052708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0BBAA" w14:textId="77777777" w:rsidR="0052708D" w:rsidRDefault="0052708D">
            <w:pPr>
              <w:jc w:val="right"/>
            </w:pPr>
            <w:r>
              <w:rPr>
                <w:rFonts w:ascii="宋体" w:hAnsi="宋体" w:hint="eastAsia"/>
              </w:rPr>
              <w:t>-</w:t>
            </w:r>
          </w:p>
        </w:tc>
      </w:tr>
      <w:tr w:rsidR="004B168F" w14:paraId="79BD1511" w14:textId="77777777">
        <w:trPr>
          <w:divId w:val="1710491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073B6" w14:textId="77777777" w:rsidR="0052708D" w:rsidRDefault="0052708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3EC6A" w14:textId="77777777" w:rsidR="0052708D" w:rsidRDefault="0052708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19139" w14:textId="77777777" w:rsidR="0052708D" w:rsidRDefault="0052708D">
            <w:pPr>
              <w:jc w:val="right"/>
            </w:pPr>
            <w:r>
              <w:rPr>
                <w:rFonts w:ascii="宋体" w:hAnsi="宋体" w:hint="eastAsia"/>
              </w:rPr>
              <w:t>-</w:t>
            </w:r>
          </w:p>
        </w:tc>
      </w:tr>
      <w:tr w:rsidR="004B168F" w14:paraId="530CEA3A" w14:textId="77777777">
        <w:trPr>
          <w:divId w:val="1710491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E1373" w14:textId="77777777" w:rsidR="0052708D" w:rsidRDefault="0052708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D20BC" w14:textId="77777777" w:rsidR="0052708D" w:rsidRDefault="0052708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D8CBD" w14:textId="77777777" w:rsidR="0052708D" w:rsidRDefault="0052708D">
            <w:pPr>
              <w:jc w:val="right"/>
            </w:pPr>
            <w:r>
              <w:rPr>
                <w:rFonts w:ascii="宋体" w:hAnsi="宋体" w:hint="eastAsia"/>
              </w:rPr>
              <w:t>-</w:t>
            </w:r>
          </w:p>
        </w:tc>
      </w:tr>
      <w:tr w:rsidR="004B168F" w14:paraId="068FDE21" w14:textId="77777777">
        <w:trPr>
          <w:divId w:val="1710491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29C6C" w14:textId="77777777" w:rsidR="0052708D" w:rsidRDefault="0052708D">
            <w:pPr>
              <w:jc w:val="center"/>
            </w:pPr>
            <w:r>
              <w:rPr>
                <w:rFonts w:ascii="宋体" w:hAnsi="宋体" w:hint="eastAsia"/>
              </w:rPr>
              <w:lastRenderedPageBreak/>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79D8B" w14:textId="77777777" w:rsidR="0052708D" w:rsidRDefault="0052708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3D42E" w14:textId="77777777" w:rsidR="0052708D" w:rsidRDefault="0052708D">
            <w:pPr>
              <w:jc w:val="right"/>
            </w:pPr>
            <w:r>
              <w:rPr>
                <w:rFonts w:ascii="宋体" w:hAnsi="宋体" w:hint="eastAsia"/>
              </w:rPr>
              <w:t>-</w:t>
            </w:r>
          </w:p>
        </w:tc>
      </w:tr>
      <w:tr w:rsidR="004B168F" w14:paraId="2D9AC6CE" w14:textId="77777777">
        <w:trPr>
          <w:divId w:val="1710491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93D60" w14:textId="77777777" w:rsidR="0052708D" w:rsidRDefault="0052708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47E38" w14:textId="77777777" w:rsidR="0052708D" w:rsidRDefault="0052708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AE4DC" w14:textId="77777777" w:rsidR="0052708D" w:rsidRDefault="0052708D">
            <w:pPr>
              <w:jc w:val="right"/>
            </w:pPr>
            <w:r>
              <w:rPr>
                <w:rFonts w:ascii="宋体" w:hAnsi="宋体" w:hint="eastAsia"/>
              </w:rPr>
              <w:t>110.91</w:t>
            </w:r>
          </w:p>
        </w:tc>
      </w:tr>
      <w:tr w:rsidR="004B168F" w14:paraId="613A199F" w14:textId="77777777">
        <w:trPr>
          <w:divId w:val="1710491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9A27B" w14:textId="77777777" w:rsidR="0052708D" w:rsidRDefault="0052708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B13C3" w14:textId="77777777" w:rsidR="0052708D" w:rsidRDefault="0052708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1F9D3" w14:textId="77777777" w:rsidR="0052708D" w:rsidRDefault="0052708D">
            <w:pPr>
              <w:jc w:val="right"/>
            </w:pPr>
            <w:r>
              <w:rPr>
                <w:rFonts w:ascii="宋体" w:hAnsi="宋体" w:hint="eastAsia"/>
              </w:rPr>
              <w:t>-</w:t>
            </w:r>
          </w:p>
        </w:tc>
      </w:tr>
      <w:tr w:rsidR="004B168F" w14:paraId="4DFC68E7" w14:textId="77777777">
        <w:trPr>
          <w:divId w:val="1710491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5E047" w14:textId="77777777" w:rsidR="0052708D" w:rsidRDefault="0052708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9AC67" w14:textId="77777777" w:rsidR="0052708D" w:rsidRDefault="0052708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7D67E" w14:textId="77777777" w:rsidR="0052708D" w:rsidRDefault="0052708D">
            <w:pPr>
              <w:jc w:val="right"/>
            </w:pPr>
            <w:r>
              <w:rPr>
                <w:rFonts w:ascii="宋体" w:hAnsi="宋体" w:hint="eastAsia"/>
              </w:rPr>
              <w:t>-</w:t>
            </w:r>
          </w:p>
        </w:tc>
      </w:tr>
      <w:tr w:rsidR="004B168F" w14:paraId="54662796" w14:textId="77777777">
        <w:trPr>
          <w:divId w:val="17104919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14A8B" w14:textId="77777777" w:rsidR="0052708D" w:rsidRDefault="0052708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5B487" w14:textId="77777777" w:rsidR="0052708D" w:rsidRDefault="0052708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B6673" w14:textId="77777777" w:rsidR="0052708D" w:rsidRDefault="0052708D">
            <w:pPr>
              <w:jc w:val="right"/>
            </w:pPr>
            <w:r>
              <w:rPr>
                <w:rFonts w:ascii="宋体" w:hAnsi="宋体" w:hint="eastAsia"/>
              </w:rPr>
              <w:t>110.91</w:t>
            </w:r>
          </w:p>
        </w:tc>
      </w:tr>
    </w:tbl>
    <w:p w14:paraId="6E098F37" w14:textId="77777777" w:rsidR="0052708D" w:rsidRDefault="0052708D">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7FC81621" w14:textId="77777777" w:rsidR="0052708D" w:rsidRDefault="0052708D">
      <w:pPr>
        <w:spacing w:line="360" w:lineRule="auto"/>
        <w:ind w:firstLineChars="200" w:firstLine="420"/>
        <w:jc w:val="left"/>
      </w:pPr>
      <w:r>
        <w:rPr>
          <w:rFonts w:ascii="宋体" w:hAnsi="宋体" w:hint="eastAsia"/>
        </w:rPr>
        <w:t xml:space="preserve">本基金本报告期末未持有处于转股期的可转换债券。 </w:t>
      </w:r>
    </w:p>
    <w:p w14:paraId="3A05F895" w14:textId="77777777" w:rsidR="0052708D" w:rsidRDefault="0052708D">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21E4B11" w14:textId="77777777" w:rsidR="0052708D" w:rsidRDefault="0052708D">
      <w:pPr>
        <w:spacing w:line="360" w:lineRule="auto"/>
        <w:ind w:firstLineChars="200" w:firstLine="420"/>
        <w:jc w:val="left"/>
        <w:divId w:val="1175606451"/>
      </w:pPr>
      <w:r>
        <w:rPr>
          <w:rFonts w:ascii="宋体" w:hAnsi="宋体" w:hint="eastAsia"/>
        </w:rPr>
        <w:t>本基金本报告期末前十名股票中不存在流通受限情况。</w:t>
      </w:r>
      <w:bookmarkEnd w:id="17"/>
      <w:bookmarkEnd w:id="18"/>
      <w:bookmarkEnd w:id="19"/>
      <w:bookmarkEnd w:id="20"/>
      <w:bookmarkEnd w:id="21"/>
    </w:p>
    <w:p w14:paraId="2F3283F9" w14:textId="77777777" w:rsidR="0052708D" w:rsidRDefault="0052708D">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3FFDB528" w14:textId="77777777" w:rsidR="0052708D" w:rsidRDefault="0052708D">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031BA73C" w14:textId="77777777" w:rsidR="0052708D" w:rsidRDefault="0052708D">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6EB6B42" w14:textId="77777777" w:rsidR="0052708D" w:rsidRDefault="0052708D">
      <w:pPr>
        <w:wordWrap w:val="0"/>
        <w:spacing w:line="360" w:lineRule="auto"/>
        <w:jc w:val="right"/>
        <w:divId w:val="15612100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740"/>
        <w:gridCol w:w="1552"/>
        <w:gridCol w:w="1929"/>
      </w:tblGrid>
      <w:tr w:rsidR="004B168F" w14:paraId="2F003D59" w14:textId="77777777">
        <w:trPr>
          <w:divId w:val="15612100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07EA13E" w14:textId="77777777" w:rsidR="0052708D" w:rsidRDefault="0052708D">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FC7EF9" w14:textId="77777777" w:rsidR="0052708D" w:rsidRDefault="0052708D">
            <w:pPr>
              <w:ind w:right="3"/>
              <w:jc w:val="center"/>
            </w:pPr>
            <w:r>
              <w:rPr>
                <w:rFonts w:ascii="宋体" w:hAnsi="宋体" w:hint="eastAsia"/>
                <w:lang w:eastAsia="zh-Hans"/>
              </w:rPr>
              <w:t>摩根纯债丰利债券A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FD9D1" w14:textId="77777777" w:rsidR="0052708D" w:rsidRDefault="0052708D">
            <w:pPr>
              <w:ind w:right="3"/>
              <w:jc w:val="center"/>
            </w:pPr>
            <w:r>
              <w:rPr>
                <w:rFonts w:ascii="宋体" w:hAnsi="宋体" w:hint="eastAsia"/>
                <w:lang w:eastAsia="zh-Hans"/>
              </w:rPr>
              <w:t>摩根纯债丰利债券C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740C14" w14:textId="77777777" w:rsidR="0052708D" w:rsidRDefault="0052708D">
            <w:pPr>
              <w:ind w:right="3"/>
              <w:jc w:val="center"/>
            </w:pPr>
            <w:r>
              <w:rPr>
                <w:rFonts w:ascii="宋体" w:hAnsi="宋体" w:hint="eastAsia"/>
                <w:lang w:eastAsia="zh-Hans"/>
              </w:rPr>
              <w:t>摩根纯债丰利债券D</w:t>
            </w:r>
            <w:r>
              <w:rPr>
                <w:rFonts w:ascii="宋体" w:hAnsi="宋体" w:hint="eastAsia"/>
                <w:kern w:val="0"/>
                <w:szCs w:val="24"/>
                <w:lang w:eastAsia="zh-Hans"/>
              </w:rPr>
              <w:t xml:space="preserve"> </w:t>
            </w:r>
          </w:p>
        </w:tc>
      </w:tr>
      <w:tr w:rsidR="004B168F" w14:paraId="1D7B69F4" w14:textId="77777777">
        <w:trPr>
          <w:divId w:val="1561210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3E5055" w14:textId="77777777" w:rsidR="0052708D" w:rsidRDefault="005270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9C8DEA" w14:textId="77777777" w:rsidR="0052708D" w:rsidRDefault="0052708D">
            <w:pPr>
              <w:jc w:val="right"/>
            </w:pPr>
            <w:r>
              <w:rPr>
                <w:rFonts w:ascii="宋体" w:hAnsi="宋体" w:hint="eastAsia"/>
              </w:rPr>
              <w:t>4,063,860.15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FD3D52" w14:textId="77777777" w:rsidR="0052708D" w:rsidRDefault="0052708D">
            <w:pPr>
              <w:jc w:val="right"/>
            </w:pPr>
            <w:r>
              <w:rPr>
                <w:rFonts w:ascii="宋体" w:hAnsi="宋体" w:hint="eastAsia"/>
              </w:rPr>
              <w:t>850,187.17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26619C" w14:textId="77777777" w:rsidR="0052708D" w:rsidRDefault="0052708D">
            <w:pPr>
              <w:jc w:val="right"/>
            </w:pPr>
            <w:r>
              <w:rPr>
                <w:rFonts w:ascii="宋体" w:hAnsi="宋体" w:hint="eastAsia"/>
              </w:rPr>
              <w:t>300,009,101.28</w:t>
            </w:r>
          </w:p>
        </w:tc>
      </w:tr>
      <w:tr w:rsidR="004B168F" w14:paraId="222A7F38" w14:textId="77777777">
        <w:trPr>
          <w:divId w:val="1561210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9C65AC" w14:textId="77777777" w:rsidR="0052708D" w:rsidRDefault="005270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F53B84" w14:textId="77777777" w:rsidR="0052708D" w:rsidRDefault="0052708D">
            <w:pPr>
              <w:jc w:val="right"/>
            </w:pPr>
            <w:r>
              <w:rPr>
                <w:rFonts w:ascii="宋体" w:hAnsi="宋体" w:hint="eastAsia"/>
              </w:rPr>
              <w:t>229,321.96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93476" w14:textId="77777777" w:rsidR="0052708D" w:rsidRDefault="0052708D">
            <w:pPr>
              <w:jc w:val="right"/>
            </w:pPr>
            <w:r>
              <w:rPr>
                <w:rFonts w:ascii="宋体" w:hAnsi="宋体" w:hint="eastAsia"/>
              </w:rPr>
              <w:t>107,756.11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E4FDC" w14:textId="77777777" w:rsidR="0052708D" w:rsidRDefault="0052708D">
            <w:pPr>
              <w:jc w:val="right"/>
            </w:pPr>
            <w:r>
              <w:rPr>
                <w:rFonts w:ascii="宋体" w:hAnsi="宋体" w:hint="eastAsia"/>
              </w:rPr>
              <w:t>2,897.00</w:t>
            </w:r>
          </w:p>
        </w:tc>
      </w:tr>
      <w:tr w:rsidR="004B168F" w14:paraId="0A32BA75" w14:textId="77777777">
        <w:trPr>
          <w:divId w:val="1561210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F4815" w14:textId="77777777" w:rsidR="0052708D" w:rsidRDefault="005270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5D2513" w14:textId="77777777" w:rsidR="0052708D" w:rsidRDefault="0052708D">
            <w:pPr>
              <w:jc w:val="right"/>
            </w:pPr>
            <w:r>
              <w:rPr>
                <w:rFonts w:ascii="宋体" w:hAnsi="宋体" w:hint="eastAsia"/>
              </w:rPr>
              <w:t>874,332.36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63FC67" w14:textId="77777777" w:rsidR="0052708D" w:rsidRDefault="0052708D">
            <w:pPr>
              <w:jc w:val="right"/>
            </w:pPr>
            <w:r>
              <w:rPr>
                <w:rFonts w:ascii="宋体" w:hAnsi="宋体" w:hint="eastAsia"/>
              </w:rPr>
              <w:t>218,991.17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6E597" w14:textId="77777777" w:rsidR="0052708D" w:rsidRDefault="0052708D">
            <w:pPr>
              <w:jc w:val="right"/>
            </w:pPr>
            <w:r>
              <w:rPr>
                <w:rFonts w:ascii="宋体" w:hAnsi="宋体" w:hint="eastAsia"/>
              </w:rPr>
              <w:t>-</w:t>
            </w:r>
          </w:p>
        </w:tc>
      </w:tr>
      <w:tr w:rsidR="004B168F" w14:paraId="20091D5D" w14:textId="77777777">
        <w:trPr>
          <w:divId w:val="1561210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7E3DC" w14:textId="77777777" w:rsidR="0052708D" w:rsidRDefault="005270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5D4218" w14:textId="77777777" w:rsidR="0052708D" w:rsidRDefault="0052708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BD5E07" w14:textId="77777777" w:rsidR="0052708D" w:rsidRDefault="0052708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CCD4B5" w14:textId="77777777" w:rsidR="0052708D" w:rsidRDefault="0052708D">
            <w:pPr>
              <w:jc w:val="right"/>
            </w:pPr>
            <w:r>
              <w:rPr>
                <w:rFonts w:ascii="宋体" w:hAnsi="宋体" w:hint="eastAsia"/>
              </w:rPr>
              <w:t>-</w:t>
            </w:r>
          </w:p>
        </w:tc>
      </w:tr>
      <w:tr w:rsidR="004B168F" w14:paraId="053CE24C" w14:textId="77777777">
        <w:trPr>
          <w:divId w:val="1561210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B84B22" w14:textId="77777777" w:rsidR="0052708D" w:rsidRDefault="0052708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2722BA" w14:textId="77777777" w:rsidR="0052708D" w:rsidRDefault="0052708D">
            <w:pPr>
              <w:jc w:val="right"/>
            </w:pPr>
            <w:r>
              <w:rPr>
                <w:rFonts w:ascii="宋体" w:hAnsi="宋体" w:hint="eastAsia"/>
              </w:rPr>
              <w:t>3,418,849.75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6C2F70" w14:textId="77777777" w:rsidR="0052708D" w:rsidRDefault="0052708D">
            <w:pPr>
              <w:jc w:val="right"/>
            </w:pPr>
            <w:r>
              <w:rPr>
                <w:rFonts w:ascii="宋体" w:hAnsi="宋体" w:hint="eastAsia"/>
              </w:rPr>
              <w:t>738,952.11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648487" w14:textId="77777777" w:rsidR="0052708D" w:rsidRDefault="0052708D">
            <w:pPr>
              <w:jc w:val="right"/>
            </w:pPr>
            <w:r>
              <w:rPr>
                <w:rFonts w:ascii="宋体" w:hAnsi="宋体" w:hint="eastAsia"/>
              </w:rPr>
              <w:t>300,011,998.28</w:t>
            </w:r>
          </w:p>
        </w:tc>
      </w:tr>
    </w:tbl>
    <w:p w14:paraId="0BC23A61" w14:textId="77777777" w:rsidR="0052708D" w:rsidRDefault="0052708D">
      <w:pPr>
        <w:spacing w:line="360" w:lineRule="auto"/>
        <w:jc w:val="left"/>
        <w:divId w:val="15612100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5465AA1" w14:textId="77777777" w:rsidR="0052708D" w:rsidRDefault="0052708D">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70F9F96" w14:textId="77777777" w:rsidR="0052708D" w:rsidRDefault="0052708D">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D6A3A2C" w14:textId="77777777" w:rsidR="0052708D" w:rsidRDefault="0052708D">
      <w:pPr>
        <w:spacing w:line="360" w:lineRule="auto"/>
        <w:ind w:firstLineChars="200" w:firstLine="420"/>
        <w:jc w:val="left"/>
        <w:divId w:val="460928369"/>
      </w:pPr>
      <w:r>
        <w:rPr>
          <w:rFonts w:ascii="宋体" w:hAnsi="宋体" w:hint="eastAsia"/>
          <w:szCs w:val="21"/>
          <w:lang w:eastAsia="zh-Hans"/>
        </w:rPr>
        <w:t>无。</w:t>
      </w:r>
      <w:r>
        <w:rPr>
          <w:rFonts w:ascii="宋体" w:hAnsi="宋体" w:hint="eastAsia"/>
          <w:szCs w:val="21"/>
        </w:rPr>
        <w:t xml:space="preserve"> </w:t>
      </w:r>
    </w:p>
    <w:p w14:paraId="4F468D6A" w14:textId="77777777" w:rsidR="0052708D" w:rsidRDefault="0052708D">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60ABF6C5" w14:textId="77777777" w:rsidR="0052708D" w:rsidRDefault="0052708D">
      <w:pPr>
        <w:spacing w:line="360" w:lineRule="auto"/>
        <w:ind w:firstLineChars="200" w:firstLine="420"/>
        <w:jc w:val="left"/>
        <w:divId w:val="1212839427"/>
      </w:pPr>
      <w:r>
        <w:rPr>
          <w:rFonts w:ascii="宋体" w:hAnsi="宋体" w:hint="eastAsia"/>
          <w:lang w:eastAsia="zh-Hans"/>
        </w:rPr>
        <w:t>无。</w:t>
      </w:r>
      <w:r>
        <w:rPr>
          <w:rFonts w:ascii="宋体" w:hAnsi="宋体" w:hint="eastAsia"/>
        </w:rPr>
        <w:t xml:space="preserve"> </w:t>
      </w:r>
    </w:p>
    <w:p w14:paraId="4026C68C" w14:textId="77777777" w:rsidR="0052708D" w:rsidRDefault="0052708D">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2A9BC0AD" w14:textId="77777777" w:rsidR="0052708D" w:rsidRDefault="0052708D">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3"/>
        <w:gridCol w:w="1016"/>
        <w:gridCol w:w="1500"/>
        <w:gridCol w:w="1147"/>
        <w:gridCol w:w="1139"/>
        <w:gridCol w:w="1500"/>
        <w:gridCol w:w="1330"/>
      </w:tblGrid>
      <w:tr w:rsidR="004B168F" w14:paraId="59BD90DF" w14:textId="77777777">
        <w:trPr>
          <w:divId w:val="1073817161"/>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B8231" w14:textId="77777777" w:rsidR="0052708D" w:rsidRDefault="0052708D">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投</w:t>
            </w:r>
            <w:r>
              <w:rPr>
                <w:rFonts w:ascii="宋体" w:hAnsi="宋体" w:hint="eastAsia"/>
                <w:color w:val="000000"/>
                <w:kern w:val="0"/>
              </w:rPr>
              <w:lastRenderedPageBreak/>
              <w:t xml:space="preserve">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E675E" w14:textId="77777777" w:rsidR="0052708D" w:rsidRDefault="0052708D">
            <w:pPr>
              <w:widowControl/>
              <w:jc w:val="center"/>
            </w:pPr>
            <w:r>
              <w:rPr>
                <w:rFonts w:ascii="宋体" w:hAnsi="宋体" w:hint="eastAsia"/>
                <w:color w:val="000000"/>
                <w:kern w:val="0"/>
              </w:rPr>
              <w:lastRenderedPageBreak/>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06B9F" w14:textId="77777777" w:rsidR="0052708D" w:rsidRDefault="0052708D">
            <w:pPr>
              <w:widowControl/>
              <w:jc w:val="center"/>
            </w:pPr>
            <w:r>
              <w:rPr>
                <w:rFonts w:ascii="宋体" w:hAnsi="宋体" w:hint="eastAsia"/>
                <w:color w:val="000000"/>
                <w:kern w:val="0"/>
              </w:rPr>
              <w:t xml:space="preserve">报告期末持有基金情况 </w:t>
            </w:r>
          </w:p>
        </w:tc>
      </w:tr>
      <w:tr w:rsidR="004B168F" w14:paraId="4725C6D6" w14:textId="77777777">
        <w:trPr>
          <w:divId w:val="107381716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B9A3F" w14:textId="77777777" w:rsidR="0052708D" w:rsidRDefault="0052708D">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9378F" w14:textId="77777777" w:rsidR="0052708D" w:rsidRDefault="0052708D">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5262B" w14:textId="77777777" w:rsidR="0052708D" w:rsidRDefault="0052708D">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60274" w14:textId="77777777" w:rsidR="0052708D" w:rsidRDefault="0052708D">
            <w:pPr>
              <w:widowControl/>
              <w:jc w:val="center"/>
            </w:pPr>
            <w:r>
              <w:rPr>
                <w:rFonts w:ascii="宋体" w:hAnsi="宋体" w:hint="eastAsia"/>
                <w:color w:val="000000"/>
                <w:kern w:val="0"/>
              </w:rPr>
              <w:t xml:space="preserve">期初 </w:t>
            </w:r>
          </w:p>
          <w:p w14:paraId="6E891D3D" w14:textId="77777777" w:rsidR="0052708D" w:rsidRDefault="0052708D">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3AC2B" w14:textId="77777777" w:rsidR="0052708D" w:rsidRDefault="0052708D">
            <w:pPr>
              <w:widowControl/>
              <w:jc w:val="center"/>
            </w:pPr>
            <w:r>
              <w:rPr>
                <w:rFonts w:ascii="宋体" w:hAnsi="宋体" w:hint="eastAsia"/>
                <w:color w:val="000000"/>
                <w:kern w:val="0"/>
              </w:rPr>
              <w:t xml:space="preserve">申购 </w:t>
            </w:r>
          </w:p>
          <w:p w14:paraId="62609C99" w14:textId="77777777" w:rsidR="0052708D" w:rsidRDefault="0052708D">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49584" w14:textId="77777777" w:rsidR="0052708D" w:rsidRDefault="0052708D">
            <w:pPr>
              <w:widowControl/>
              <w:jc w:val="center"/>
            </w:pPr>
            <w:r>
              <w:rPr>
                <w:rFonts w:ascii="宋体" w:hAnsi="宋体" w:hint="eastAsia"/>
                <w:color w:val="000000"/>
                <w:kern w:val="0"/>
              </w:rPr>
              <w:t xml:space="preserve">赎回 </w:t>
            </w:r>
          </w:p>
          <w:p w14:paraId="40C8AD10" w14:textId="77777777" w:rsidR="0052708D" w:rsidRDefault="0052708D">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41CEC" w14:textId="77777777" w:rsidR="0052708D" w:rsidRDefault="0052708D">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668F8" w14:textId="77777777" w:rsidR="0052708D" w:rsidRDefault="0052708D">
            <w:pPr>
              <w:widowControl/>
              <w:jc w:val="center"/>
            </w:pPr>
            <w:r>
              <w:rPr>
                <w:rFonts w:ascii="宋体" w:hAnsi="宋体" w:hint="eastAsia"/>
                <w:color w:val="000000"/>
                <w:kern w:val="0"/>
              </w:rPr>
              <w:t xml:space="preserve">份额占比 </w:t>
            </w:r>
          </w:p>
        </w:tc>
      </w:tr>
      <w:tr w:rsidR="004B168F" w14:paraId="43CB800C" w14:textId="77777777">
        <w:trPr>
          <w:divId w:val="1073817161"/>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9EA4B" w14:textId="77777777" w:rsidR="0052708D" w:rsidRDefault="0052708D">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DFDF7" w14:textId="77777777" w:rsidR="0052708D" w:rsidRDefault="0052708D">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4A17B" w14:textId="77777777" w:rsidR="0052708D" w:rsidRDefault="0052708D">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3C0BB" w14:textId="77777777" w:rsidR="0052708D" w:rsidRDefault="0052708D">
            <w:pPr>
              <w:widowControl/>
              <w:jc w:val="right"/>
            </w:pPr>
            <w:r>
              <w:rPr>
                <w:rFonts w:ascii="宋体" w:hAnsi="宋体" w:hint="eastAsia"/>
                <w:color w:val="000000"/>
                <w:szCs w:val="21"/>
              </w:rPr>
              <w:t>300,000,000.00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57FA2" w14:textId="77777777" w:rsidR="0052708D" w:rsidRDefault="0052708D">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E1816" w14:textId="77777777" w:rsidR="0052708D" w:rsidRDefault="0052708D">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EBA3E" w14:textId="77777777" w:rsidR="0052708D" w:rsidRDefault="0052708D">
            <w:pPr>
              <w:widowControl/>
              <w:jc w:val="right"/>
            </w:pPr>
            <w:r>
              <w:rPr>
                <w:rFonts w:ascii="宋体" w:hAnsi="宋体" w:hint="eastAsia"/>
                <w:color w:val="000000"/>
                <w:szCs w:val="21"/>
              </w:rPr>
              <w:t>300,000,000.00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BA37A" w14:textId="77777777" w:rsidR="0052708D" w:rsidRDefault="0052708D">
            <w:pPr>
              <w:widowControl/>
              <w:jc w:val="right"/>
            </w:pPr>
            <w:r>
              <w:rPr>
                <w:rFonts w:ascii="宋体" w:hAnsi="宋体" w:hint="eastAsia"/>
                <w:color w:val="000000"/>
                <w:szCs w:val="21"/>
              </w:rPr>
              <w:t>98.63</w:t>
            </w:r>
            <w:r>
              <w:rPr>
                <w:szCs w:val="21"/>
              </w:rPr>
              <w:t>%</w:t>
            </w:r>
            <w:r>
              <w:t xml:space="preserve"> </w:t>
            </w:r>
          </w:p>
        </w:tc>
      </w:tr>
      <w:tr w:rsidR="004B168F" w14:paraId="14AE4010" w14:textId="77777777">
        <w:trPr>
          <w:divId w:val="107381716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C2898" w14:textId="77777777" w:rsidR="0052708D" w:rsidRDefault="0052708D">
            <w:pPr>
              <w:widowControl/>
              <w:jc w:val="center"/>
            </w:pPr>
            <w:r>
              <w:rPr>
                <w:rFonts w:ascii="宋体" w:hAnsi="宋体" w:hint="eastAsia"/>
                <w:color w:val="000000"/>
                <w:kern w:val="0"/>
              </w:rPr>
              <w:t xml:space="preserve">产品特有风险 </w:t>
            </w:r>
          </w:p>
        </w:tc>
      </w:tr>
      <w:tr w:rsidR="004B168F" w14:paraId="528A98D3" w14:textId="77777777">
        <w:trPr>
          <w:divId w:val="107381716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C6E91" w14:textId="77777777" w:rsidR="0052708D" w:rsidRDefault="0052708D">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A15C313" w14:textId="77777777" w:rsidR="0052708D" w:rsidRDefault="0052708D">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1FE98360" w14:textId="77777777" w:rsidR="0052708D" w:rsidRDefault="0052708D">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5C61BAB0" w14:textId="77777777" w:rsidR="0052708D" w:rsidRDefault="0052708D">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2、《摩根纯债丰利债券型证券投资基金基金合同》</w:t>
      </w:r>
      <w:r>
        <w:rPr>
          <w:rFonts w:ascii="宋体" w:hAnsi="宋体" w:cs="宋体" w:hint="eastAsia"/>
          <w:color w:val="000000"/>
          <w:kern w:val="0"/>
        </w:rPr>
        <w:br/>
        <w:t xml:space="preserve">　　3、《摩根纯债丰利债券型证券投资基金托管协议》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2C43D059" w14:textId="77777777" w:rsidR="0052708D" w:rsidRDefault="0052708D">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409CBB14" w14:textId="77777777" w:rsidR="0052708D" w:rsidRDefault="0052708D">
      <w:pPr>
        <w:spacing w:line="360" w:lineRule="auto"/>
        <w:ind w:firstLineChars="200" w:firstLine="420"/>
        <w:jc w:val="left"/>
      </w:pPr>
      <w:r>
        <w:rPr>
          <w:rFonts w:ascii="宋体" w:hAnsi="宋体" w:cs="宋体" w:hint="eastAsia"/>
          <w:color w:val="000000"/>
          <w:kern w:val="0"/>
        </w:rPr>
        <w:t>基金管理人或基金托管人住所。</w:t>
      </w:r>
    </w:p>
    <w:p w14:paraId="57C1B273" w14:textId="77777777" w:rsidR="0052708D" w:rsidRDefault="0052708D">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3CE7CADB" w14:textId="77777777" w:rsidR="0052708D" w:rsidRDefault="0052708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35E0EAC" w14:textId="77777777" w:rsidR="0052708D" w:rsidRDefault="0052708D">
      <w:pPr>
        <w:spacing w:line="360" w:lineRule="auto"/>
        <w:ind w:firstLineChars="600" w:firstLine="1687"/>
        <w:jc w:val="left"/>
      </w:pPr>
      <w:r>
        <w:rPr>
          <w:rFonts w:ascii="宋体" w:hAnsi="宋体" w:hint="eastAsia"/>
          <w:b/>
          <w:bCs/>
          <w:sz w:val="28"/>
          <w:szCs w:val="30"/>
        </w:rPr>
        <w:t xml:space="preserve">　 </w:t>
      </w:r>
    </w:p>
    <w:p w14:paraId="6A65B187" w14:textId="77777777" w:rsidR="0052708D" w:rsidRDefault="0052708D">
      <w:pPr>
        <w:spacing w:line="360" w:lineRule="auto"/>
        <w:ind w:firstLineChars="600" w:firstLine="1687"/>
        <w:jc w:val="left"/>
      </w:pPr>
      <w:r>
        <w:rPr>
          <w:rFonts w:ascii="宋体" w:hAnsi="宋体" w:hint="eastAsia"/>
          <w:b/>
          <w:bCs/>
          <w:sz w:val="28"/>
          <w:szCs w:val="30"/>
        </w:rPr>
        <w:t xml:space="preserve">　 </w:t>
      </w:r>
    </w:p>
    <w:p w14:paraId="5A58681A" w14:textId="77777777" w:rsidR="0052708D" w:rsidRDefault="0052708D">
      <w:pPr>
        <w:spacing w:line="360" w:lineRule="auto"/>
        <w:ind w:firstLineChars="600" w:firstLine="1446"/>
        <w:jc w:val="right"/>
      </w:pPr>
      <w:r>
        <w:rPr>
          <w:rFonts w:ascii="宋体" w:hAnsi="宋体" w:hint="eastAsia"/>
          <w:b/>
          <w:bCs/>
          <w:sz w:val="24"/>
          <w:szCs w:val="24"/>
        </w:rPr>
        <w:t>摩根基金管理（中国）有限公司</w:t>
      </w:r>
    </w:p>
    <w:p w14:paraId="0C9E820B" w14:textId="77777777" w:rsidR="0052708D" w:rsidRDefault="0052708D">
      <w:pPr>
        <w:spacing w:line="360" w:lineRule="auto"/>
        <w:ind w:firstLineChars="600" w:firstLine="1446"/>
        <w:jc w:val="right"/>
      </w:pPr>
      <w:r>
        <w:rPr>
          <w:rFonts w:ascii="宋体" w:hAnsi="宋体" w:hint="eastAsia"/>
          <w:b/>
          <w:bCs/>
          <w:sz w:val="24"/>
          <w:szCs w:val="24"/>
        </w:rPr>
        <w:t>2026年4月22日</w:t>
      </w:r>
      <w:bookmarkEnd w:id="23"/>
    </w:p>
    <w:sectPr w:rsidR="0052708D">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E696" w14:textId="77777777" w:rsidR="00E63BBE" w:rsidRDefault="00E63BBE">
      <w:pPr>
        <w:rPr>
          <w:szCs w:val="21"/>
        </w:rPr>
      </w:pPr>
      <w:r>
        <w:rPr>
          <w:szCs w:val="21"/>
        </w:rPr>
        <w:separator/>
      </w:r>
      <w:r>
        <w:rPr>
          <w:szCs w:val="21"/>
        </w:rPr>
        <w:t xml:space="preserve"> </w:t>
      </w:r>
    </w:p>
  </w:endnote>
  <w:endnote w:type="continuationSeparator" w:id="0">
    <w:p w14:paraId="076C71AA" w14:textId="77777777" w:rsidR="00E63BBE" w:rsidRDefault="00E63BB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10E1" w14:textId="77777777" w:rsidR="0052708D" w:rsidRDefault="0052708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3DDB" w14:textId="77777777" w:rsidR="00E63BBE" w:rsidRDefault="00E63BBE">
      <w:pPr>
        <w:rPr>
          <w:szCs w:val="21"/>
        </w:rPr>
      </w:pPr>
      <w:r>
        <w:rPr>
          <w:szCs w:val="21"/>
        </w:rPr>
        <w:separator/>
      </w:r>
      <w:r>
        <w:rPr>
          <w:szCs w:val="21"/>
        </w:rPr>
        <w:t xml:space="preserve"> </w:t>
      </w:r>
    </w:p>
  </w:footnote>
  <w:footnote w:type="continuationSeparator" w:id="0">
    <w:p w14:paraId="23E7A45D" w14:textId="77777777" w:rsidR="00E63BBE" w:rsidRDefault="00E63BB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C2BC" w14:textId="77777777" w:rsidR="0052708D" w:rsidRDefault="0052708D">
    <w:pPr>
      <w:pStyle w:val="a8"/>
      <w:jc w:val="right"/>
    </w:pPr>
    <w:r>
      <w:rPr>
        <w:rFonts w:ascii="宋体" w:hAnsi="宋体" w:hint="eastAsia"/>
      </w:rPr>
      <w:t>摩根纯债丰利债券型证券投资基金2026年第1季度报告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98271379">
    <w:abstractNumId w:val="0"/>
  </w:num>
  <w:num w:numId="2" w16cid:durableId="1159225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14"/>
    <w:rsid w:val="001C36B9"/>
    <w:rsid w:val="002B0325"/>
    <w:rsid w:val="004B168F"/>
    <w:rsid w:val="0052708D"/>
    <w:rsid w:val="005E3314"/>
    <w:rsid w:val="007B304B"/>
    <w:rsid w:val="008255DD"/>
    <w:rsid w:val="008D4350"/>
    <w:rsid w:val="00B84B2B"/>
    <w:rsid w:val="00E6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68D4F3D"/>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B84B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526">
      <w:marLeft w:val="0"/>
      <w:marRight w:val="0"/>
      <w:marTop w:val="0"/>
      <w:marBottom w:val="0"/>
      <w:divBdr>
        <w:top w:val="none" w:sz="0" w:space="0" w:color="auto"/>
        <w:left w:val="none" w:sz="0" w:space="0" w:color="auto"/>
        <w:bottom w:val="none" w:sz="0" w:space="0" w:color="auto"/>
        <w:right w:val="none" w:sz="0" w:space="0" w:color="auto"/>
      </w:divBdr>
      <w:divsChild>
        <w:div w:id="441268510">
          <w:marLeft w:val="0"/>
          <w:marRight w:val="0"/>
          <w:marTop w:val="0"/>
          <w:marBottom w:val="0"/>
          <w:divBdr>
            <w:top w:val="none" w:sz="0" w:space="0" w:color="auto"/>
            <w:left w:val="none" w:sz="0" w:space="0" w:color="auto"/>
            <w:bottom w:val="none" w:sz="0" w:space="0" w:color="auto"/>
            <w:right w:val="none" w:sz="0" w:space="0" w:color="auto"/>
          </w:divBdr>
        </w:div>
        <w:div w:id="487594870">
          <w:marLeft w:val="0"/>
          <w:marRight w:val="0"/>
          <w:marTop w:val="0"/>
          <w:marBottom w:val="0"/>
          <w:divBdr>
            <w:top w:val="none" w:sz="0" w:space="0" w:color="auto"/>
            <w:left w:val="none" w:sz="0" w:space="0" w:color="auto"/>
            <w:bottom w:val="none" w:sz="0" w:space="0" w:color="auto"/>
            <w:right w:val="none" w:sz="0" w:space="0" w:color="auto"/>
          </w:divBdr>
        </w:div>
        <w:div w:id="467863809">
          <w:marLeft w:val="0"/>
          <w:marRight w:val="0"/>
          <w:marTop w:val="0"/>
          <w:marBottom w:val="0"/>
          <w:divBdr>
            <w:top w:val="none" w:sz="0" w:space="0" w:color="auto"/>
            <w:left w:val="none" w:sz="0" w:space="0" w:color="auto"/>
            <w:bottom w:val="none" w:sz="0" w:space="0" w:color="auto"/>
            <w:right w:val="none" w:sz="0" w:space="0" w:color="auto"/>
          </w:divBdr>
        </w:div>
      </w:divsChild>
    </w:div>
    <w:div w:id="150215929">
      <w:marLeft w:val="0"/>
      <w:marRight w:val="0"/>
      <w:marTop w:val="0"/>
      <w:marBottom w:val="0"/>
      <w:divBdr>
        <w:top w:val="none" w:sz="0" w:space="0" w:color="auto"/>
        <w:left w:val="none" w:sz="0" w:space="0" w:color="auto"/>
        <w:bottom w:val="none" w:sz="0" w:space="0" w:color="auto"/>
        <w:right w:val="none" w:sz="0" w:space="0" w:color="auto"/>
      </w:divBdr>
      <w:divsChild>
        <w:div w:id="118452976">
          <w:marLeft w:val="0"/>
          <w:marRight w:val="0"/>
          <w:marTop w:val="0"/>
          <w:marBottom w:val="0"/>
          <w:divBdr>
            <w:top w:val="none" w:sz="0" w:space="0" w:color="auto"/>
            <w:left w:val="none" w:sz="0" w:space="0" w:color="auto"/>
            <w:bottom w:val="none" w:sz="0" w:space="0" w:color="auto"/>
            <w:right w:val="none" w:sz="0" w:space="0" w:color="auto"/>
          </w:divBdr>
        </w:div>
      </w:divsChild>
    </w:div>
    <w:div w:id="156121002">
      <w:marLeft w:val="0"/>
      <w:marRight w:val="0"/>
      <w:marTop w:val="0"/>
      <w:marBottom w:val="0"/>
      <w:divBdr>
        <w:top w:val="none" w:sz="0" w:space="0" w:color="auto"/>
        <w:left w:val="none" w:sz="0" w:space="0" w:color="auto"/>
        <w:bottom w:val="none" w:sz="0" w:space="0" w:color="auto"/>
        <w:right w:val="none" w:sz="0" w:space="0" w:color="auto"/>
      </w:divBdr>
    </w:div>
    <w:div w:id="358556654">
      <w:marLeft w:val="0"/>
      <w:marRight w:val="0"/>
      <w:marTop w:val="0"/>
      <w:marBottom w:val="0"/>
      <w:divBdr>
        <w:top w:val="none" w:sz="0" w:space="0" w:color="auto"/>
        <w:left w:val="none" w:sz="0" w:space="0" w:color="auto"/>
        <w:bottom w:val="none" w:sz="0" w:space="0" w:color="auto"/>
        <w:right w:val="none" w:sz="0" w:space="0" w:color="auto"/>
      </w:divBdr>
    </w:div>
    <w:div w:id="460928369">
      <w:marLeft w:val="0"/>
      <w:marRight w:val="0"/>
      <w:marTop w:val="0"/>
      <w:marBottom w:val="0"/>
      <w:divBdr>
        <w:top w:val="none" w:sz="0" w:space="0" w:color="auto"/>
        <w:left w:val="none" w:sz="0" w:space="0" w:color="auto"/>
        <w:bottom w:val="none" w:sz="0" w:space="0" w:color="auto"/>
        <w:right w:val="none" w:sz="0" w:space="0" w:color="auto"/>
      </w:divBdr>
    </w:div>
    <w:div w:id="569123480">
      <w:marLeft w:val="0"/>
      <w:marRight w:val="0"/>
      <w:marTop w:val="0"/>
      <w:marBottom w:val="0"/>
      <w:divBdr>
        <w:top w:val="none" w:sz="0" w:space="0" w:color="auto"/>
        <w:left w:val="none" w:sz="0" w:space="0" w:color="auto"/>
        <w:bottom w:val="none" w:sz="0" w:space="0" w:color="auto"/>
        <w:right w:val="none" w:sz="0" w:space="0" w:color="auto"/>
      </w:divBdr>
      <w:divsChild>
        <w:div w:id="1710491960">
          <w:marLeft w:val="0"/>
          <w:marRight w:val="0"/>
          <w:marTop w:val="0"/>
          <w:marBottom w:val="0"/>
          <w:divBdr>
            <w:top w:val="none" w:sz="0" w:space="0" w:color="auto"/>
            <w:left w:val="none" w:sz="0" w:space="0" w:color="auto"/>
            <w:bottom w:val="none" w:sz="0" w:space="0" w:color="auto"/>
            <w:right w:val="none" w:sz="0" w:space="0" w:color="auto"/>
          </w:divBdr>
        </w:div>
      </w:divsChild>
    </w:div>
    <w:div w:id="613559242">
      <w:marLeft w:val="0"/>
      <w:marRight w:val="0"/>
      <w:marTop w:val="0"/>
      <w:marBottom w:val="0"/>
      <w:divBdr>
        <w:top w:val="none" w:sz="0" w:space="0" w:color="auto"/>
        <w:left w:val="none" w:sz="0" w:space="0" w:color="auto"/>
        <w:bottom w:val="none" w:sz="0" w:space="0" w:color="auto"/>
        <w:right w:val="none" w:sz="0" w:space="0" w:color="auto"/>
      </w:divBdr>
    </w:div>
    <w:div w:id="636104550">
      <w:marLeft w:val="0"/>
      <w:marRight w:val="0"/>
      <w:marTop w:val="0"/>
      <w:marBottom w:val="0"/>
      <w:divBdr>
        <w:top w:val="none" w:sz="0" w:space="0" w:color="auto"/>
        <w:left w:val="none" w:sz="0" w:space="0" w:color="auto"/>
        <w:bottom w:val="none" w:sz="0" w:space="0" w:color="auto"/>
        <w:right w:val="none" w:sz="0" w:space="0" w:color="auto"/>
      </w:divBdr>
    </w:div>
    <w:div w:id="988630174">
      <w:marLeft w:val="0"/>
      <w:marRight w:val="0"/>
      <w:marTop w:val="0"/>
      <w:marBottom w:val="0"/>
      <w:divBdr>
        <w:top w:val="none" w:sz="0" w:space="0" w:color="auto"/>
        <w:left w:val="none" w:sz="0" w:space="0" w:color="auto"/>
        <w:bottom w:val="none" w:sz="0" w:space="0" w:color="auto"/>
        <w:right w:val="none" w:sz="0" w:space="0" w:color="auto"/>
      </w:divBdr>
    </w:div>
    <w:div w:id="1175606451">
      <w:marLeft w:val="0"/>
      <w:marRight w:val="0"/>
      <w:marTop w:val="0"/>
      <w:marBottom w:val="0"/>
      <w:divBdr>
        <w:top w:val="none" w:sz="0" w:space="0" w:color="auto"/>
        <w:left w:val="none" w:sz="0" w:space="0" w:color="auto"/>
        <w:bottom w:val="none" w:sz="0" w:space="0" w:color="auto"/>
        <w:right w:val="none" w:sz="0" w:space="0" w:color="auto"/>
      </w:divBdr>
    </w:div>
    <w:div w:id="1187140709">
      <w:marLeft w:val="0"/>
      <w:marRight w:val="0"/>
      <w:marTop w:val="0"/>
      <w:marBottom w:val="0"/>
      <w:divBdr>
        <w:top w:val="none" w:sz="0" w:space="0" w:color="auto"/>
        <w:left w:val="none" w:sz="0" w:space="0" w:color="auto"/>
        <w:bottom w:val="none" w:sz="0" w:space="0" w:color="auto"/>
        <w:right w:val="none" w:sz="0" w:space="0" w:color="auto"/>
      </w:divBdr>
    </w:div>
    <w:div w:id="1212839427">
      <w:marLeft w:val="0"/>
      <w:marRight w:val="0"/>
      <w:marTop w:val="0"/>
      <w:marBottom w:val="0"/>
      <w:divBdr>
        <w:top w:val="none" w:sz="0" w:space="0" w:color="auto"/>
        <w:left w:val="none" w:sz="0" w:space="0" w:color="auto"/>
        <w:bottom w:val="none" w:sz="0" w:space="0" w:color="auto"/>
        <w:right w:val="none" w:sz="0" w:space="0" w:color="auto"/>
      </w:divBdr>
    </w:div>
    <w:div w:id="1449737487">
      <w:marLeft w:val="0"/>
      <w:marRight w:val="0"/>
      <w:marTop w:val="0"/>
      <w:marBottom w:val="0"/>
      <w:divBdr>
        <w:top w:val="none" w:sz="0" w:space="0" w:color="auto"/>
        <w:left w:val="none" w:sz="0" w:space="0" w:color="auto"/>
        <w:bottom w:val="none" w:sz="0" w:space="0" w:color="auto"/>
        <w:right w:val="none" w:sz="0" w:space="0" w:color="auto"/>
      </w:divBdr>
      <w:divsChild>
        <w:div w:id="558788511">
          <w:marLeft w:val="0"/>
          <w:marRight w:val="0"/>
          <w:marTop w:val="0"/>
          <w:marBottom w:val="0"/>
          <w:divBdr>
            <w:top w:val="none" w:sz="0" w:space="0" w:color="auto"/>
            <w:left w:val="none" w:sz="0" w:space="0" w:color="auto"/>
            <w:bottom w:val="none" w:sz="0" w:space="0" w:color="auto"/>
            <w:right w:val="none" w:sz="0" w:space="0" w:color="auto"/>
          </w:divBdr>
        </w:div>
      </w:divsChild>
    </w:div>
    <w:div w:id="1590460407">
      <w:marLeft w:val="0"/>
      <w:marRight w:val="0"/>
      <w:marTop w:val="0"/>
      <w:marBottom w:val="0"/>
      <w:divBdr>
        <w:top w:val="none" w:sz="0" w:space="0" w:color="auto"/>
        <w:left w:val="none" w:sz="0" w:space="0" w:color="auto"/>
        <w:bottom w:val="none" w:sz="0" w:space="0" w:color="auto"/>
        <w:right w:val="none" w:sz="0" w:space="0" w:color="auto"/>
      </w:divBdr>
    </w:div>
    <w:div w:id="1592080017">
      <w:marLeft w:val="0"/>
      <w:marRight w:val="0"/>
      <w:marTop w:val="0"/>
      <w:marBottom w:val="0"/>
      <w:divBdr>
        <w:top w:val="none" w:sz="0" w:space="0" w:color="auto"/>
        <w:left w:val="none" w:sz="0" w:space="0" w:color="auto"/>
        <w:bottom w:val="none" w:sz="0" w:space="0" w:color="auto"/>
        <w:right w:val="none" w:sz="0" w:space="0" w:color="auto"/>
      </w:divBdr>
    </w:div>
    <w:div w:id="1607999004">
      <w:marLeft w:val="0"/>
      <w:marRight w:val="0"/>
      <w:marTop w:val="0"/>
      <w:marBottom w:val="0"/>
      <w:divBdr>
        <w:top w:val="none" w:sz="0" w:space="0" w:color="auto"/>
        <w:left w:val="none" w:sz="0" w:space="0" w:color="auto"/>
        <w:bottom w:val="none" w:sz="0" w:space="0" w:color="auto"/>
        <w:right w:val="none" w:sz="0" w:space="0" w:color="auto"/>
      </w:divBdr>
      <w:divsChild>
        <w:div w:id="1073817161">
          <w:marLeft w:val="0"/>
          <w:marRight w:val="0"/>
          <w:marTop w:val="0"/>
          <w:marBottom w:val="0"/>
          <w:divBdr>
            <w:top w:val="none" w:sz="0" w:space="0" w:color="auto"/>
            <w:left w:val="none" w:sz="0" w:space="0" w:color="auto"/>
            <w:bottom w:val="none" w:sz="0" w:space="0" w:color="auto"/>
            <w:right w:val="none" w:sz="0" w:space="0" w:color="auto"/>
          </w:divBdr>
        </w:div>
      </w:divsChild>
    </w:div>
    <w:div w:id="1645771105">
      <w:marLeft w:val="0"/>
      <w:marRight w:val="0"/>
      <w:marTop w:val="0"/>
      <w:marBottom w:val="0"/>
      <w:divBdr>
        <w:top w:val="none" w:sz="0" w:space="0" w:color="auto"/>
        <w:left w:val="none" w:sz="0" w:space="0" w:color="auto"/>
        <w:bottom w:val="none" w:sz="0" w:space="0" w:color="auto"/>
        <w:right w:val="none" w:sz="0" w:space="0" w:color="auto"/>
      </w:divBdr>
      <w:divsChild>
        <w:div w:id="1986424348">
          <w:marLeft w:val="0"/>
          <w:marRight w:val="0"/>
          <w:marTop w:val="0"/>
          <w:marBottom w:val="0"/>
          <w:divBdr>
            <w:top w:val="none" w:sz="0" w:space="0" w:color="auto"/>
            <w:left w:val="none" w:sz="0" w:space="0" w:color="auto"/>
            <w:bottom w:val="none" w:sz="0" w:space="0" w:color="auto"/>
            <w:right w:val="none" w:sz="0" w:space="0" w:color="auto"/>
          </w:divBdr>
        </w:div>
      </w:divsChild>
    </w:div>
    <w:div w:id="1648196812">
      <w:marLeft w:val="0"/>
      <w:marRight w:val="0"/>
      <w:marTop w:val="0"/>
      <w:marBottom w:val="0"/>
      <w:divBdr>
        <w:top w:val="none" w:sz="0" w:space="0" w:color="auto"/>
        <w:left w:val="none" w:sz="0" w:space="0" w:color="auto"/>
        <w:bottom w:val="none" w:sz="0" w:space="0" w:color="auto"/>
        <w:right w:val="none" w:sz="0" w:space="0" w:color="auto"/>
      </w:divBdr>
    </w:div>
    <w:div w:id="1715109419">
      <w:marLeft w:val="0"/>
      <w:marRight w:val="0"/>
      <w:marTop w:val="0"/>
      <w:marBottom w:val="0"/>
      <w:divBdr>
        <w:top w:val="none" w:sz="0" w:space="0" w:color="auto"/>
        <w:left w:val="none" w:sz="0" w:space="0" w:color="auto"/>
        <w:bottom w:val="none" w:sz="0" w:space="0" w:color="auto"/>
        <w:right w:val="none" w:sz="0" w:space="0" w:color="auto"/>
      </w:divBdr>
    </w:div>
    <w:div w:id="1864630711">
      <w:marLeft w:val="0"/>
      <w:marRight w:val="0"/>
      <w:marTop w:val="0"/>
      <w:marBottom w:val="0"/>
      <w:divBdr>
        <w:top w:val="none" w:sz="0" w:space="0" w:color="auto"/>
        <w:left w:val="none" w:sz="0" w:space="0" w:color="auto"/>
        <w:bottom w:val="none" w:sz="0" w:space="0" w:color="auto"/>
        <w:right w:val="none" w:sz="0" w:space="0" w:color="auto"/>
      </w:divBdr>
    </w:div>
    <w:div w:id="1897935680">
      <w:marLeft w:val="0"/>
      <w:marRight w:val="0"/>
      <w:marTop w:val="0"/>
      <w:marBottom w:val="0"/>
      <w:divBdr>
        <w:top w:val="none" w:sz="0" w:space="0" w:color="auto"/>
        <w:left w:val="none" w:sz="0" w:space="0" w:color="auto"/>
        <w:bottom w:val="none" w:sz="0" w:space="0" w:color="auto"/>
        <w:right w:val="none" w:sz="0" w:space="0" w:color="auto"/>
      </w:divBdr>
    </w:div>
    <w:div w:id="200411900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4</cp:revision>
  <dcterms:created xsi:type="dcterms:W3CDTF">2026-04-14T09:57:00Z</dcterms:created>
  <dcterms:modified xsi:type="dcterms:W3CDTF">2026-04-21T07:30:00Z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