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摩根天添盈货币市场基金</w:t>
      </w: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2023年第3季度报告</w:t>
      </w:r>
    </w:p>
    <w:p w:rsidR="00DA315C" w:rsidRPr="004F02D6" w:rsidRDefault="00CC2E83">
      <w:pPr>
        <w:spacing w:line="360" w:lineRule="auto"/>
        <w:jc w:val="center"/>
        <w:rPr>
          <w:rFonts w:asciiTheme="minorEastAsia" w:eastAsiaTheme="minorEastAsia" w:hAnsiTheme="minorEastAsia"/>
          <w:b/>
          <w:color w:val="000000" w:themeColor="text1"/>
          <w:sz w:val="36"/>
          <w:szCs w:val="36"/>
        </w:rPr>
      </w:pPr>
      <w:r w:rsidRPr="004F02D6">
        <w:rPr>
          <w:rFonts w:asciiTheme="minorEastAsia" w:eastAsiaTheme="minorEastAsia" w:hAnsiTheme="minorEastAsia"/>
          <w:b/>
          <w:color w:val="000000" w:themeColor="text1"/>
          <w:sz w:val="36"/>
          <w:szCs w:val="36"/>
        </w:rPr>
        <w:t>2023年9月30日</w:t>
      </w: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rPr>
          <w:rFonts w:asciiTheme="minorEastAsia" w:eastAsiaTheme="minorEastAsia" w:hAnsiTheme="minorEastAsia"/>
          <w:b/>
          <w:color w:val="000000" w:themeColor="text1"/>
          <w:sz w:val="24"/>
        </w:rPr>
      </w:pP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摩根基金管理（中国）有限公司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中信银行股份有限公司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sectPr w:rsidR="00DA315C">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报告送出日期：</w:t>
      </w:r>
      <w:r>
        <w:rPr>
          <w:rFonts w:asciiTheme="minorEastAsia" w:eastAsiaTheme="minorEastAsia" w:hAnsiTheme="minorEastAsia"/>
          <w:b/>
          <w:color w:val="000000" w:themeColor="text1"/>
          <w:sz w:val="24"/>
        </w:rPr>
        <w:t>二〇二三年十月二十五日</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BF5608" w:rsidRDefault="0015180F">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BF5608" w:rsidRDefault="0015180F">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基金托管人中信银行股份有限公司根据本基金合同规定，于2023年10月24日复核了本报告中的财务指标、净值表现和投资组合报告等内容，保证复核内容不存在虚假记载、误导性陈述或者重大遗漏。 </w:t>
      </w:r>
    </w:p>
    <w:p w:rsidR="00BF5608" w:rsidRDefault="0015180F">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BF5608" w:rsidRDefault="0015180F">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BF5608" w:rsidRDefault="0015180F">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DA315C" w:rsidRDefault="00CC2E8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本报告期自2023年7月1日起至9月30日止。</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Style w:val="af2"/>
        <w:tblW w:w="5000" w:type="pct"/>
        <w:tblLayout w:type="fixed"/>
        <w:tblLook w:val="04A0" w:firstRow="1" w:lastRow="0" w:firstColumn="1" w:lastColumn="0" w:noHBand="0" w:noVBand="1"/>
      </w:tblPr>
      <w:tblGrid>
        <w:gridCol w:w="2658"/>
        <w:gridCol w:w="1561"/>
        <w:gridCol w:w="1559"/>
        <w:gridCol w:w="1838"/>
        <w:gridCol w:w="1686"/>
      </w:tblGrid>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摩根天添盈货币</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000855</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契约型开放式</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2014年11月25日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8,481,353,070.07</w:t>
            </w:r>
            <w:r>
              <w:rPr>
                <w:rFonts w:asciiTheme="minorEastAsia" w:eastAsiaTheme="minorEastAsia" w:hAnsiTheme="minorEastAsia" w:hint="eastAsia"/>
                <w:color w:val="000000" w:themeColor="text1"/>
                <w:kern w:val="0"/>
                <w:sz w:val="24"/>
              </w:rPr>
              <w:t>份</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3571" w:type="pct"/>
            <w:gridSpan w:val="4"/>
          </w:tcPr>
          <w:p w:rsidR="00BF5608" w:rsidRDefault="0015180F">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w:t>
            </w:r>
            <w:r>
              <w:rPr>
                <w:rFonts w:asciiTheme="minorEastAsia" w:eastAsiaTheme="minorEastAsia" w:hAnsiTheme="minorEastAsia"/>
                <w:color w:val="000000" w:themeColor="text1"/>
                <w:kern w:val="0"/>
                <w:sz w:val="24"/>
              </w:rPr>
              <w:lastRenderedPageBreak/>
              <w:t>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其他投资策略：包括收益率曲线策略、流动性管理策略、息差策略、套利策略。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同期七天通知存款利率（税后）</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风险收益特征</w:t>
            </w:r>
          </w:p>
        </w:tc>
        <w:tc>
          <w:tcPr>
            <w:tcW w:w="3571" w:type="pct"/>
            <w:gridSpan w:val="4"/>
          </w:tcPr>
          <w:p w:rsidR="00BF5608" w:rsidRDefault="0015180F">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摩根基金管理（中国）有限公司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中信银行股份有限公司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下属四级基金的基金简</w:t>
            </w:r>
            <w:r>
              <w:rPr>
                <w:rFonts w:asciiTheme="minorEastAsia" w:eastAsiaTheme="minorEastAsia" w:hAnsiTheme="minorEastAsia" w:hint="eastAsia"/>
                <w:color w:val="000000" w:themeColor="text1"/>
                <w:sz w:val="24"/>
              </w:rPr>
              <w:lastRenderedPageBreak/>
              <w:t>称</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lastRenderedPageBreak/>
              <w:t>摩根天添盈</w:t>
            </w:r>
            <w:r>
              <w:rPr>
                <w:rFonts w:asciiTheme="minorEastAsia" w:eastAsiaTheme="minorEastAsia" w:hAnsiTheme="minorEastAsia"/>
                <w:color w:val="000000" w:themeColor="text1"/>
                <w:sz w:val="24"/>
              </w:rPr>
              <w:lastRenderedPageBreak/>
              <w:t>货币A类</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w:t>
            </w:r>
            <w:r>
              <w:rPr>
                <w:rFonts w:asciiTheme="minorEastAsia" w:eastAsiaTheme="minorEastAsia" w:hAnsiTheme="minorEastAsia" w:hint="eastAsia"/>
                <w:color w:val="000000" w:themeColor="text1"/>
                <w:sz w:val="24"/>
              </w:rPr>
              <w:lastRenderedPageBreak/>
              <w:t>货币B类</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币E类</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币C类</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下属四级基金的交易代码</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000855</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000856</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000857</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017010</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报告期末下属四级基金的份额总额</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5,258,527,924.13</w:t>
            </w:r>
            <w:r>
              <w:rPr>
                <w:rFonts w:asciiTheme="minorEastAsia" w:eastAsiaTheme="minorEastAsia" w:hAnsiTheme="minorEastAsia" w:hint="eastAsia"/>
                <w:color w:val="000000" w:themeColor="text1"/>
                <w:sz w:val="24"/>
              </w:rPr>
              <w:t>份</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r w:rsidR="00CC2E83">
              <w:rPr>
                <w:rFonts w:asciiTheme="minorEastAsia" w:eastAsiaTheme="minorEastAsia" w:hAnsiTheme="minorEastAsia" w:hint="eastAsia"/>
                <w:color w:val="000000" w:themeColor="text1"/>
                <w:sz w:val="24"/>
              </w:rPr>
              <w:t>份</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3,222,641,947.25</w:t>
            </w:r>
            <w:r w:rsidR="00CC2E83">
              <w:rPr>
                <w:rFonts w:asciiTheme="minorEastAsia" w:eastAsiaTheme="minorEastAsia" w:hAnsiTheme="minorEastAsia" w:hint="eastAsia"/>
                <w:color w:val="000000" w:themeColor="text1"/>
                <w:sz w:val="24"/>
              </w:rPr>
              <w:t>份</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183,198.69</w:t>
            </w:r>
            <w:r w:rsidR="00CC2E83">
              <w:rPr>
                <w:rFonts w:asciiTheme="minorEastAsia" w:eastAsiaTheme="minorEastAsia" w:hAnsiTheme="minorEastAsia" w:hint="eastAsia"/>
                <w:color w:val="000000" w:themeColor="text1"/>
                <w:sz w:val="24"/>
              </w:rPr>
              <w:t>份</w:t>
            </w:r>
          </w:p>
        </w:tc>
      </w:tr>
    </w:tbl>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3  </w:t>
      </w:r>
      <w:r>
        <w:rPr>
          <w:rFonts w:asciiTheme="minorEastAsia" w:eastAsiaTheme="minorEastAsia" w:hAnsiTheme="minorEastAsia" w:cs="Arial" w:hint="eastAsia"/>
          <w:color w:val="000000" w:themeColor="text1"/>
          <w:kern w:val="0"/>
          <w:sz w:val="24"/>
          <w:szCs w:val="24"/>
        </w:rPr>
        <w:t>主要财务指标和基金净值表现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3.1 </w:t>
      </w:r>
      <w:r>
        <w:rPr>
          <w:rFonts w:asciiTheme="minorEastAsia" w:eastAsiaTheme="minorEastAsia" w:hAnsiTheme="minorEastAsia" w:cs="Arial" w:hint="eastAsia"/>
          <w:b/>
          <w:color w:val="000000" w:themeColor="text1"/>
          <w:kern w:val="0"/>
          <w:sz w:val="24"/>
        </w:rPr>
        <w:t>主要财务指标</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单位：人民币元</w:t>
      </w:r>
    </w:p>
    <w:tbl>
      <w:tblPr>
        <w:tblStyle w:val="af2"/>
        <w:tblW w:w="0" w:type="auto"/>
        <w:tblLayout w:type="fixed"/>
        <w:tblLook w:val="04A0" w:firstRow="1" w:lastRow="0" w:firstColumn="1" w:lastColumn="0" w:noHBand="0" w:noVBand="1"/>
      </w:tblPr>
      <w:tblGrid>
        <w:gridCol w:w="2235"/>
        <w:gridCol w:w="1701"/>
        <w:gridCol w:w="1701"/>
        <w:gridCol w:w="1804"/>
        <w:gridCol w:w="1861"/>
      </w:tblGrid>
      <w:tr w:rsidR="00DA315C" w:rsidTr="000E6158">
        <w:tc>
          <w:tcPr>
            <w:tcW w:w="2235" w:type="dxa"/>
            <w:vMerge w:val="restart"/>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主要财务指标</w:t>
            </w:r>
          </w:p>
        </w:tc>
        <w:tc>
          <w:tcPr>
            <w:tcW w:w="7067" w:type="dxa"/>
            <w:gridSpan w:val="4"/>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报告期(</w:t>
            </w:r>
            <w:r>
              <w:rPr>
                <w:rFonts w:asciiTheme="minorEastAsia" w:eastAsiaTheme="minorEastAsia" w:hAnsiTheme="minorEastAsia" w:cs="宋体"/>
                <w:color w:val="000000" w:themeColor="text1"/>
                <w:sz w:val="24"/>
              </w:rPr>
              <w:t>2023年7月1日-2023年9月30日</w:t>
            </w:r>
            <w:r>
              <w:rPr>
                <w:rFonts w:asciiTheme="minorEastAsia" w:eastAsiaTheme="minorEastAsia" w:hAnsiTheme="minorEastAsia" w:cs="宋体" w:hint="eastAsia"/>
                <w:color w:val="000000" w:themeColor="text1"/>
                <w:sz w:val="24"/>
              </w:rPr>
              <w:t>)</w:t>
            </w:r>
          </w:p>
        </w:tc>
      </w:tr>
      <w:tr w:rsidR="00DA315C" w:rsidTr="00CB2E1E">
        <w:tc>
          <w:tcPr>
            <w:tcW w:w="2235" w:type="dxa"/>
            <w:vMerge/>
          </w:tcPr>
          <w:p w:rsidR="00DA315C" w:rsidRDefault="00DA315C">
            <w:pPr>
              <w:autoSpaceDE w:val="0"/>
              <w:autoSpaceDN w:val="0"/>
              <w:spacing w:line="360" w:lineRule="auto"/>
              <w:rPr>
                <w:rFonts w:asciiTheme="minorEastAsia" w:eastAsiaTheme="minorEastAsia" w:hAnsiTheme="minorEastAsia"/>
                <w:color w:val="000000" w:themeColor="text1"/>
                <w:sz w:val="24"/>
              </w:rPr>
            </w:pPr>
          </w:p>
        </w:tc>
        <w:tc>
          <w:tcPr>
            <w:tcW w:w="1701" w:type="dxa"/>
            <w:vAlign w:val="center"/>
          </w:tcPr>
          <w:p w:rsidR="00DA315C" w:rsidRDefault="00CC2E83">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摩根天添盈货币A类</w:t>
            </w:r>
          </w:p>
        </w:tc>
        <w:tc>
          <w:tcPr>
            <w:tcW w:w="170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摩根天添盈货币B类</w:t>
            </w:r>
          </w:p>
        </w:tc>
        <w:tc>
          <w:tcPr>
            <w:tcW w:w="1804"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摩根天添盈货币E类</w:t>
            </w:r>
          </w:p>
        </w:tc>
        <w:tc>
          <w:tcPr>
            <w:tcW w:w="186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1.</w:t>
            </w:r>
            <w:r>
              <w:rPr>
                <w:rFonts w:asciiTheme="minorEastAsia" w:eastAsiaTheme="minorEastAsia" w:hAnsiTheme="minorEastAsia" w:cs="宋体" w:hint="eastAsia"/>
                <w:color w:val="000000" w:themeColor="text1"/>
                <w:kern w:val="0"/>
                <w:sz w:val="24"/>
              </w:rPr>
              <w:t>本期已实现收益</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23,043,014.59</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17,369,775.75</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947.62</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2.</w:t>
            </w:r>
            <w:r>
              <w:rPr>
                <w:rFonts w:asciiTheme="minorEastAsia" w:eastAsiaTheme="minorEastAsia" w:hAnsiTheme="minorEastAsia" w:cs="宋体" w:hint="eastAsia"/>
                <w:color w:val="000000" w:themeColor="text1"/>
                <w:kern w:val="0"/>
                <w:sz w:val="24"/>
              </w:rPr>
              <w:t>本期利润</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23,043,014.59</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17,369,775.75</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947.62</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hint="eastAsia"/>
                <w:color w:val="000000" w:themeColor="text1"/>
                <w:kern w:val="0"/>
                <w:sz w:val="24"/>
              </w:rPr>
              <w:t>3</w:t>
            </w:r>
            <w:r>
              <w:rPr>
                <w:rFonts w:asciiTheme="minorEastAsia" w:eastAsiaTheme="minorEastAsia" w:hAnsiTheme="minorEastAsia" w:cs="方正仿宋简体"/>
                <w:color w:val="000000" w:themeColor="text1"/>
                <w:kern w:val="0"/>
                <w:sz w:val="24"/>
              </w:rPr>
              <w:t>.</w:t>
            </w:r>
            <w:r>
              <w:rPr>
                <w:rFonts w:asciiTheme="minorEastAsia" w:eastAsiaTheme="minorEastAsia" w:hAnsiTheme="minorEastAsia" w:cs="宋体" w:hint="eastAsia"/>
                <w:color w:val="000000" w:themeColor="text1"/>
                <w:kern w:val="0"/>
                <w:sz w:val="24"/>
              </w:rPr>
              <w:t>期末基金资产净值</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5,258,527,924.13</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3,222,641,947.25</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183,198.69</w:t>
            </w:r>
          </w:p>
        </w:tc>
      </w:tr>
    </w:tbl>
    <w:p w:rsidR="00BF5608" w:rsidRDefault="0015180F">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 </w:t>
      </w:r>
      <w:r>
        <w:rPr>
          <w:rFonts w:asciiTheme="minorEastAsia" w:eastAsiaTheme="minorEastAsia" w:hAnsiTheme="minorEastAsia" w:cs="Arial" w:hint="eastAsia"/>
          <w:b/>
          <w:color w:val="000000" w:themeColor="text1"/>
          <w:kern w:val="0"/>
          <w:sz w:val="24"/>
        </w:rPr>
        <w:t>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3.2.1 </w:t>
      </w:r>
      <w:r>
        <w:rPr>
          <w:rFonts w:asciiTheme="minorEastAsia" w:eastAsiaTheme="minorEastAsia" w:hAnsiTheme="minorEastAsia" w:cs="Arial" w:hint="eastAsia"/>
          <w:b/>
          <w:color w:val="000000" w:themeColor="text1"/>
          <w:kern w:val="0"/>
          <w:sz w:val="24"/>
        </w:rPr>
        <w:t>基金份额净值收益率及其与同期业绩比较基准收益率的比较</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lastRenderedPageBreak/>
        <w:t>1、摩根天添盈货币A类:</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过去三个月</w:t>
            </w:r>
          </w:p>
        </w:tc>
        <w:tc>
          <w:tcPr>
            <w:tcW w:w="1329" w:type="dxa"/>
            <w:vAlign w:val="center"/>
          </w:tcPr>
          <w:p w:rsidR="00BF5608" w:rsidRDefault="0015180F">
            <w:pPr>
              <w:jc w:val="center"/>
            </w:pPr>
            <w:r>
              <w:rPr>
                <w:rFonts w:asciiTheme="minorEastAsia" w:eastAsiaTheme="minorEastAsia" w:hAnsiTheme="minorEastAsia"/>
                <w:color w:val="000000" w:themeColor="text1"/>
              </w:rPr>
              <w:t>0.4349%</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c>
          <w:tcPr>
            <w:tcW w:w="1329" w:type="dxa"/>
            <w:vAlign w:val="center"/>
          </w:tcPr>
          <w:p w:rsidR="00BF5608" w:rsidRDefault="0015180F">
            <w:pPr>
              <w:jc w:val="center"/>
            </w:pPr>
            <w:r>
              <w:rPr>
                <w:rFonts w:asciiTheme="minorEastAsia" w:eastAsiaTheme="minorEastAsia" w:hAnsiTheme="minorEastAsia"/>
                <w:color w:val="000000" w:themeColor="text1"/>
              </w:rPr>
              <w:t>0.3403%</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0.0946%</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过去六个月</w:t>
            </w:r>
          </w:p>
        </w:tc>
        <w:tc>
          <w:tcPr>
            <w:tcW w:w="1329" w:type="dxa"/>
            <w:vAlign w:val="center"/>
          </w:tcPr>
          <w:p w:rsidR="00BF5608" w:rsidRDefault="0015180F">
            <w:pPr>
              <w:jc w:val="center"/>
            </w:pPr>
            <w:r>
              <w:rPr>
                <w:rFonts w:asciiTheme="minorEastAsia" w:eastAsiaTheme="minorEastAsia" w:hAnsiTheme="minorEastAsia"/>
                <w:color w:val="000000" w:themeColor="text1"/>
              </w:rPr>
              <w:t>0.8757%</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c>
          <w:tcPr>
            <w:tcW w:w="1329" w:type="dxa"/>
            <w:vAlign w:val="center"/>
          </w:tcPr>
          <w:p w:rsidR="00BF5608" w:rsidRDefault="0015180F">
            <w:pPr>
              <w:jc w:val="center"/>
            </w:pPr>
            <w:r>
              <w:rPr>
                <w:rFonts w:asciiTheme="minorEastAsia" w:eastAsiaTheme="minorEastAsia" w:hAnsiTheme="minorEastAsia"/>
                <w:color w:val="000000" w:themeColor="text1"/>
              </w:rPr>
              <w:t>0.6768%</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0.1989%</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过去一年</w:t>
            </w:r>
          </w:p>
        </w:tc>
        <w:tc>
          <w:tcPr>
            <w:tcW w:w="1329" w:type="dxa"/>
            <w:vAlign w:val="center"/>
          </w:tcPr>
          <w:p w:rsidR="00BF5608" w:rsidRDefault="0015180F">
            <w:pPr>
              <w:jc w:val="center"/>
            </w:pPr>
            <w:r>
              <w:rPr>
                <w:rFonts w:asciiTheme="minorEastAsia" w:eastAsiaTheme="minorEastAsia" w:hAnsiTheme="minorEastAsia"/>
                <w:color w:val="000000" w:themeColor="text1"/>
              </w:rPr>
              <w:t>1.6711%</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c>
          <w:tcPr>
            <w:tcW w:w="1329" w:type="dxa"/>
            <w:vAlign w:val="center"/>
          </w:tcPr>
          <w:p w:rsidR="00BF5608" w:rsidRDefault="0015180F">
            <w:pPr>
              <w:jc w:val="center"/>
            </w:pPr>
            <w:r>
              <w:rPr>
                <w:rFonts w:asciiTheme="minorEastAsia" w:eastAsiaTheme="minorEastAsia" w:hAnsiTheme="minorEastAsia"/>
                <w:color w:val="000000" w:themeColor="text1"/>
              </w:rPr>
              <w:t>1.3500%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0.3211%</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过去三年</w:t>
            </w:r>
          </w:p>
        </w:tc>
        <w:tc>
          <w:tcPr>
            <w:tcW w:w="1329" w:type="dxa"/>
            <w:vAlign w:val="center"/>
          </w:tcPr>
          <w:p w:rsidR="00BF5608" w:rsidRDefault="0015180F">
            <w:pPr>
              <w:jc w:val="center"/>
            </w:pPr>
            <w:r>
              <w:rPr>
                <w:rFonts w:asciiTheme="minorEastAsia" w:eastAsiaTheme="minorEastAsia" w:hAnsiTheme="minorEastAsia"/>
                <w:color w:val="000000" w:themeColor="text1"/>
              </w:rPr>
              <w:t>5.7830%</w:t>
            </w:r>
          </w:p>
        </w:tc>
        <w:tc>
          <w:tcPr>
            <w:tcW w:w="1329" w:type="dxa"/>
            <w:vAlign w:val="center"/>
          </w:tcPr>
          <w:p w:rsidR="00BF5608" w:rsidRDefault="0015180F">
            <w:pPr>
              <w:jc w:val="center"/>
            </w:pPr>
            <w:r>
              <w:rPr>
                <w:rFonts w:asciiTheme="minorEastAsia" w:eastAsiaTheme="minorEastAsia" w:hAnsiTheme="minorEastAsia"/>
                <w:color w:val="000000" w:themeColor="text1"/>
              </w:rPr>
              <w:t>0.0009%</w:t>
            </w:r>
          </w:p>
        </w:tc>
        <w:tc>
          <w:tcPr>
            <w:tcW w:w="1329" w:type="dxa"/>
            <w:vAlign w:val="center"/>
          </w:tcPr>
          <w:p w:rsidR="00BF5608" w:rsidRDefault="0015180F">
            <w:pPr>
              <w:jc w:val="center"/>
            </w:pPr>
            <w:r>
              <w:rPr>
                <w:rFonts w:asciiTheme="minorEastAsia" w:eastAsiaTheme="minorEastAsia" w:hAnsiTheme="minorEastAsia"/>
                <w:color w:val="000000" w:themeColor="text1"/>
              </w:rPr>
              <w:t>4.0500%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1.7330%</w:t>
            </w:r>
          </w:p>
        </w:tc>
        <w:tc>
          <w:tcPr>
            <w:tcW w:w="1329" w:type="dxa"/>
            <w:vAlign w:val="center"/>
          </w:tcPr>
          <w:p w:rsidR="00BF5608" w:rsidRDefault="0015180F">
            <w:pPr>
              <w:jc w:val="center"/>
            </w:pPr>
            <w:r>
              <w:rPr>
                <w:rFonts w:asciiTheme="minorEastAsia" w:eastAsiaTheme="minorEastAsia" w:hAnsiTheme="minorEastAsia"/>
                <w:color w:val="000000" w:themeColor="text1"/>
              </w:rPr>
              <w:t>0.0009%</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过去五年</w:t>
            </w:r>
          </w:p>
        </w:tc>
        <w:tc>
          <w:tcPr>
            <w:tcW w:w="1329" w:type="dxa"/>
            <w:vAlign w:val="center"/>
          </w:tcPr>
          <w:p w:rsidR="00BF5608" w:rsidRDefault="0015180F">
            <w:pPr>
              <w:jc w:val="center"/>
            </w:pPr>
            <w:r>
              <w:rPr>
                <w:rFonts w:asciiTheme="minorEastAsia" w:eastAsiaTheme="minorEastAsia" w:hAnsiTheme="minorEastAsia"/>
                <w:color w:val="000000" w:themeColor="text1"/>
              </w:rPr>
              <w:t>10.4814%</w:t>
            </w:r>
          </w:p>
        </w:tc>
        <w:tc>
          <w:tcPr>
            <w:tcW w:w="1329" w:type="dxa"/>
            <w:vAlign w:val="center"/>
          </w:tcPr>
          <w:p w:rsidR="00BF5608" w:rsidRDefault="0015180F">
            <w:pPr>
              <w:jc w:val="center"/>
            </w:pPr>
            <w:r>
              <w:rPr>
                <w:rFonts w:asciiTheme="minorEastAsia" w:eastAsiaTheme="minorEastAsia" w:hAnsiTheme="minorEastAsia"/>
                <w:color w:val="000000" w:themeColor="text1"/>
              </w:rPr>
              <w:t>0.0010%</w:t>
            </w:r>
          </w:p>
        </w:tc>
        <w:tc>
          <w:tcPr>
            <w:tcW w:w="1329" w:type="dxa"/>
            <w:vAlign w:val="center"/>
          </w:tcPr>
          <w:p w:rsidR="00BF5608" w:rsidRDefault="0015180F">
            <w:pPr>
              <w:jc w:val="center"/>
            </w:pPr>
            <w:r>
              <w:rPr>
                <w:rFonts w:asciiTheme="minorEastAsia" w:eastAsiaTheme="minorEastAsia" w:hAnsiTheme="minorEastAsia"/>
                <w:color w:val="000000" w:themeColor="text1"/>
              </w:rPr>
              <w:t>6.7537%</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3.7277%</w:t>
            </w:r>
          </w:p>
        </w:tc>
        <w:tc>
          <w:tcPr>
            <w:tcW w:w="1329" w:type="dxa"/>
            <w:vAlign w:val="center"/>
          </w:tcPr>
          <w:p w:rsidR="00BF5608" w:rsidRDefault="0015180F">
            <w:pPr>
              <w:jc w:val="center"/>
            </w:pPr>
            <w:r>
              <w:rPr>
                <w:rFonts w:asciiTheme="minorEastAsia" w:eastAsiaTheme="minorEastAsia" w:hAnsiTheme="minorEastAsia"/>
                <w:color w:val="000000" w:themeColor="text1"/>
              </w:rPr>
              <w:t>0.0010%</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自基金合同生效起至今</w:t>
            </w:r>
          </w:p>
        </w:tc>
        <w:tc>
          <w:tcPr>
            <w:tcW w:w="1329" w:type="dxa"/>
            <w:vAlign w:val="center"/>
          </w:tcPr>
          <w:p w:rsidR="00BF5608" w:rsidRDefault="0015180F">
            <w:pPr>
              <w:jc w:val="center"/>
            </w:pPr>
            <w:r>
              <w:rPr>
                <w:rFonts w:asciiTheme="minorEastAsia" w:eastAsiaTheme="minorEastAsia" w:hAnsiTheme="minorEastAsia"/>
                <w:color w:val="000000" w:themeColor="text1"/>
              </w:rPr>
              <w:t>23.3307%</w:t>
            </w:r>
          </w:p>
        </w:tc>
        <w:tc>
          <w:tcPr>
            <w:tcW w:w="1329" w:type="dxa"/>
            <w:vAlign w:val="center"/>
          </w:tcPr>
          <w:p w:rsidR="00BF5608" w:rsidRDefault="0015180F">
            <w:pPr>
              <w:jc w:val="center"/>
            </w:pPr>
            <w:r>
              <w:rPr>
                <w:rFonts w:asciiTheme="minorEastAsia" w:eastAsiaTheme="minorEastAsia" w:hAnsiTheme="minorEastAsia"/>
                <w:color w:val="000000" w:themeColor="text1"/>
              </w:rPr>
              <w:t>0.0023%</w:t>
            </w:r>
          </w:p>
        </w:tc>
        <w:tc>
          <w:tcPr>
            <w:tcW w:w="1329" w:type="dxa"/>
            <w:vAlign w:val="center"/>
          </w:tcPr>
          <w:p w:rsidR="00BF5608" w:rsidRDefault="0015180F">
            <w:pPr>
              <w:jc w:val="center"/>
            </w:pPr>
            <w:r>
              <w:rPr>
                <w:rFonts w:asciiTheme="minorEastAsia" w:eastAsiaTheme="minorEastAsia" w:hAnsiTheme="minorEastAsia"/>
                <w:color w:val="000000" w:themeColor="text1"/>
              </w:rPr>
              <w:t>11.9540%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11.3767%</w:t>
            </w:r>
          </w:p>
        </w:tc>
        <w:tc>
          <w:tcPr>
            <w:tcW w:w="1329" w:type="dxa"/>
            <w:vAlign w:val="center"/>
          </w:tcPr>
          <w:p w:rsidR="00BF5608" w:rsidRDefault="0015180F">
            <w:pPr>
              <w:jc w:val="center"/>
            </w:pPr>
            <w:r>
              <w:rPr>
                <w:rFonts w:asciiTheme="minorEastAsia" w:eastAsiaTheme="minorEastAsia" w:hAnsiTheme="minorEastAsia"/>
                <w:color w:val="000000" w:themeColor="text1"/>
              </w:rPr>
              <w:t>0.0023%</w:t>
            </w:r>
          </w:p>
        </w:tc>
      </w:tr>
    </w:tbl>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sidR="00050540">
        <w:rPr>
          <w:rFonts w:asciiTheme="minorEastAsia" w:eastAsiaTheme="minorEastAsia" w:hAnsiTheme="minorEastAsia" w:hint="eastAsia"/>
          <w:b/>
          <w:color w:val="000000" w:themeColor="text1"/>
        </w:rPr>
        <w:t>摩根天添盈货币B类</w:t>
      </w:r>
      <w:r>
        <w:rPr>
          <w:rFonts w:asciiTheme="minorEastAsia" w:eastAsiaTheme="minorEastAsia" w:hAnsiTheme="minorEastAsia" w:hint="eastAsia"/>
          <w:b/>
          <w:color w:val="000000" w:themeColor="text1"/>
        </w:rPr>
        <w:t>：</w:t>
      </w:r>
    </w:p>
    <w:p w:rsidR="00DA315C" w:rsidRDefault="00050540"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自2018年6月22日起，本基金B类基金份额为零且停止计算B类基金份额每万份收益。</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3、</w:t>
      </w:r>
      <w:r w:rsidR="00050540">
        <w:rPr>
          <w:rFonts w:asciiTheme="minorEastAsia" w:eastAsiaTheme="minorEastAsia" w:hAnsiTheme="minorEastAsia" w:hint="eastAsia"/>
          <w:b/>
          <w:color w:val="000000" w:themeColor="text1"/>
        </w:rPr>
        <w:t>摩根天添盈货币E类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过去三个月</w:t>
            </w:r>
          </w:p>
        </w:tc>
        <w:tc>
          <w:tcPr>
            <w:tcW w:w="1329" w:type="dxa"/>
            <w:vAlign w:val="center"/>
          </w:tcPr>
          <w:p w:rsidR="00BF5608" w:rsidRDefault="0015180F">
            <w:pPr>
              <w:jc w:val="center"/>
            </w:pPr>
            <w:r>
              <w:rPr>
                <w:rFonts w:asciiTheme="minorEastAsia" w:eastAsiaTheme="minorEastAsia" w:hAnsiTheme="minorEastAsia"/>
                <w:color w:val="000000" w:themeColor="text1"/>
              </w:rPr>
              <w:t>0.4957%</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c>
          <w:tcPr>
            <w:tcW w:w="1329" w:type="dxa"/>
            <w:vAlign w:val="center"/>
          </w:tcPr>
          <w:p w:rsidR="00BF5608" w:rsidRDefault="0015180F">
            <w:pPr>
              <w:jc w:val="center"/>
            </w:pPr>
            <w:r>
              <w:rPr>
                <w:rFonts w:asciiTheme="minorEastAsia" w:eastAsiaTheme="minorEastAsia" w:hAnsiTheme="minorEastAsia"/>
                <w:color w:val="000000" w:themeColor="text1"/>
              </w:rPr>
              <w:t>0.3403%</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0.1554%</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过去六个月</w:t>
            </w:r>
          </w:p>
        </w:tc>
        <w:tc>
          <w:tcPr>
            <w:tcW w:w="1329" w:type="dxa"/>
            <w:vAlign w:val="center"/>
          </w:tcPr>
          <w:p w:rsidR="00BF5608" w:rsidRDefault="0015180F">
            <w:pPr>
              <w:jc w:val="center"/>
            </w:pPr>
            <w:r>
              <w:rPr>
                <w:rFonts w:asciiTheme="minorEastAsia" w:eastAsiaTheme="minorEastAsia" w:hAnsiTheme="minorEastAsia"/>
                <w:color w:val="000000" w:themeColor="text1"/>
              </w:rPr>
              <w:t>0.9971%</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c>
          <w:tcPr>
            <w:tcW w:w="1329" w:type="dxa"/>
            <w:vAlign w:val="center"/>
          </w:tcPr>
          <w:p w:rsidR="00BF5608" w:rsidRDefault="0015180F">
            <w:pPr>
              <w:jc w:val="center"/>
            </w:pPr>
            <w:r>
              <w:rPr>
                <w:rFonts w:asciiTheme="minorEastAsia" w:eastAsiaTheme="minorEastAsia" w:hAnsiTheme="minorEastAsia"/>
                <w:color w:val="000000" w:themeColor="text1"/>
              </w:rPr>
              <w:t>0.6768%</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0.3203%</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过去一年</w:t>
            </w:r>
          </w:p>
        </w:tc>
        <w:tc>
          <w:tcPr>
            <w:tcW w:w="1329" w:type="dxa"/>
            <w:vAlign w:val="center"/>
          </w:tcPr>
          <w:p w:rsidR="00BF5608" w:rsidRDefault="0015180F">
            <w:pPr>
              <w:jc w:val="center"/>
            </w:pPr>
            <w:r>
              <w:rPr>
                <w:rFonts w:asciiTheme="minorEastAsia" w:eastAsiaTheme="minorEastAsia" w:hAnsiTheme="minorEastAsia"/>
                <w:color w:val="000000" w:themeColor="text1"/>
              </w:rPr>
              <w:t>1.9154%</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c>
          <w:tcPr>
            <w:tcW w:w="1329" w:type="dxa"/>
            <w:vAlign w:val="center"/>
          </w:tcPr>
          <w:p w:rsidR="00BF5608" w:rsidRDefault="0015180F">
            <w:pPr>
              <w:jc w:val="center"/>
            </w:pPr>
            <w:r>
              <w:rPr>
                <w:rFonts w:asciiTheme="minorEastAsia" w:eastAsiaTheme="minorEastAsia" w:hAnsiTheme="minorEastAsia"/>
                <w:color w:val="000000" w:themeColor="text1"/>
              </w:rPr>
              <w:t>1.3500%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0.5654%</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过去三年</w:t>
            </w:r>
          </w:p>
        </w:tc>
        <w:tc>
          <w:tcPr>
            <w:tcW w:w="1329" w:type="dxa"/>
            <w:vAlign w:val="center"/>
          </w:tcPr>
          <w:p w:rsidR="00BF5608" w:rsidRDefault="0015180F">
            <w:pPr>
              <w:jc w:val="center"/>
            </w:pPr>
            <w:r>
              <w:rPr>
                <w:rFonts w:asciiTheme="minorEastAsia" w:eastAsiaTheme="minorEastAsia" w:hAnsiTheme="minorEastAsia"/>
                <w:color w:val="000000" w:themeColor="text1"/>
              </w:rPr>
              <w:t>6.4420%</w:t>
            </w:r>
          </w:p>
        </w:tc>
        <w:tc>
          <w:tcPr>
            <w:tcW w:w="1329" w:type="dxa"/>
            <w:vAlign w:val="center"/>
          </w:tcPr>
          <w:p w:rsidR="00BF5608" w:rsidRDefault="0015180F">
            <w:pPr>
              <w:jc w:val="center"/>
            </w:pPr>
            <w:r>
              <w:rPr>
                <w:rFonts w:asciiTheme="minorEastAsia" w:eastAsiaTheme="minorEastAsia" w:hAnsiTheme="minorEastAsia"/>
                <w:color w:val="000000" w:themeColor="text1"/>
              </w:rPr>
              <w:t>0.0008%</w:t>
            </w:r>
          </w:p>
        </w:tc>
        <w:tc>
          <w:tcPr>
            <w:tcW w:w="1329" w:type="dxa"/>
            <w:vAlign w:val="center"/>
          </w:tcPr>
          <w:p w:rsidR="00BF5608" w:rsidRDefault="0015180F">
            <w:pPr>
              <w:jc w:val="center"/>
            </w:pPr>
            <w:r>
              <w:rPr>
                <w:rFonts w:asciiTheme="minorEastAsia" w:eastAsiaTheme="minorEastAsia" w:hAnsiTheme="minorEastAsia"/>
                <w:color w:val="000000" w:themeColor="text1"/>
              </w:rPr>
              <w:t>4.0500%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2.3920%</w:t>
            </w:r>
          </w:p>
        </w:tc>
        <w:tc>
          <w:tcPr>
            <w:tcW w:w="1329" w:type="dxa"/>
            <w:vAlign w:val="center"/>
          </w:tcPr>
          <w:p w:rsidR="00BF5608" w:rsidRDefault="0015180F">
            <w:pPr>
              <w:jc w:val="center"/>
            </w:pPr>
            <w:r>
              <w:rPr>
                <w:rFonts w:asciiTheme="minorEastAsia" w:eastAsiaTheme="minorEastAsia" w:hAnsiTheme="minorEastAsia"/>
                <w:color w:val="000000" w:themeColor="text1"/>
              </w:rPr>
              <w:t>0.0008%</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过去五年</w:t>
            </w:r>
          </w:p>
        </w:tc>
        <w:tc>
          <w:tcPr>
            <w:tcW w:w="1329" w:type="dxa"/>
            <w:vAlign w:val="center"/>
          </w:tcPr>
          <w:p w:rsidR="00BF5608" w:rsidRDefault="0015180F">
            <w:pPr>
              <w:jc w:val="center"/>
            </w:pPr>
            <w:r>
              <w:rPr>
                <w:rFonts w:asciiTheme="minorEastAsia" w:eastAsiaTheme="minorEastAsia" w:hAnsiTheme="minorEastAsia"/>
                <w:color w:val="000000" w:themeColor="text1"/>
              </w:rPr>
              <w:t>11.4987%</w:t>
            </w:r>
          </w:p>
        </w:tc>
        <w:tc>
          <w:tcPr>
            <w:tcW w:w="1329" w:type="dxa"/>
            <w:vAlign w:val="center"/>
          </w:tcPr>
          <w:p w:rsidR="00BF5608" w:rsidRDefault="0015180F">
            <w:pPr>
              <w:jc w:val="center"/>
            </w:pPr>
            <w:r>
              <w:rPr>
                <w:rFonts w:asciiTheme="minorEastAsia" w:eastAsiaTheme="minorEastAsia" w:hAnsiTheme="minorEastAsia"/>
                <w:color w:val="000000" w:themeColor="text1"/>
              </w:rPr>
              <w:t>0.0010%</w:t>
            </w:r>
          </w:p>
        </w:tc>
        <w:tc>
          <w:tcPr>
            <w:tcW w:w="1329" w:type="dxa"/>
            <w:vAlign w:val="center"/>
          </w:tcPr>
          <w:p w:rsidR="00BF5608" w:rsidRDefault="0015180F">
            <w:pPr>
              <w:jc w:val="center"/>
            </w:pPr>
            <w:r>
              <w:rPr>
                <w:rFonts w:asciiTheme="minorEastAsia" w:eastAsiaTheme="minorEastAsia" w:hAnsiTheme="minorEastAsia"/>
                <w:color w:val="000000" w:themeColor="text1"/>
              </w:rPr>
              <w:t>6.7537%</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4.7450%</w:t>
            </w:r>
          </w:p>
        </w:tc>
        <w:tc>
          <w:tcPr>
            <w:tcW w:w="1329" w:type="dxa"/>
            <w:vAlign w:val="center"/>
          </w:tcPr>
          <w:p w:rsidR="00BF5608" w:rsidRDefault="0015180F">
            <w:pPr>
              <w:jc w:val="center"/>
            </w:pPr>
            <w:r>
              <w:rPr>
                <w:rFonts w:asciiTheme="minorEastAsia" w:eastAsiaTheme="minorEastAsia" w:hAnsiTheme="minorEastAsia"/>
                <w:color w:val="000000" w:themeColor="text1"/>
              </w:rPr>
              <w:t>0.0010%</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自基金合同生效起至今</w:t>
            </w:r>
          </w:p>
        </w:tc>
        <w:tc>
          <w:tcPr>
            <w:tcW w:w="1329" w:type="dxa"/>
            <w:vAlign w:val="center"/>
          </w:tcPr>
          <w:p w:rsidR="00BF5608" w:rsidRDefault="0015180F">
            <w:pPr>
              <w:jc w:val="center"/>
            </w:pPr>
            <w:r>
              <w:rPr>
                <w:rFonts w:asciiTheme="minorEastAsia" w:eastAsiaTheme="minorEastAsia" w:hAnsiTheme="minorEastAsia"/>
                <w:color w:val="000000" w:themeColor="text1"/>
              </w:rPr>
              <w:t>25.1971%</w:t>
            </w:r>
          </w:p>
        </w:tc>
        <w:tc>
          <w:tcPr>
            <w:tcW w:w="1329" w:type="dxa"/>
            <w:vAlign w:val="center"/>
          </w:tcPr>
          <w:p w:rsidR="00BF5608" w:rsidRDefault="0015180F">
            <w:pPr>
              <w:jc w:val="center"/>
            </w:pPr>
            <w:r>
              <w:rPr>
                <w:rFonts w:asciiTheme="minorEastAsia" w:eastAsiaTheme="minorEastAsia" w:hAnsiTheme="minorEastAsia"/>
                <w:color w:val="000000" w:themeColor="text1"/>
              </w:rPr>
              <w:t>0.0023%</w:t>
            </w:r>
          </w:p>
        </w:tc>
        <w:tc>
          <w:tcPr>
            <w:tcW w:w="1329" w:type="dxa"/>
            <w:vAlign w:val="center"/>
          </w:tcPr>
          <w:p w:rsidR="00BF5608" w:rsidRDefault="0015180F">
            <w:pPr>
              <w:jc w:val="center"/>
            </w:pPr>
            <w:r>
              <w:rPr>
                <w:rFonts w:asciiTheme="minorEastAsia" w:eastAsiaTheme="minorEastAsia" w:hAnsiTheme="minorEastAsia"/>
                <w:color w:val="000000" w:themeColor="text1"/>
              </w:rPr>
              <w:t>11.9540%</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13.2431%</w:t>
            </w:r>
          </w:p>
        </w:tc>
        <w:tc>
          <w:tcPr>
            <w:tcW w:w="1329" w:type="dxa"/>
            <w:vAlign w:val="center"/>
          </w:tcPr>
          <w:p w:rsidR="00BF5608" w:rsidRDefault="0015180F">
            <w:pPr>
              <w:jc w:val="center"/>
            </w:pPr>
            <w:r>
              <w:rPr>
                <w:rFonts w:asciiTheme="minorEastAsia" w:eastAsiaTheme="minorEastAsia" w:hAnsiTheme="minorEastAsia"/>
                <w:color w:val="000000" w:themeColor="text1"/>
              </w:rPr>
              <w:t>0.0023%</w:t>
            </w:r>
          </w:p>
        </w:tc>
      </w:tr>
    </w:tbl>
    <w:p w:rsidR="00DA315C" w:rsidRDefault="00CC2E83" w:rsidP="004600C4">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w:t>
      </w:r>
      <w:r w:rsidR="00050540">
        <w:rPr>
          <w:rFonts w:asciiTheme="minorEastAsia" w:eastAsiaTheme="minorEastAsia" w:hAnsiTheme="minorEastAsia" w:hint="eastAsia"/>
          <w:b/>
          <w:color w:val="000000" w:themeColor="text1"/>
        </w:rPr>
        <w:t>摩根天添盈货币C类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过去三个月</w:t>
            </w:r>
          </w:p>
        </w:tc>
        <w:tc>
          <w:tcPr>
            <w:tcW w:w="1329" w:type="dxa"/>
            <w:vAlign w:val="center"/>
          </w:tcPr>
          <w:p w:rsidR="00BF5608" w:rsidRDefault="0015180F">
            <w:pPr>
              <w:jc w:val="center"/>
            </w:pPr>
            <w:r>
              <w:rPr>
                <w:rFonts w:asciiTheme="minorEastAsia" w:eastAsiaTheme="minorEastAsia" w:hAnsiTheme="minorEastAsia"/>
                <w:color w:val="000000" w:themeColor="text1"/>
              </w:rPr>
              <w:t>0.4956%</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c>
          <w:tcPr>
            <w:tcW w:w="1329" w:type="dxa"/>
            <w:vAlign w:val="center"/>
          </w:tcPr>
          <w:p w:rsidR="00BF5608" w:rsidRDefault="0015180F">
            <w:pPr>
              <w:jc w:val="center"/>
            </w:pPr>
            <w:r>
              <w:rPr>
                <w:rFonts w:asciiTheme="minorEastAsia" w:eastAsiaTheme="minorEastAsia" w:hAnsiTheme="minorEastAsia"/>
                <w:color w:val="000000" w:themeColor="text1"/>
              </w:rPr>
              <w:t>0.3403%</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0.1553%</w:t>
            </w:r>
          </w:p>
        </w:tc>
        <w:tc>
          <w:tcPr>
            <w:tcW w:w="1329" w:type="dxa"/>
            <w:vAlign w:val="center"/>
          </w:tcPr>
          <w:p w:rsidR="00BF5608" w:rsidRDefault="0015180F">
            <w:pPr>
              <w:jc w:val="center"/>
            </w:pPr>
            <w:r>
              <w:rPr>
                <w:rFonts w:asciiTheme="minorEastAsia" w:eastAsiaTheme="minorEastAsia" w:hAnsiTheme="minorEastAsia"/>
                <w:color w:val="000000" w:themeColor="text1"/>
              </w:rPr>
              <w:t>0.0004%</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过去六个月</w:t>
            </w:r>
          </w:p>
        </w:tc>
        <w:tc>
          <w:tcPr>
            <w:tcW w:w="1329" w:type="dxa"/>
            <w:vAlign w:val="center"/>
          </w:tcPr>
          <w:p w:rsidR="00BF5608" w:rsidRDefault="0015180F">
            <w:pPr>
              <w:jc w:val="center"/>
            </w:pPr>
            <w:r>
              <w:rPr>
                <w:rFonts w:asciiTheme="minorEastAsia" w:eastAsiaTheme="minorEastAsia" w:hAnsiTheme="minorEastAsia"/>
                <w:color w:val="000000" w:themeColor="text1"/>
              </w:rPr>
              <w:t>0.9966%</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c>
          <w:tcPr>
            <w:tcW w:w="1329" w:type="dxa"/>
            <w:vAlign w:val="center"/>
          </w:tcPr>
          <w:p w:rsidR="00BF5608" w:rsidRDefault="0015180F">
            <w:pPr>
              <w:jc w:val="center"/>
            </w:pPr>
            <w:r>
              <w:rPr>
                <w:rFonts w:asciiTheme="minorEastAsia" w:eastAsiaTheme="minorEastAsia" w:hAnsiTheme="minorEastAsia"/>
                <w:color w:val="000000" w:themeColor="text1"/>
              </w:rPr>
              <w:t>0.6768%</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0.3198%</w:t>
            </w:r>
          </w:p>
        </w:tc>
        <w:tc>
          <w:tcPr>
            <w:tcW w:w="1329" w:type="dxa"/>
            <w:vAlign w:val="center"/>
          </w:tcPr>
          <w:p w:rsidR="00BF5608" w:rsidRDefault="0015180F">
            <w:pPr>
              <w:jc w:val="center"/>
            </w:pPr>
            <w:r>
              <w:rPr>
                <w:rFonts w:asciiTheme="minorEastAsia" w:eastAsiaTheme="minorEastAsia" w:hAnsiTheme="minorEastAsia"/>
                <w:color w:val="000000" w:themeColor="text1"/>
              </w:rPr>
              <w:t>0.0005%</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lastRenderedPageBreak/>
              <w:t>过去一年</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过去五年</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过去三年</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c>
          <w:tcPr>
            <w:tcW w:w="1329" w:type="dxa"/>
            <w:vAlign w:val="center"/>
          </w:tcPr>
          <w:p w:rsidR="00BF5608" w:rsidRDefault="0015180F">
            <w:pPr>
              <w:jc w:val="center"/>
            </w:pPr>
            <w:r>
              <w:rPr>
                <w:rFonts w:asciiTheme="minorEastAsia" w:eastAsiaTheme="minorEastAsia" w:hAnsiTheme="minorEastAsia"/>
                <w:color w:val="000000" w:themeColor="text1"/>
              </w:rPr>
              <w:t>-</w:t>
            </w:r>
          </w:p>
        </w:tc>
      </w:tr>
      <w:tr w:rsidR="00BF5608">
        <w:tc>
          <w:tcPr>
            <w:tcW w:w="1328" w:type="dxa"/>
            <w:vAlign w:val="center"/>
          </w:tcPr>
          <w:p w:rsidR="00BF5608" w:rsidRDefault="0015180F">
            <w:pPr>
              <w:jc w:val="left"/>
            </w:pPr>
            <w:r>
              <w:rPr>
                <w:rFonts w:asciiTheme="minorEastAsia" w:eastAsiaTheme="minorEastAsia" w:hAnsiTheme="minorEastAsia"/>
                <w:color w:val="000000" w:themeColor="text1"/>
              </w:rPr>
              <w:t>自基金合同生效起至今</w:t>
            </w:r>
          </w:p>
        </w:tc>
        <w:tc>
          <w:tcPr>
            <w:tcW w:w="1329" w:type="dxa"/>
            <w:vAlign w:val="center"/>
          </w:tcPr>
          <w:p w:rsidR="00BF5608" w:rsidRDefault="0015180F">
            <w:pPr>
              <w:jc w:val="center"/>
            </w:pPr>
            <w:r>
              <w:rPr>
                <w:rFonts w:asciiTheme="minorEastAsia" w:eastAsiaTheme="minorEastAsia" w:hAnsiTheme="minorEastAsia"/>
                <w:color w:val="000000" w:themeColor="text1"/>
              </w:rPr>
              <w:t>1.8120%</w:t>
            </w:r>
          </w:p>
        </w:tc>
        <w:tc>
          <w:tcPr>
            <w:tcW w:w="1329" w:type="dxa"/>
            <w:vAlign w:val="center"/>
          </w:tcPr>
          <w:p w:rsidR="00BF5608" w:rsidRDefault="0015180F">
            <w:pPr>
              <w:jc w:val="center"/>
            </w:pPr>
            <w:r>
              <w:rPr>
                <w:rFonts w:asciiTheme="minorEastAsia" w:eastAsiaTheme="minorEastAsia" w:hAnsiTheme="minorEastAsia"/>
                <w:color w:val="000000" w:themeColor="text1"/>
              </w:rPr>
              <w:t>0.0013%</w:t>
            </w:r>
          </w:p>
        </w:tc>
        <w:tc>
          <w:tcPr>
            <w:tcW w:w="1329" w:type="dxa"/>
            <w:vAlign w:val="center"/>
          </w:tcPr>
          <w:p w:rsidR="00BF5608" w:rsidRDefault="0015180F">
            <w:pPr>
              <w:jc w:val="center"/>
            </w:pPr>
            <w:r>
              <w:rPr>
                <w:rFonts w:asciiTheme="minorEastAsia" w:eastAsiaTheme="minorEastAsia" w:hAnsiTheme="minorEastAsia"/>
                <w:color w:val="000000" w:themeColor="text1"/>
              </w:rPr>
              <w:t>1.2501%</w:t>
            </w:r>
          </w:p>
        </w:tc>
        <w:tc>
          <w:tcPr>
            <w:tcW w:w="1329" w:type="dxa"/>
            <w:vAlign w:val="center"/>
          </w:tcPr>
          <w:p w:rsidR="00BF5608" w:rsidRDefault="0015180F">
            <w:pPr>
              <w:jc w:val="center"/>
            </w:pPr>
            <w:r>
              <w:rPr>
                <w:rFonts w:asciiTheme="minorEastAsia" w:eastAsiaTheme="minorEastAsia" w:hAnsiTheme="minorEastAsia"/>
                <w:color w:val="000000" w:themeColor="text1"/>
              </w:rPr>
              <w:t>0.0000%</w:t>
            </w:r>
          </w:p>
        </w:tc>
        <w:tc>
          <w:tcPr>
            <w:tcW w:w="1329" w:type="dxa"/>
            <w:vAlign w:val="center"/>
          </w:tcPr>
          <w:p w:rsidR="00BF5608" w:rsidRDefault="0015180F">
            <w:pPr>
              <w:jc w:val="center"/>
            </w:pPr>
            <w:r>
              <w:rPr>
                <w:rFonts w:asciiTheme="minorEastAsia" w:eastAsiaTheme="minorEastAsia" w:hAnsiTheme="minorEastAsia"/>
                <w:color w:val="000000" w:themeColor="text1"/>
              </w:rPr>
              <w:t>0.5619%</w:t>
            </w:r>
          </w:p>
        </w:tc>
        <w:tc>
          <w:tcPr>
            <w:tcW w:w="1329" w:type="dxa"/>
            <w:vAlign w:val="center"/>
          </w:tcPr>
          <w:p w:rsidR="00BF5608" w:rsidRDefault="0015180F">
            <w:pPr>
              <w:jc w:val="center"/>
            </w:pPr>
            <w:r>
              <w:rPr>
                <w:rFonts w:asciiTheme="minorEastAsia" w:eastAsiaTheme="minorEastAsia" w:hAnsiTheme="minorEastAsia"/>
                <w:color w:val="000000" w:themeColor="text1"/>
              </w:rPr>
              <w:t>0.0013%</w:t>
            </w:r>
          </w:p>
        </w:tc>
      </w:tr>
    </w:tbl>
    <w:p w:rsidR="00DA315C" w:rsidRDefault="00CC2E83" w:rsidP="00614961">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注：本基金收益分配按日结转份额。</w:t>
      </w:r>
    </w:p>
    <w:p w:rsidR="00DA315C" w:rsidRDefault="00CC2E83" w:rsidP="004600C4">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3.2.2</w:t>
      </w:r>
      <w:r>
        <w:rPr>
          <w:rFonts w:asciiTheme="minorEastAsia" w:eastAsiaTheme="minorEastAsia" w:hAnsiTheme="minorEastAsia" w:cs="Arial" w:hint="eastAsia"/>
          <w:b/>
          <w:color w:val="000000" w:themeColor="text1"/>
          <w:kern w:val="0"/>
          <w:sz w:val="24"/>
        </w:rPr>
        <w:t xml:space="preserve"> </w:t>
      </w:r>
      <w:r>
        <w:rPr>
          <w:rStyle w:val="af3"/>
          <w:rFonts w:hint="eastAsia"/>
          <w:color w:val="000000" w:themeColor="text1"/>
          <w:sz w:val="24"/>
          <w:shd w:val="clear" w:color="auto" w:fill="FFFFFF"/>
        </w:rPr>
        <w:t>自基金合同生效以来</w:t>
      </w:r>
      <w:r>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摩根天添盈货币市场基金</w:t>
      </w:r>
    </w:p>
    <w:p w:rsidR="00DA315C" w:rsidRDefault="00CC2E83">
      <w:pPr>
        <w:pStyle w:val="a5"/>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份额累计净值收益率与业绩比较基准收益率历史走势对比图</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w:t>
      </w:r>
      <w:r>
        <w:rPr>
          <w:rFonts w:asciiTheme="minorEastAsia" w:eastAsiaTheme="minorEastAsia" w:hAnsiTheme="minorEastAsia"/>
          <w:color w:val="000000" w:themeColor="text1"/>
          <w:kern w:val="0"/>
          <w:sz w:val="24"/>
        </w:rPr>
        <w:t>2014年11月25日</w:t>
      </w:r>
      <w:r>
        <w:rPr>
          <w:rFonts w:asciiTheme="minorEastAsia" w:eastAsiaTheme="minorEastAsia" w:hAnsiTheme="minorEastAsia" w:hint="eastAsia"/>
          <w:color w:val="000000" w:themeColor="text1"/>
          <w:kern w:val="0"/>
          <w:sz w:val="24"/>
        </w:rPr>
        <w:t>至2023年9月30日)</w:t>
      </w:r>
    </w:p>
    <w:p w:rsidR="00DA315C" w:rsidRPr="00EB02DE" w:rsidRDefault="00CC2E83" w:rsidP="004600C4">
      <w:pPr>
        <w:snapToGrid w:val="0"/>
        <w:spacing w:beforeLines="50" w:before="120" w:line="360" w:lineRule="auto"/>
        <w:ind w:left="471"/>
        <w:rPr>
          <w:rFonts w:asciiTheme="minorEastAsia" w:eastAsiaTheme="minorEastAsia" w:hAnsiTheme="minorEastAsia"/>
          <w:b/>
          <w:color w:val="000000" w:themeColor="text1"/>
          <w:sz w:val="24"/>
        </w:rPr>
      </w:pPr>
      <w:r w:rsidRPr="00EB02DE">
        <w:rPr>
          <w:rFonts w:asciiTheme="minorEastAsia" w:eastAsiaTheme="minorEastAsia" w:hAnsiTheme="minorEastAsia" w:hint="eastAsia"/>
          <w:b/>
          <w:color w:val="000000" w:themeColor="text1"/>
          <w:kern w:val="0"/>
          <w:sz w:val="24"/>
        </w:rPr>
        <w:t>1、</w:t>
      </w:r>
      <w:r w:rsidRPr="00EB02DE">
        <w:rPr>
          <w:rFonts w:asciiTheme="minorEastAsia" w:eastAsiaTheme="minorEastAsia" w:hAnsiTheme="minorEastAsia"/>
          <w:b/>
          <w:color w:val="000000" w:themeColor="text1"/>
          <w:kern w:val="0"/>
          <w:sz w:val="24"/>
        </w:rPr>
        <w:t>摩根天添盈货币A类</w:t>
      </w:r>
      <w:r w:rsidR="00EB02DE" w:rsidRPr="00EB02DE">
        <w:rPr>
          <w:rFonts w:asciiTheme="minorEastAsia" w:eastAsiaTheme="minorEastAsia" w:hAnsiTheme="minorEastAsia" w:hint="eastAsia"/>
          <w:b/>
          <w:color w:val="000000" w:themeColor="text1"/>
          <w:kern w:val="0"/>
          <w:sz w:val="24"/>
        </w:rPr>
        <w:t>：</w:t>
      </w:r>
    </w:p>
    <w:p w:rsidR="00DA315C" w:rsidRDefault="00CC2E83">
      <w:pPr>
        <w:tabs>
          <w:tab w:val="left" w:pos="0"/>
        </w:tabs>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50829A0" wp14:editId="5531CF11">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注：1.本基金合同生效日为2014年11月25日，图示的时间段为合同生效日至本报告期末。</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2.本基金建仓期为本基金合同生效日起 6 个月, 建仓期结束时资产配置比例符合本基金基金合同的规定。</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lastRenderedPageBreak/>
        <w:t>2、</w:t>
      </w:r>
      <w:r w:rsidR="00050540">
        <w:rPr>
          <w:rFonts w:asciiTheme="minorEastAsia" w:eastAsiaTheme="minorEastAsia" w:hAnsiTheme="minorEastAsia" w:hint="eastAsia"/>
          <w:b/>
          <w:color w:val="000000" w:themeColor="text1"/>
          <w:kern w:val="0"/>
          <w:sz w:val="24"/>
        </w:rPr>
        <w:t>摩根天添盈货币B类</w:t>
      </w:r>
      <w:r w:rsidR="00EB02DE" w:rsidRPr="00EB02DE">
        <w:rPr>
          <w:rFonts w:asciiTheme="minorEastAsia" w:eastAsiaTheme="minorEastAsia" w:hAnsiTheme="minorEastAsia" w:hint="eastAsia"/>
          <w:b/>
          <w:color w:val="000000" w:themeColor="text1"/>
          <w:kern w:val="0"/>
          <w:sz w:val="24"/>
        </w:rPr>
        <w:t>：</w:t>
      </w:r>
    </w:p>
    <w:p w:rsidR="00DA315C" w:rsidRDefault="00CC2E83">
      <w:pPr>
        <w:snapToGri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2E1A766" wp14:editId="55DFE74B">
            <wp:extent cx="5772150" cy="3381375"/>
            <wp:effectExtent l="0" t="0" r="0" b="9525"/>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3、</w:t>
      </w:r>
      <w:r w:rsidR="00050540">
        <w:rPr>
          <w:rFonts w:asciiTheme="minorEastAsia" w:eastAsiaTheme="minorEastAsia" w:hAnsiTheme="minorEastAsia" w:hint="eastAsia"/>
          <w:b/>
          <w:color w:val="000000" w:themeColor="text1"/>
          <w:kern w:val="0"/>
          <w:sz w:val="24"/>
        </w:rPr>
        <w:t>摩根天添盈货币E类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09B9102D" wp14:editId="1BAE3F5A">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注：1.本基金合同生效日为2014年11月25日，图示的时间段为合同生效日至本报告期末。</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4、</w:t>
      </w:r>
      <w:r w:rsidR="00050540">
        <w:rPr>
          <w:rFonts w:asciiTheme="minorEastAsia" w:eastAsiaTheme="minorEastAsia" w:hAnsiTheme="minorEastAsia" w:hint="eastAsia"/>
          <w:b/>
          <w:color w:val="000000" w:themeColor="text1"/>
          <w:kern w:val="0"/>
          <w:sz w:val="24"/>
        </w:rPr>
        <w:t>摩根天添盈货币C类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b/>
          <w:noProof/>
          <w:color w:val="000000" w:themeColor="text1"/>
        </w:rPr>
        <w:drawing>
          <wp:inline distT="0" distB="0" distL="0" distR="0" wp14:anchorId="06C13199" wp14:editId="3C985C27">
            <wp:extent cx="5600700" cy="3279775"/>
            <wp:effectExtent l="0" t="0" r="0" b="0"/>
            <wp:docPr id="4" name="图片 4"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浏览器下载\走势图柱状图\走势图4.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注：1.本基金自 2022年10月27日起增加C类份额，相关数据按实际存续期计算。</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DA315C" w:rsidRDefault="00CC2E83" w:rsidP="00FC77AA">
      <w:pPr>
        <w:autoSpaceDE w:val="0"/>
        <w:autoSpaceDN w:val="0"/>
        <w:adjustRightInd w:val="0"/>
        <w:spacing w:beforeLines="50" w:before="12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83"/>
        <w:gridCol w:w="993"/>
        <w:gridCol w:w="1134"/>
        <w:gridCol w:w="992"/>
        <w:gridCol w:w="2977"/>
      </w:tblGrid>
      <w:tr w:rsidR="00DA315C">
        <w:trPr>
          <w:cantSplit/>
        </w:trPr>
        <w:tc>
          <w:tcPr>
            <w:tcW w:w="95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lastRenderedPageBreak/>
              <w:t>姓名</w:t>
            </w:r>
          </w:p>
        </w:tc>
        <w:tc>
          <w:tcPr>
            <w:tcW w:w="1883"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127" w:type="dxa"/>
            <w:gridSpan w:val="2"/>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2977"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DA315C">
        <w:trPr>
          <w:cantSplit/>
        </w:trPr>
        <w:tc>
          <w:tcPr>
            <w:tcW w:w="95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883" w:type="dxa"/>
            <w:vMerge/>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993"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134"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99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977"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BF5608">
        <w:tc>
          <w:tcPr>
            <w:tcW w:w="952" w:type="dxa"/>
            <w:vAlign w:val="center"/>
          </w:tcPr>
          <w:p w:rsidR="00BF5608" w:rsidRDefault="0015180F">
            <w:pPr>
              <w:jc w:val="center"/>
            </w:pPr>
            <w:r>
              <w:rPr>
                <w:rFonts w:asciiTheme="minorEastAsia" w:eastAsiaTheme="minorEastAsia" w:hAnsiTheme="minorEastAsia"/>
                <w:color w:val="000000" w:themeColor="text1"/>
                <w:sz w:val="24"/>
              </w:rPr>
              <w:t>鞠婷</w:t>
            </w:r>
          </w:p>
        </w:tc>
        <w:tc>
          <w:tcPr>
            <w:tcW w:w="1883" w:type="dxa"/>
            <w:vAlign w:val="center"/>
          </w:tcPr>
          <w:p w:rsidR="00BF5608" w:rsidRDefault="0015180F">
            <w:pPr>
              <w:jc w:val="center"/>
            </w:pPr>
            <w:r>
              <w:rPr>
                <w:rFonts w:asciiTheme="minorEastAsia" w:eastAsiaTheme="minorEastAsia" w:hAnsiTheme="minorEastAsia"/>
                <w:color w:val="000000" w:themeColor="text1"/>
                <w:sz w:val="24"/>
              </w:rPr>
              <w:t>本基金基金经理</w:t>
            </w:r>
          </w:p>
        </w:tc>
        <w:tc>
          <w:tcPr>
            <w:tcW w:w="993" w:type="dxa"/>
            <w:vAlign w:val="center"/>
          </w:tcPr>
          <w:p w:rsidR="00BF5608" w:rsidRDefault="0015180F">
            <w:pPr>
              <w:jc w:val="center"/>
            </w:pPr>
            <w:r>
              <w:rPr>
                <w:rFonts w:asciiTheme="minorEastAsia" w:eastAsiaTheme="minorEastAsia" w:hAnsiTheme="minorEastAsia"/>
                <w:color w:val="000000" w:themeColor="text1"/>
                <w:sz w:val="24"/>
              </w:rPr>
              <w:t>2016-05-27</w:t>
            </w:r>
          </w:p>
        </w:tc>
        <w:tc>
          <w:tcPr>
            <w:tcW w:w="1134" w:type="dxa"/>
            <w:vAlign w:val="center"/>
          </w:tcPr>
          <w:p w:rsidR="00BF5608" w:rsidRDefault="0015180F">
            <w:pPr>
              <w:jc w:val="center"/>
            </w:pPr>
            <w:r>
              <w:rPr>
                <w:rFonts w:asciiTheme="minorEastAsia" w:eastAsiaTheme="minorEastAsia" w:hAnsiTheme="minorEastAsia"/>
                <w:color w:val="000000" w:themeColor="text1"/>
                <w:sz w:val="24"/>
              </w:rPr>
              <w:t>-</w:t>
            </w:r>
          </w:p>
        </w:tc>
        <w:tc>
          <w:tcPr>
            <w:tcW w:w="992" w:type="dxa"/>
            <w:vAlign w:val="center"/>
          </w:tcPr>
          <w:p w:rsidR="00BF5608" w:rsidRDefault="0015180F">
            <w:pPr>
              <w:jc w:val="center"/>
            </w:pPr>
            <w:r>
              <w:rPr>
                <w:rFonts w:asciiTheme="minorEastAsia" w:eastAsiaTheme="minorEastAsia" w:hAnsiTheme="minorEastAsia"/>
                <w:color w:val="000000" w:themeColor="text1"/>
                <w:sz w:val="24"/>
              </w:rPr>
              <w:t>18年</w:t>
            </w:r>
          </w:p>
        </w:tc>
        <w:tc>
          <w:tcPr>
            <w:tcW w:w="2977" w:type="dxa"/>
            <w:vAlign w:val="center"/>
          </w:tcPr>
          <w:p w:rsidR="00BF5608" w:rsidRDefault="0015180F">
            <w:r>
              <w:rPr>
                <w:rFonts w:asciiTheme="minorEastAsia" w:eastAsiaTheme="minorEastAsia" w:hAnsiTheme="minorEastAsia"/>
                <w:color w:val="000000" w:themeColor="text1"/>
                <w:sz w:val="24"/>
              </w:rPr>
              <w:t>鞠婷女士曾任中国建设银行第一支行助理经济师，瑞穗银行总行总经理助理。2014年10月起加入摩根基金管理（中国）有限公司（原上投摩根基金管理有限公司），历任基金经理助理、基金经理，高级基金经理，现任货币市场投资部副总监兼资深基金经理。</w:t>
            </w:r>
          </w:p>
        </w:tc>
      </w:tr>
      <w:tr w:rsidR="00BF5608">
        <w:tc>
          <w:tcPr>
            <w:tcW w:w="952" w:type="dxa"/>
            <w:vAlign w:val="center"/>
          </w:tcPr>
          <w:p w:rsidR="00BF5608" w:rsidRDefault="0015180F">
            <w:pPr>
              <w:jc w:val="center"/>
            </w:pPr>
            <w:r>
              <w:rPr>
                <w:rFonts w:asciiTheme="minorEastAsia" w:eastAsiaTheme="minorEastAsia" w:hAnsiTheme="minorEastAsia"/>
                <w:color w:val="000000" w:themeColor="text1"/>
                <w:sz w:val="24"/>
              </w:rPr>
              <w:t>邱林晶</w:t>
            </w:r>
          </w:p>
        </w:tc>
        <w:tc>
          <w:tcPr>
            <w:tcW w:w="1883" w:type="dxa"/>
            <w:vAlign w:val="center"/>
          </w:tcPr>
          <w:p w:rsidR="00BF5608" w:rsidRDefault="0015180F">
            <w:pPr>
              <w:jc w:val="center"/>
            </w:pPr>
            <w:r>
              <w:rPr>
                <w:rFonts w:asciiTheme="minorEastAsia" w:eastAsiaTheme="minorEastAsia" w:hAnsiTheme="minorEastAsia"/>
                <w:color w:val="000000" w:themeColor="text1"/>
                <w:sz w:val="24"/>
              </w:rPr>
              <w:t>本基金基金经理</w:t>
            </w:r>
          </w:p>
        </w:tc>
        <w:tc>
          <w:tcPr>
            <w:tcW w:w="993" w:type="dxa"/>
            <w:vAlign w:val="center"/>
          </w:tcPr>
          <w:p w:rsidR="00BF5608" w:rsidRDefault="0015180F">
            <w:pPr>
              <w:jc w:val="center"/>
            </w:pPr>
            <w:r>
              <w:rPr>
                <w:rFonts w:asciiTheme="minorEastAsia" w:eastAsiaTheme="minorEastAsia" w:hAnsiTheme="minorEastAsia"/>
                <w:color w:val="000000" w:themeColor="text1"/>
                <w:sz w:val="24"/>
              </w:rPr>
              <w:t>2023-04-07</w:t>
            </w:r>
          </w:p>
        </w:tc>
        <w:tc>
          <w:tcPr>
            <w:tcW w:w="1134" w:type="dxa"/>
            <w:vAlign w:val="center"/>
          </w:tcPr>
          <w:p w:rsidR="00BF5608" w:rsidRDefault="0015180F">
            <w:pPr>
              <w:jc w:val="center"/>
            </w:pPr>
            <w:r>
              <w:rPr>
                <w:rFonts w:asciiTheme="minorEastAsia" w:eastAsiaTheme="minorEastAsia" w:hAnsiTheme="minorEastAsia"/>
                <w:color w:val="000000" w:themeColor="text1"/>
                <w:sz w:val="24"/>
              </w:rPr>
              <w:t>-</w:t>
            </w:r>
          </w:p>
        </w:tc>
        <w:tc>
          <w:tcPr>
            <w:tcW w:w="992" w:type="dxa"/>
            <w:vAlign w:val="center"/>
          </w:tcPr>
          <w:p w:rsidR="00BF5608" w:rsidRDefault="0015180F">
            <w:pPr>
              <w:jc w:val="center"/>
            </w:pPr>
            <w:r>
              <w:rPr>
                <w:rFonts w:asciiTheme="minorEastAsia" w:eastAsiaTheme="minorEastAsia" w:hAnsiTheme="minorEastAsia"/>
                <w:color w:val="000000" w:themeColor="text1"/>
                <w:sz w:val="24"/>
              </w:rPr>
              <w:t>10年</w:t>
            </w:r>
          </w:p>
        </w:tc>
        <w:tc>
          <w:tcPr>
            <w:tcW w:w="2977" w:type="dxa"/>
            <w:vAlign w:val="center"/>
          </w:tcPr>
          <w:p w:rsidR="00BF5608" w:rsidRDefault="0015180F">
            <w:r>
              <w:rPr>
                <w:rFonts w:asciiTheme="minorEastAsia" w:eastAsiaTheme="minorEastAsia" w:hAnsiTheme="minorEastAsia"/>
                <w:color w:val="000000" w:themeColor="text1"/>
                <w:sz w:val="24"/>
              </w:rPr>
              <w:t>邱林晶女士曾任国泰基金管理有限公司风险管理部分析师，平安资产管理有限责任公司固收交易员，中银理财有限责任公司集中交易室高级经理、活期理财产品部投资经理；自2022年5月加入摩根基金管理（中国）有限公司（原上投摩根基金管理有限公司），历任货币市场投资部基金经理助理，现任基金经理。</w:t>
            </w:r>
          </w:p>
        </w:tc>
      </w:tr>
    </w:tbl>
    <w:p w:rsidR="00BF5608" w:rsidRDefault="0015180F">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2.证券从业的含义遵从行业协会《证券业从业人员资格管理办法》的相关规定。</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4.2 </w:t>
      </w:r>
      <w:r>
        <w:rPr>
          <w:rFonts w:asciiTheme="minorEastAsia" w:eastAsiaTheme="minorEastAsia" w:hAnsiTheme="minorEastAsia" w:cs="Arial" w:hint="eastAsia"/>
          <w:b/>
          <w:color w:val="000000" w:themeColor="text1"/>
          <w:kern w:val="0"/>
          <w:sz w:val="24"/>
        </w:rPr>
        <w:t>报告期内本基金运作遵规守信情况说明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w:t>
      </w:r>
      <w:r>
        <w:rPr>
          <w:rFonts w:asciiTheme="minorEastAsia" w:eastAsiaTheme="minorEastAsia" w:hAnsiTheme="minorEastAsia"/>
          <w:color w:val="000000" w:themeColor="text1"/>
          <w:sz w:val="24"/>
        </w:rPr>
        <w:lastRenderedPageBreak/>
        <w:t>定时间内调整完毕。</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DA315C" w:rsidRDefault="00CC2E83" w:rsidP="007753E9">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4.3.1 公平交易制度的执行情况</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DA315C" w:rsidRDefault="00CC2E83" w:rsidP="007753E9">
      <w:pPr>
        <w:spacing w:beforeLines="100" w:before="240"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4.3.2 异常交易行为的专项说明</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4.4</w:t>
      </w:r>
      <w:r w:rsidRPr="00FC77AA">
        <w:rPr>
          <w:rFonts w:asciiTheme="minorEastAsia" w:eastAsiaTheme="minorEastAsia" w:hAnsiTheme="minorEastAsia" w:cs="Arial" w:hint="eastAsia"/>
          <w:b/>
          <w:color w:val="000000" w:themeColor="text1"/>
          <w:kern w:val="0"/>
          <w:sz w:val="24"/>
        </w:rPr>
        <w:t xml:space="preserve"> 报告期内基金的投资策略和运作分析</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2023年三季度，随着一系列推动宏观经济向好回升政策的效果不断显现，经济延续恢复态势。1-8月全国规模以上工业企业利润同比下降11.7%，降幅较1—7月份收窄3.8个百分点，回升明显加快；1-8月全国固定资产投资同比增加3.2%，重点领域投资持续较快增长；8月社会消费品零售总额增长4.6%，服务消费保持较快增长；9月制造业采购经理人指数（PMI）为50.2%，重返扩张区间，制造业生产扩张步伐有所加快；8月消费者价格指数（CPI）当月同比上涨0.1%，生产者价格指数（PPI）当月同比下降3.0%。 </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 xml:space="preserve">三季度，央行坚持稳健的货币政策精准有力，加大逆周期调节力度，积极应对人民币汇率变动，巩固经济回升向好态势。总量上，继3月降准后，9月央行再次降准0.25个百分点，释放中长期流动性约5000亿元，同时维持中期借贷便利超额续作，保持银行体系流动性合理充裕；价格上，8月公开市场操作利率、中期借贷便利利率分别下降10个、15个基点，降低二套房利率下限和存量首套房利率，指导金融机构合理调降中长期定期存款利率，促进储蓄向消费、投资转化。在近期人民币汇率压力较大的背景下，央行于9月15日下调金融机构外汇存款准备金率2个百分点，对单边、顺周期行为予以纠偏，稳定了汇率的预期。随着政策组合拳效应逐步显现，三季度债市短端收益率先下后上，季末1年期同业存单收益率上行至2.5%附近，1年期国开债收益率上行至2.3%附近。 </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本基金在三季度继续以流动性和安全性为优先目标，在市场收益率震荡过程中及时调整久期，保持流动性较好资产配置比例，同时密切关注客户现金流动向，在季末关键时点做好流动性前瞻性管理，预备充足流动性满足客户的赎回要求，力求平衡基金收益率和安全性，把握组合整体风险。 </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展望未来，政策仍将围绕经济恢复继续发力，为推动经济实现质的有效提升和量的合理增长服务。消费有望保持温和修复，重点领域投资持续较快增长，投资结构不断优化，稳定房地产市场政策逐步显效。货币政策预计仍将以稳健为主，加强逆周期调节，保持流动性合理充裕，保持社会融资规模增速同名义经济增速基本匹配。本基金在未来仍会谨记货币基金现金管理工具的原则，时刻关注国内外市场各种动向，坚决防范各类信用风险，灵活调整资产配置，遵守各项监管要求，同时始终把基金安全性、流动性以及投资人利益放在首位，力争为投资人提供安全稳健的长期回报。</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hint="eastAsia"/>
          <w:b/>
          <w:color w:val="000000" w:themeColor="text1"/>
          <w:kern w:val="0"/>
          <w:sz w:val="24"/>
        </w:rPr>
        <w:t>4.5 报告期内基金的业绩表现</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本报告期摩根天添盈A份额净值增长率为:0.4349%，同期业绩比较基准收益率为:0.3403%</w:t>
      </w:r>
      <w:r w:rsidR="00CD68BA">
        <w:rPr>
          <w:rFonts w:asciiTheme="minorEastAsia" w:eastAsiaTheme="minorEastAsia" w:hAnsiTheme="minorEastAsia" w:hint="eastAsia"/>
          <w:color w:val="000000" w:themeColor="text1"/>
          <w:sz w:val="24"/>
        </w:rPr>
        <w:t>。</w:t>
      </w:r>
    </w:p>
    <w:p w:rsidR="00CD68BA" w:rsidRDefault="00CD68BA">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CD68BA">
        <w:rPr>
          <w:rFonts w:asciiTheme="minorEastAsia" w:eastAsiaTheme="minorEastAsia" w:hAnsiTheme="minorEastAsia" w:hint="eastAsia"/>
          <w:color w:val="000000" w:themeColor="text1"/>
          <w:sz w:val="24"/>
        </w:rPr>
        <w:t>自2018年6月22日起，本基金B类基金份额为零且停止计算B类基金份额每万份收益。</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摩根天添盈C份额净值增长率为:0.4956%，同期业绩比较基准收益率为:0.3403%</w:t>
      </w:r>
      <w:r w:rsidR="00CD68BA">
        <w:rPr>
          <w:rFonts w:asciiTheme="minorEastAsia" w:eastAsiaTheme="minorEastAsia" w:hAnsiTheme="minorEastAsia" w:hint="eastAsia"/>
          <w:color w:val="000000" w:themeColor="text1"/>
          <w:sz w:val="24"/>
        </w:rPr>
        <w:t>。</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摩根天添盈E份额净值增长率为:0.4957%，同期业绩比较基准收益率为:0.3403%。</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w:t>
      </w:r>
      <w:r w:rsidRPr="00FC77AA">
        <w:rPr>
          <w:rFonts w:asciiTheme="minorEastAsia" w:eastAsiaTheme="minorEastAsia" w:hAnsiTheme="minorEastAsia" w:cs="Arial" w:hint="eastAsia"/>
          <w:b/>
          <w:color w:val="000000" w:themeColor="text1"/>
          <w:kern w:val="0"/>
          <w:sz w:val="24"/>
        </w:rPr>
        <w:t>.6 报告期内基金持有人数或基金资产净值预警说明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3119"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4,320,319,442.73</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50.90</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4,320,319,442.73</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50.90</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autoSpaceDE w:val="0"/>
              <w:autoSpaceDN w:val="0"/>
              <w:adjustRightInd w:val="0"/>
              <w:spacing w:before="29"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1,749,943,109.02</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20.62</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2,384,492,791.64</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28.09</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其他资产</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32,818,616.25</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0.39</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8,487,573,959.64</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BF5608" w:rsidRDefault="0015180F">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 银行存款和结算备付金合计其中银行存款</w:t>
      </w:r>
      <w:r w:rsidRPr="0015180F">
        <w:rPr>
          <w:rFonts w:asciiTheme="minorEastAsia" w:eastAsiaTheme="minorEastAsia" w:hAnsiTheme="minorEastAsia"/>
          <w:color w:val="000000" w:themeColor="text1"/>
          <w:sz w:val="24"/>
        </w:rPr>
        <w:t>2,368,606,966.80</w:t>
      </w:r>
      <w:r>
        <w:rPr>
          <w:rFonts w:asciiTheme="minorEastAsia" w:eastAsiaTheme="minorEastAsia" w:hAnsiTheme="minorEastAsia" w:hint="eastAsia"/>
          <w:color w:val="000000" w:themeColor="text1"/>
          <w:sz w:val="24"/>
        </w:rPr>
        <w:t>元。</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买入返售金融资产其中买入返售金融资产（交易所）为</w:t>
      </w:r>
      <w:r w:rsidR="0015180F" w:rsidRPr="0015180F">
        <w:rPr>
          <w:rFonts w:asciiTheme="minorEastAsia" w:eastAsiaTheme="minorEastAsia" w:hAnsiTheme="minorEastAsia"/>
          <w:color w:val="000000" w:themeColor="text1"/>
          <w:sz w:val="24"/>
        </w:rPr>
        <w:t>684,115,915.17</w:t>
      </w:r>
      <w:r>
        <w:rPr>
          <w:rFonts w:asciiTheme="minorEastAsia" w:eastAsiaTheme="minorEastAsia" w:hAnsiTheme="minorEastAsia" w:hint="eastAsia"/>
          <w:color w:val="000000" w:themeColor="text1"/>
          <w:sz w:val="24"/>
        </w:rPr>
        <w:t>元。</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4A0" w:firstRow="1" w:lastRow="0" w:firstColumn="1" w:lastColumn="0" w:noHBand="0" w:noVBand="1"/>
      </w:tblPr>
      <w:tblGrid>
        <w:gridCol w:w="861"/>
        <w:gridCol w:w="3108"/>
        <w:gridCol w:w="2977"/>
        <w:gridCol w:w="2126"/>
      </w:tblGrid>
      <w:tr w:rsidR="00DA315C">
        <w:tc>
          <w:tcPr>
            <w:tcW w:w="861"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w:t>
            </w:r>
            <w:r w:rsidR="004417A1">
              <w:rPr>
                <w:rFonts w:asciiTheme="minorEastAsia" w:eastAsiaTheme="minorEastAsia" w:hAnsiTheme="minorEastAsia" w:cs="Arial" w:hint="eastAsia"/>
                <w:color w:val="000000" w:themeColor="text1"/>
                <w:kern w:val="0"/>
                <w:sz w:val="24"/>
              </w:rPr>
              <w:t>的</w:t>
            </w:r>
            <w:r>
              <w:rPr>
                <w:rFonts w:asciiTheme="minorEastAsia" w:eastAsiaTheme="minorEastAsia" w:hAnsiTheme="minorEastAsia" w:cs="Arial" w:hint="eastAsia"/>
                <w:color w:val="000000" w:themeColor="text1"/>
                <w:kern w:val="0"/>
                <w:sz w:val="24"/>
              </w:rPr>
              <w:t>比例（％）</w:t>
            </w:r>
          </w:p>
        </w:tc>
      </w:tr>
      <w:tr w:rsidR="00DA315C">
        <w:tc>
          <w:tcPr>
            <w:tcW w:w="861" w:type="dxa"/>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0.09</w:t>
            </w:r>
          </w:p>
        </w:tc>
      </w:tr>
      <w:tr w:rsidR="00DA315C">
        <w:trPr>
          <w:trHeight w:val="712"/>
        </w:trPr>
        <w:tc>
          <w:tcPr>
            <w:tcW w:w="861" w:type="dxa"/>
            <w:tcBorders>
              <w:left w:val="single" w:sz="8" w:space="0" w:color="000000"/>
              <w:bottom w:val="single" w:sz="8" w:space="0" w:color="000000"/>
              <w:right w:val="single" w:sz="8" w:space="0" w:color="000000"/>
            </w:tcBorders>
            <w:vAlign w:val="center"/>
          </w:tcPr>
          <w:p w:rsidR="00DA315C" w:rsidRDefault="00DA315C">
            <w:pPr>
              <w:spacing w:line="360" w:lineRule="auto"/>
              <w:jc w:val="center"/>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tcBorders>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占基金资产净值比例（％）</w:t>
            </w:r>
          </w:p>
        </w:tc>
      </w:tr>
      <w:tr w:rsidR="00DA315C">
        <w:tc>
          <w:tcPr>
            <w:tcW w:w="861" w:type="dxa"/>
            <w:vMerge w:val="restart"/>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vMerge/>
            <w:tcBorders>
              <w:left w:val="single" w:sz="8" w:space="0" w:color="000000"/>
              <w:bottom w:val="single" w:sz="8" w:space="0" w:color="000000"/>
              <w:right w:val="single" w:sz="8" w:space="0" w:color="000000"/>
            </w:tcBorders>
            <w:vAlign w:val="center"/>
          </w:tcPr>
          <w:p w:rsidR="00DA315C" w:rsidRDefault="00DA315C">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lastRenderedPageBreak/>
        <w:t>债券正回购的资金余额超过基金资产净值的</w:t>
      </w:r>
      <w:r>
        <w:rPr>
          <w:rFonts w:asciiTheme="minorEastAsia" w:eastAsiaTheme="minorEastAsia" w:hAnsiTheme="minorEastAsia" w:cs="Arial"/>
          <w:b/>
          <w:color w:val="000000" w:themeColor="text1"/>
          <w:kern w:val="0"/>
          <w:sz w:val="24"/>
        </w:rPr>
        <w:t>20</w:t>
      </w:r>
      <w:r>
        <w:rPr>
          <w:rFonts w:asciiTheme="minorEastAsia" w:eastAsiaTheme="minorEastAsia" w:hAnsiTheme="minorEastAsia" w:cs="Arial" w:hint="eastAsia"/>
          <w:b/>
          <w:color w:val="000000" w:themeColor="text1"/>
          <w:kern w:val="0"/>
          <w:sz w:val="24"/>
        </w:rPr>
        <w:t>％的说明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在本报告期内本货币市场基金债券正回购的资金余额未超过资产净值的20%。</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 </w:t>
      </w:r>
      <w:r>
        <w:rPr>
          <w:rFonts w:asciiTheme="minorEastAsia" w:eastAsiaTheme="minorEastAsia" w:hAnsiTheme="minorEastAsia" w:cs="Arial" w:hint="eastAsia"/>
          <w:b/>
          <w:color w:val="000000" w:themeColor="text1"/>
          <w:kern w:val="0"/>
          <w:sz w:val="24"/>
        </w:rPr>
        <w:t>基金投资组合平均剩余期限</w:t>
      </w:r>
    </w:p>
    <w:p w:rsidR="00DA315C" w:rsidRDefault="00CC2E83" w:rsidP="0017387C">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5.3.1 </w:t>
      </w:r>
      <w:r>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4A0" w:firstRow="1" w:lastRow="0" w:firstColumn="1" w:lastColumn="0" w:noHBand="0" w:noVBand="1"/>
      </w:tblPr>
      <w:tblGrid>
        <w:gridCol w:w="4056"/>
        <w:gridCol w:w="5016"/>
      </w:tblGrid>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天数</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109</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116</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100</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20天情况说明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5.3.2  </w:t>
      </w:r>
      <w:r>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4A0" w:firstRow="1" w:lastRow="0" w:firstColumn="1" w:lastColumn="0" w:noHBand="0" w:noVBand="1"/>
      </w:tblPr>
      <w:tblGrid>
        <w:gridCol w:w="851"/>
        <w:gridCol w:w="3351"/>
        <w:gridCol w:w="2529"/>
        <w:gridCol w:w="2431"/>
      </w:tblGrid>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各期限资产占基金资产净值的比例（</w:t>
            </w: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各期限负债占基金资产净值的比例（％）</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33.07</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0.01</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30天（含）—60天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9.64</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60天（含）—90天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5.59</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90天（含）—1</w:t>
            </w: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11.18</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Pr>
                <w:rFonts w:asciiTheme="minorEastAsia" w:eastAsiaTheme="minorEastAsia" w:hAnsiTheme="minorEastAsia"/>
                <w:color w:val="000000" w:themeColor="text1"/>
                <w:sz w:val="24"/>
              </w:rPr>
              <w:t>天（含）—397天（含）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39.70</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99.18</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0.01</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Theme="minorEastAsia" w:eastAsiaTheme="minorEastAsia" w:hAnsiTheme="minorEastAsia" w:cs="Arial"/>
          <w:b/>
          <w:color w:val="000000" w:themeColor="text1"/>
          <w:kern w:val="0"/>
          <w:sz w:val="24"/>
        </w:rPr>
        <w:t xml:space="preserve"> </w:t>
      </w:r>
      <w:r w:rsidRPr="0017387C">
        <w:rPr>
          <w:rFonts w:asciiTheme="minorEastAsia" w:eastAsiaTheme="minorEastAsia" w:hAnsiTheme="minorEastAsia" w:cs="Arial" w:hint="eastAsia"/>
          <w:b/>
          <w:color w:val="000000" w:themeColor="text1"/>
          <w:kern w:val="0"/>
          <w:sz w:val="24"/>
        </w:rPr>
        <w:t>报告期内投资组合平均剩余存续期超过240天情况说明</w:t>
      </w:r>
    </w:p>
    <w:p w:rsidR="00DA315C" w:rsidRPr="00FB6FB2"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在本报告期内本基金未出现投资组合平均剩余存续期超过240天的情况。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119"/>
        <w:gridCol w:w="1984"/>
      </w:tblGrid>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3260"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债券品种</w:t>
            </w:r>
          </w:p>
        </w:tc>
        <w:tc>
          <w:tcPr>
            <w:tcW w:w="3119"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摊余成本（元）</w:t>
            </w:r>
          </w:p>
        </w:tc>
        <w:tc>
          <w:tcPr>
            <w:tcW w:w="1984"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国家债券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央行票据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578,504,721.97</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6.82</w:t>
            </w:r>
          </w:p>
        </w:tc>
      </w:tr>
      <w:tr w:rsidR="00DA315C">
        <w:tc>
          <w:tcPr>
            <w:tcW w:w="817" w:type="dxa"/>
            <w:vAlign w:val="center"/>
          </w:tcPr>
          <w:p w:rsidR="00DA315C" w:rsidRDefault="00DA315C">
            <w:pPr>
              <w:spacing w:before="29" w:line="360" w:lineRule="auto"/>
              <w:ind w:left="17"/>
              <w:jc w:val="center"/>
              <w:rPr>
                <w:rFonts w:asciiTheme="minorEastAsia" w:eastAsiaTheme="minorEastAsia" w:hAnsiTheme="minorEastAsia" w:cs="宋体"/>
                <w:color w:val="000000" w:themeColor="text1"/>
                <w:sz w:val="24"/>
              </w:rPr>
            </w:pP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其中：政策性金融债</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507,904,104.60</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5.99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202,682,628.59</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企业短期融资券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665,009,014.73</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7.84</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中期票据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同业存单</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2,874,123,077.44</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33.89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8</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其他</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4,320,319,442.73</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50.94</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剩余存续期超过397天的浮动利率债券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5.6 </w:t>
      </w:r>
      <w:r>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f2"/>
        <w:tblW w:w="0" w:type="auto"/>
        <w:tblInd w:w="15" w:type="dxa"/>
        <w:tblLook w:val="04A0" w:firstRow="1" w:lastRow="0" w:firstColumn="1" w:lastColumn="0" w:noHBand="0" w:noVBand="1"/>
      </w:tblPr>
      <w:tblGrid>
        <w:gridCol w:w="1092"/>
        <w:gridCol w:w="1441"/>
        <w:gridCol w:w="1906"/>
        <w:gridCol w:w="1656"/>
        <w:gridCol w:w="1896"/>
        <w:gridCol w:w="1296"/>
      </w:tblGrid>
      <w:tr w:rsidR="00DA315C">
        <w:tc>
          <w:tcPr>
            <w:tcW w:w="1547"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lastRenderedPageBreak/>
              <w:t>序号</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债券代码</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债券名称</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债券数量</w:t>
            </w:r>
          </w:p>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张</w:t>
            </w:r>
            <w:r>
              <w:rPr>
                <w:rFonts w:asciiTheme="minorEastAsia" w:eastAsiaTheme="minorEastAsia" w:hAnsiTheme="minorEastAsia" w:cs="Arial"/>
                <w:color w:val="000000" w:themeColor="text1"/>
                <w:kern w:val="0"/>
                <w:sz w:val="24"/>
              </w:rPr>
              <w:t>)</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摊余成本（元）</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占基金资产净值比例（％）</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1</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220312</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22进出12</w:t>
            </w:r>
          </w:p>
        </w:tc>
        <w:tc>
          <w:tcPr>
            <w:tcW w:w="0" w:type="auto"/>
            <w:vAlign w:val="center"/>
          </w:tcPr>
          <w:p w:rsidR="00BF5608" w:rsidRDefault="0015180F">
            <w:pPr>
              <w:jc w:val="right"/>
            </w:pPr>
            <w:r>
              <w:rPr>
                <w:rFonts w:asciiTheme="minorEastAsia" w:eastAsiaTheme="minorEastAsia" w:hAnsiTheme="minorEastAsia"/>
                <w:color w:val="000000" w:themeColor="text1"/>
                <w:sz w:val="24"/>
              </w:rPr>
              <w:t>1,500,000.00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151,574,466.43</w:t>
            </w:r>
          </w:p>
        </w:tc>
        <w:tc>
          <w:tcPr>
            <w:tcW w:w="0" w:type="auto"/>
            <w:vAlign w:val="center"/>
          </w:tcPr>
          <w:p w:rsidR="00BF5608" w:rsidRDefault="0015180F">
            <w:pPr>
              <w:jc w:val="right"/>
            </w:pPr>
            <w:r>
              <w:rPr>
                <w:rFonts w:asciiTheme="minorEastAsia" w:eastAsiaTheme="minorEastAsia" w:hAnsiTheme="minorEastAsia"/>
                <w:color w:val="000000" w:themeColor="text1"/>
                <w:sz w:val="24"/>
              </w:rPr>
              <w:t>1.79</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2</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170404</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17农发04</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103,171,005.38</w:t>
            </w:r>
          </w:p>
        </w:tc>
        <w:tc>
          <w:tcPr>
            <w:tcW w:w="0" w:type="auto"/>
            <w:vAlign w:val="center"/>
          </w:tcPr>
          <w:p w:rsidR="00BF5608" w:rsidRDefault="0015180F">
            <w:pPr>
              <w:jc w:val="right"/>
            </w:pPr>
            <w:r>
              <w:rPr>
                <w:rFonts w:asciiTheme="minorEastAsia" w:eastAsiaTheme="minorEastAsia" w:hAnsiTheme="minorEastAsia"/>
                <w:color w:val="000000" w:themeColor="text1"/>
                <w:sz w:val="24"/>
              </w:rPr>
              <w:t>1.22</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3</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112316041</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23上海银行CD041</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99,889,294.88</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1.18</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4</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112380299</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23南京银行CD073</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99,601,052.71</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1.17</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5</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112382021</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23重庆农村商行CD069</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99,480,584.23</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1.17</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6</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112399524</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23宁波银行CD104</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99,063,289.31</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1.17</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7</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112312043</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23北京银行CD043</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99,014,096.99</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1.17</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8</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112382461</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23宁波银行CD134</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98,815,988.45</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1.17</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9</w:t>
            </w:r>
          </w:p>
        </w:tc>
        <w:tc>
          <w:tcPr>
            <w:tcW w:w="0" w:type="auto"/>
            <w:vAlign w:val="center"/>
          </w:tcPr>
          <w:p w:rsidR="00BF5608" w:rsidRDefault="0015180F">
            <w:pPr>
              <w:jc w:val="center"/>
            </w:pPr>
            <w:r>
              <w:rPr>
                <w:rFonts w:asciiTheme="minorEastAsia" w:eastAsiaTheme="minorEastAsia" w:hAnsiTheme="minorEastAsia"/>
                <w:color w:val="000000" w:themeColor="text1"/>
                <w:sz w:val="24"/>
              </w:rPr>
              <w:t>112306133</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23交通银行CD133</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98,605,567.86</w:t>
            </w:r>
          </w:p>
        </w:tc>
        <w:tc>
          <w:tcPr>
            <w:tcW w:w="0" w:type="auto"/>
            <w:vAlign w:val="center"/>
          </w:tcPr>
          <w:p w:rsidR="00BF5608" w:rsidRDefault="0015180F">
            <w:pPr>
              <w:jc w:val="right"/>
            </w:pPr>
            <w:r>
              <w:rPr>
                <w:rFonts w:asciiTheme="minorEastAsia" w:eastAsiaTheme="minorEastAsia" w:hAnsiTheme="minorEastAsia"/>
                <w:color w:val="000000" w:themeColor="text1"/>
                <w:sz w:val="24"/>
              </w:rPr>
              <w:t>1.16</w:t>
            </w:r>
          </w:p>
        </w:tc>
      </w:tr>
      <w:tr w:rsidR="00BF5608">
        <w:tc>
          <w:tcPr>
            <w:tcW w:w="0" w:type="auto"/>
            <w:vAlign w:val="center"/>
          </w:tcPr>
          <w:p w:rsidR="00BF5608" w:rsidRDefault="0015180F">
            <w:pPr>
              <w:jc w:val="center"/>
            </w:pPr>
            <w:r>
              <w:rPr>
                <w:rFonts w:asciiTheme="minorEastAsia" w:eastAsiaTheme="minorEastAsia" w:hAnsiTheme="minorEastAsia"/>
                <w:color w:val="000000" w:themeColor="text1"/>
                <w:sz w:val="24"/>
              </w:rPr>
              <w:t>10</w:t>
            </w:r>
          </w:p>
        </w:tc>
        <w:tc>
          <w:tcPr>
            <w:tcW w:w="0" w:type="auto"/>
            <w:vAlign w:val="center"/>
          </w:tcPr>
          <w:p w:rsidR="00BF5608" w:rsidRDefault="0015180F">
            <w:pPr>
              <w:jc w:val="center"/>
            </w:pPr>
            <w:r>
              <w:rPr>
                <w:rFonts w:asciiTheme="minorEastAsia" w:eastAsiaTheme="minorEastAsia" w:hAnsiTheme="minorEastAsia"/>
                <w:color w:val="000000" w:themeColor="text1"/>
                <w:sz w:val="24"/>
              </w:rPr>
              <w:t>012381081</w:t>
            </w:r>
          </w:p>
        </w:tc>
        <w:tc>
          <w:tcPr>
            <w:tcW w:w="0" w:type="auto"/>
            <w:vAlign w:val="center"/>
          </w:tcPr>
          <w:p w:rsidR="00BF5608" w:rsidRDefault="0015180F">
            <w:pPr>
              <w:jc w:val="center"/>
            </w:pPr>
            <w:r>
              <w:rPr>
                <w:rFonts w:asciiTheme="minorEastAsia" w:eastAsiaTheme="minorEastAsia" w:hAnsiTheme="minorEastAsia"/>
                <w:color w:val="000000" w:themeColor="text1"/>
                <w:sz w:val="24"/>
              </w:rPr>
              <w:t>23中广核SCP001</w:t>
            </w:r>
          </w:p>
        </w:tc>
        <w:tc>
          <w:tcPr>
            <w:tcW w:w="0" w:type="auto"/>
            <w:vAlign w:val="center"/>
          </w:tcPr>
          <w:p w:rsidR="00BF5608" w:rsidRDefault="0015180F">
            <w:pPr>
              <w:jc w:val="right"/>
            </w:pPr>
            <w:r>
              <w:rPr>
                <w:rFonts w:asciiTheme="minorEastAsia" w:eastAsiaTheme="minorEastAsia" w:hAnsiTheme="minorEastAsia"/>
                <w:color w:val="000000" w:themeColor="text1"/>
                <w:sz w:val="24"/>
              </w:rPr>
              <w:t>900,000.00</w:t>
            </w:r>
          </w:p>
        </w:tc>
        <w:tc>
          <w:tcPr>
            <w:tcW w:w="0" w:type="auto"/>
            <w:vAlign w:val="center"/>
          </w:tcPr>
          <w:p w:rsidR="00BF5608" w:rsidRDefault="0015180F">
            <w:pPr>
              <w:jc w:val="right"/>
            </w:pPr>
            <w:r>
              <w:rPr>
                <w:rFonts w:asciiTheme="minorEastAsia" w:eastAsiaTheme="minorEastAsia" w:hAnsiTheme="minorEastAsia"/>
                <w:color w:val="000000" w:themeColor="text1"/>
                <w:sz w:val="24"/>
              </w:rPr>
              <w:t>90,860,940.76</w:t>
            </w:r>
          </w:p>
        </w:tc>
        <w:tc>
          <w:tcPr>
            <w:tcW w:w="0" w:type="auto"/>
            <w:vAlign w:val="center"/>
          </w:tcPr>
          <w:p w:rsidR="00BF5608" w:rsidRDefault="0015180F">
            <w:pPr>
              <w:jc w:val="right"/>
            </w:pPr>
            <w:r>
              <w:rPr>
                <w:rFonts w:asciiTheme="minorEastAsia" w:eastAsiaTheme="minorEastAsia" w:hAnsiTheme="minorEastAsia"/>
                <w:color w:val="000000" w:themeColor="text1"/>
                <w:sz w:val="24"/>
              </w:rPr>
              <w:t>1.07</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5.7 </w:t>
      </w:r>
      <w:r>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4A0" w:firstRow="1" w:lastRow="0" w:firstColumn="1" w:lastColumn="0" w:noHBand="0" w:noVBand="1"/>
      </w:tblPr>
      <w:tblGrid>
        <w:gridCol w:w="5812"/>
        <w:gridCol w:w="3382"/>
      </w:tblGrid>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偏离情况</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报告期内偏离度的绝对值在</w:t>
            </w:r>
            <w:r>
              <w:rPr>
                <w:rFonts w:asciiTheme="minorEastAsia" w:eastAsiaTheme="minorEastAsia" w:hAnsiTheme="minorEastAsia" w:cs="Arial"/>
                <w:color w:val="000000" w:themeColor="text1"/>
                <w:kern w:val="0"/>
                <w:sz w:val="24"/>
              </w:rPr>
              <w:t>0.25(</w:t>
            </w:r>
            <w:r>
              <w:rPr>
                <w:rFonts w:asciiTheme="minorEastAsia" w:eastAsiaTheme="minorEastAsia" w:hAnsiTheme="minorEastAsia" w:cs="Arial" w:hint="eastAsia"/>
                <w:color w:val="000000" w:themeColor="text1"/>
                <w:kern w:val="0"/>
                <w:sz w:val="24"/>
              </w:rPr>
              <w:t>含</w:t>
            </w:r>
            <w:r>
              <w:rPr>
                <w:rFonts w:asciiTheme="minorEastAsia" w:eastAsiaTheme="minorEastAsia" w:hAnsiTheme="minorEastAsia" w:cs="Arial"/>
                <w:color w:val="000000" w:themeColor="text1"/>
                <w:kern w:val="0"/>
                <w:sz w:val="24"/>
              </w:rPr>
              <w:t>)-0.5%</w:t>
            </w:r>
            <w:r>
              <w:rPr>
                <w:rFonts w:asciiTheme="minorEastAsia" w:eastAsiaTheme="minorEastAsia" w:hAnsiTheme="minorEastAsia" w:cs="Arial" w:hint="eastAsia"/>
                <w:color w:val="000000" w:themeColor="text1"/>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次</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0.0543%</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-0.0334%</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报告期内每个工作日偏离度的绝对值的简单平均值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0.0364%</w:t>
            </w:r>
          </w:p>
        </w:tc>
      </w:tr>
    </w:tbl>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报告期内负偏离度的绝对值达到0.25%情况说明</w:t>
      </w:r>
    </w:p>
    <w:p w:rsidR="00DA315C" w:rsidRDefault="00CC2E83" w:rsidP="001B75F9">
      <w:pPr>
        <w:autoSpaceDE w:val="0"/>
        <w:autoSpaceDN w:val="0"/>
        <w:adjustRightInd w:val="0"/>
        <w:spacing w:beforeLines="50" w:before="120" w:line="360" w:lineRule="auto"/>
        <w:ind w:firstLineChars="200" w:firstLine="480"/>
        <w:jc w:val="left"/>
        <w:rPr>
          <w:color w:val="000000"/>
          <w:sz w:val="24"/>
        </w:rPr>
      </w:pPr>
      <w:r>
        <w:rPr>
          <w:color w:val="000000"/>
          <w:sz w:val="24"/>
        </w:rPr>
        <w:t>本报告期未发生负偏离度的绝对值达到</w:t>
      </w:r>
      <w:r>
        <w:rPr>
          <w:color w:val="000000"/>
          <w:sz w:val="24"/>
        </w:rPr>
        <w:t>0.25%</w:t>
      </w:r>
      <w:r>
        <w:rPr>
          <w:color w:val="000000"/>
          <w:sz w:val="24"/>
        </w:rPr>
        <w:t>的情况。</w:t>
      </w:r>
    </w:p>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报告期内正偏离度的绝对值达到0.5%情况说明</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s="Arial"/>
          <w:color w:val="000000" w:themeColor="text1"/>
          <w:kern w:val="0"/>
          <w:sz w:val="24"/>
        </w:rPr>
      </w:pPr>
      <w:r>
        <w:rPr>
          <w:color w:val="000000"/>
          <w:sz w:val="24"/>
        </w:rPr>
        <w:t>本报告期未发生正偏离度的绝对值达到</w:t>
      </w:r>
      <w:r>
        <w:rPr>
          <w:color w:val="000000"/>
          <w:sz w:val="24"/>
        </w:rPr>
        <w:t>0.5%</w:t>
      </w:r>
      <w:r>
        <w:rPr>
          <w:color w:val="000000"/>
          <w:sz w:val="24"/>
        </w:rPr>
        <w:t>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lastRenderedPageBreak/>
        <w:t xml:space="preserve">5.8 </w:t>
      </w:r>
      <w:r>
        <w:rPr>
          <w:rFonts w:asciiTheme="minorEastAsia" w:eastAsiaTheme="minorEastAsia" w:hAnsiTheme="minorEastAsia" w:cs="Arial" w:hint="eastAsia"/>
          <w:b/>
          <w:color w:val="000000" w:themeColor="text1"/>
          <w:kern w:val="0"/>
          <w:sz w:val="24"/>
        </w:rPr>
        <w:t>报告期末按摊余成本占基金资产净值比例大小排名的前十名资产支持证券投资明细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DA315C" w:rsidRDefault="00CC2E83" w:rsidP="000515FA">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9</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DA315C" w:rsidRDefault="00CC2E83">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w:t>
      </w:r>
      <w:r>
        <w:rPr>
          <w:rFonts w:asciiTheme="minorEastAsia" w:eastAsiaTheme="minorEastAsia" w:hAnsiTheme="minorEastAsia"/>
          <w:b/>
          <w:color w:val="000000" w:themeColor="text1"/>
          <w:sz w:val="24"/>
        </w:rPr>
        <w:t xml:space="preserve"> </w:t>
      </w:r>
      <w:r>
        <w:rPr>
          <w:rFonts w:asciiTheme="minorEastAsia" w:eastAsiaTheme="minorEastAsia" w:hAnsiTheme="minorEastAsia" w:hint="eastAsia"/>
          <w:b/>
          <w:color w:val="000000" w:themeColor="text1"/>
          <w:sz w:val="24"/>
        </w:rPr>
        <w:t>基金计价方法说明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DA315C" w:rsidRDefault="00CC2E83" w:rsidP="00DE0807">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sz w:val="24"/>
        </w:rPr>
        <w:t xml:space="preserve">5.9.2 </w:t>
      </w:r>
      <w:r>
        <w:rPr>
          <w:rFonts w:asciiTheme="minorEastAsia" w:eastAsiaTheme="minorEastAsia" w:hAnsiTheme="minorEastAsia"/>
          <w:color w:val="000000" w:themeColor="text1"/>
          <w:sz w:val="24"/>
        </w:rPr>
        <w:t>本基金投资的前十名证券的发行主体本期没有出现被监管部门立案调查，或在报告编制日前一年内受到公开谴责、处罚的情形。</w:t>
      </w:r>
    </w:p>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3</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其他资产构成</w:t>
      </w:r>
    </w:p>
    <w:tbl>
      <w:tblPr>
        <w:tblStyle w:val="af2"/>
        <w:tblW w:w="0" w:type="auto"/>
        <w:tblInd w:w="17" w:type="dxa"/>
        <w:tblLayout w:type="fixed"/>
        <w:tblLook w:val="04A0" w:firstRow="1" w:lastRow="0" w:firstColumn="1" w:lastColumn="0" w:noHBand="0" w:noVBand="1"/>
      </w:tblPr>
      <w:tblGrid>
        <w:gridCol w:w="942"/>
        <w:gridCol w:w="3535"/>
        <w:gridCol w:w="4808"/>
      </w:tblGrid>
      <w:tr w:rsidR="00DA315C">
        <w:tc>
          <w:tcPr>
            <w:tcW w:w="942"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序号</w:t>
            </w:r>
          </w:p>
        </w:tc>
        <w:tc>
          <w:tcPr>
            <w:tcW w:w="3535"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名称</w:t>
            </w:r>
          </w:p>
        </w:tc>
        <w:tc>
          <w:tcPr>
            <w:tcW w:w="4808"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金额(元)</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14,577.82</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32,804,038.43</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待摊费用</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32,818,616.25</w:t>
            </w:r>
          </w:p>
        </w:tc>
      </w:tr>
    </w:tbl>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4</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投资组合报告附注的其他文字描述部分</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因四舍五入原因，投资组合报告中分项之和与合计可能存在尾差。</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6  </w:t>
      </w:r>
      <w:r>
        <w:rPr>
          <w:rFonts w:asciiTheme="minorEastAsia" w:eastAsiaTheme="minorEastAsia" w:hAnsiTheme="minorEastAsia" w:cs="Arial" w:hint="eastAsia"/>
          <w:color w:val="000000" w:themeColor="text1"/>
          <w:kern w:val="0"/>
          <w:sz w:val="24"/>
          <w:szCs w:val="24"/>
        </w:rPr>
        <w:t>开放式基金份额变动</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单位：份</w:t>
      </w:r>
    </w:p>
    <w:tbl>
      <w:tblPr>
        <w:tblStyle w:val="af2"/>
        <w:tblW w:w="0" w:type="auto"/>
        <w:tblLayout w:type="fixed"/>
        <w:tblLook w:val="04A0" w:firstRow="1" w:lastRow="0" w:firstColumn="1" w:lastColumn="0" w:noHBand="0" w:noVBand="1"/>
      </w:tblPr>
      <w:tblGrid>
        <w:gridCol w:w="1860"/>
        <w:gridCol w:w="1860"/>
        <w:gridCol w:w="1860"/>
        <w:gridCol w:w="1861"/>
        <w:gridCol w:w="1861"/>
      </w:tblGrid>
      <w:tr w:rsidR="00DA315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kern w:val="0"/>
                <w:sz w:val="24"/>
              </w:rPr>
              <w:lastRenderedPageBreak/>
              <w:t>项目</w:t>
            </w:r>
          </w:p>
        </w:t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摩根天添盈货币A类</w:t>
            </w:r>
          </w:p>
        </w:tc>
        <w:tc>
          <w:tcPr>
            <w:tcW w:w="1860"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摩根天添盈货币B类</w:t>
            </w:r>
          </w:p>
        </w:tc>
        <w:tc>
          <w:tcPr>
            <w:tcW w:w="1861"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摩根天添盈货币E类</w:t>
            </w:r>
          </w:p>
        </w:tc>
        <w:tc>
          <w:tcPr>
            <w:tcW w:w="1861" w:type="dxa"/>
          </w:tcPr>
          <w:p w:rsidR="00DA315C" w:rsidRDefault="00050540" w:rsidP="0047722E">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47722E">
        <w:tc>
          <w:tcPr>
            <w:tcW w:w="1860" w:type="dxa"/>
            <w:vAlign w:val="center"/>
          </w:tcPr>
          <w:p w:rsidR="00DA315C" w:rsidRDefault="00CC2E83">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报告期期初基金份额总额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5,321,422,574.64</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2,961,617,782.42</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102,438.14</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基金总申购份额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278,335,879.10</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3,396,268,460.88</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171,538.50</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基金总赎回份额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341,230,529.61</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3,135,244,296.05</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90,777.95</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宋体" w:hAnsi="宋体" w:hint="eastAsia"/>
                <w:color w:val="000000" w:themeColor="text1"/>
                <w:sz w:val="24"/>
              </w:rPr>
              <w:t>报告期期末基金份额总额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5,258,527,924.13</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3,222,641,947.25</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183,198.69</w:t>
            </w:r>
          </w:p>
        </w:tc>
      </w:tr>
    </w:tbl>
    <w:p w:rsidR="00DA315C" w:rsidRDefault="00CC2E83" w:rsidP="00FC703D">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§7  基金管理人运用固有资金投资本基金交易明细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w:t>
      </w:r>
      <w:r>
        <w:rPr>
          <w:rFonts w:asciiTheme="minorEastAsia" w:eastAsiaTheme="minorEastAsia" w:hAnsiTheme="minorEastAsia" w:cs="Arial"/>
          <w:color w:val="000000" w:themeColor="text1"/>
          <w:kern w:val="0"/>
          <w:sz w:val="24"/>
          <w:szCs w:val="24"/>
        </w:rPr>
        <w:t>备查文件目录</w:t>
      </w:r>
    </w:p>
    <w:p w:rsidR="00DA315C" w:rsidRDefault="00CC2E83" w:rsidP="009E6F6D">
      <w:pPr>
        <w:autoSpaceDE w:val="0"/>
        <w:autoSpaceDN w:val="0"/>
        <w:adjustRightInd w:val="0"/>
        <w:spacing w:beforeLines="50" w:before="120" w:line="360" w:lineRule="auto"/>
        <w:jc w:val="left"/>
        <w:rPr>
          <w:rFonts w:asciiTheme="minorEastAsia" w:eastAsiaTheme="minorEastAsia" w:hAnsiTheme="minorEastAsia"/>
          <w:b/>
          <w:bCs/>
          <w:color w:val="000000" w:themeColor="text1"/>
          <w:kern w:val="0"/>
          <w:sz w:val="24"/>
        </w:rPr>
      </w:pPr>
      <w:r w:rsidRPr="00922237">
        <w:rPr>
          <w:rFonts w:eastAsiaTheme="minorEastAsia"/>
          <w:b/>
          <w:color w:val="000000" w:themeColor="text1"/>
          <w:kern w:val="0"/>
          <w:sz w:val="24"/>
        </w:rPr>
        <w:t>8</w:t>
      </w:r>
      <w:r w:rsidRPr="00922237">
        <w:rPr>
          <w:rFonts w:eastAsiaTheme="minorEastAsia"/>
          <w:b/>
          <w:bCs/>
          <w:color w:val="000000" w:themeColor="text1"/>
          <w:kern w:val="0"/>
          <w:sz w:val="24"/>
        </w:rPr>
        <w:t>.1</w:t>
      </w:r>
      <w:r>
        <w:rPr>
          <w:rFonts w:asciiTheme="minorEastAsia" w:eastAsiaTheme="minorEastAsia" w:hAnsiTheme="minorEastAsia" w:hint="eastAsia"/>
          <w:b/>
          <w:bCs/>
          <w:color w:val="000000" w:themeColor="text1"/>
          <w:kern w:val="0"/>
          <w:sz w:val="24"/>
        </w:rPr>
        <w:t>备查文件目录</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 中国证监会批准本基金募集的文件</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  摩根天添盈货币市场基金基金合同</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 摩根天添盈货币市场基金托管协议</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 法律意见书</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 基金管理人业务资格批件、营业执照</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 基金托管人业务资格批件、营业执照</w:t>
      </w:r>
    </w:p>
    <w:p w:rsidR="00BF5608" w:rsidRDefault="0015180F">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(七) 摩根基金管理（中国）有限公司开放式基金业务规则</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(八) 中国证监会要求的其他文件</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.2</w:t>
      </w:r>
      <w:r w:rsidRPr="00922237">
        <w:rPr>
          <w:rFonts w:eastAsiaTheme="minorEastAsia" w:hint="eastAsia"/>
          <w:b/>
          <w:color w:val="000000" w:themeColor="text1"/>
          <w:kern w:val="0"/>
          <w:sz w:val="24"/>
        </w:rPr>
        <w:t>存放地点</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基金管理人或基金托管人处。</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lastRenderedPageBreak/>
        <w:t>8</w:t>
      </w:r>
      <w:r w:rsidRPr="00922237">
        <w:rPr>
          <w:rFonts w:eastAsiaTheme="minorEastAsia"/>
          <w:b/>
          <w:color w:val="000000" w:themeColor="text1"/>
          <w:kern w:val="0"/>
          <w:sz w:val="24"/>
        </w:rPr>
        <w:t>.3</w:t>
      </w:r>
      <w:r w:rsidRPr="00922237">
        <w:rPr>
          <w:rFonts w:eastAsiaTheme="minorEastAsia" w:hint="eastAsia"/>
          <w:b/>
          <w:color w:val="000000" w:themeColor="text1"/>
          <w:kern w:val="0"/>
          <w:sz w:val="24"/>
        </w:rPr>
        <w:t>查阅方式</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摩根基金管理（中国）有限公司</w:t>
      </w: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二〇二三年十月二十五日</w:t>
      </w:r>
    </w:p>
    <w:sectPr w:rsidR="00DA315C">
      <w:pgSz w:w="11926" w:h="15840"/>
      <w:pgMar w:top="1420" w:right="1420" w:bottom="852" w:left="14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C9" w:rsidRDefault="007C4DC9">
      <w:r>
        <w:separator/>
      </w:r>
    </w:p>
  </w:endnote>
  <w:endnote w:type="continuationSeparator" w:id="0">
    <w:p w:rsidR="007C4DC9" w:rsidRDefault="007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Pr="00453C41" w:rsidRDefault="007753E9" w:rsidP="00453C41">
    <w:pPr>
      <w:pStyle w:val="ab"/>
      <w:jc w:val="center"/>
      <w:rPr>
        <w:caps/>
        <w:color w:val="000000" w:themeColor="text1"/>
      </w:rPr>
    </w:pPr>
    <w:r w:rsidRPr="00453C41">
      <w:rPr>
        <w:caps/>
        <w:color w:val="000000" w:themeColor="text1"/>
      </w:rPr>
      <w:fldChar w:fldCharType="begin"/>
    </w:r>
    <w:r w:rsidRPr="00453C41">
      <w:rPr>
        <w:caps/>
        <w:color w:val="000000" w:themeColor="text1"/>
      </w:rPr>
      <w:instrText>PAGE   \* MERGEFORMAT</w:instrText>
    </w:r>
    <w:r w:rsidRPr="00453C41">
      <w:rPr>
        <w:caps/>
        <w:color w:val="000000" w:themeColor="text1"/>
      </w:rPr>
      <w:fldChar w:fldCharType="separate"/>
    </w:r>
    <w:r w:rsidR="00547D83" w:rsidRPr="00547D83">
      <w:rPr>
        <w:caps/>
        <w:noProof/>
        <w:color w:val="000000" w:themeColor="text1"/>
        <w:lang w:val="zh-CN"/>
      </w:rPr>
      <w:t>18</w:t>
    </w:r>
    <w:r w:rsidRPr="00453C41">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C9" w:rsidRDefault="007C4DC9">
      <w:r>
        <w:separator/>
      </w:r>
    </w:p>
  </w:footnote>
  <w:footnote w:type="continuationSeparator" w:id="0">
    <w:p w:rsidR="007C4DC9" w:rsidRDefault="007C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Default="007753E9">
    <w:pPr>
      <w:pStyle w:val="ad"/>
      <w:pBdr>
        <w:bottom w:val="single" w:sz="6" w:space="0" w:color="auto"/>
      </w:pBdr>
      <w:jc w:val="right"/>
    </w:pPr>
    <w:r>
      <w:rPr>
        <w:sz w:val="21"/>
        <w:szCs w:val="21"/>
      </w:rPr>
      <w:t>摩根天添盈货币市场基金</w:t>
    </w:r>
    <w:r>
      <w:rPr>
        <w:sz w:val="21"/>
        <w:szCs w:val="21"/>
      </w:rPr>
      <w:t>2023</w:t>
    </w:r>
    <w:r>
      <w:rPr>
        <w:sz w:val="21"/>
        <w:szCs w:val="21"/>
      </w:rPr>
      <w:t>年第</w:t>
    </w:r>
    <w:r>
      <w:rPr>
        <w:sz w:val="21"/>
        <w:szCs w:val="21"/>
      </w:rPr>
      <w:t>3</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2B9"/>
    <w:rsid w:val="000028CE"/>
    <w:rsid w:val="00004DE7"/>
    <w:rsid w:val="00005433"/>
    <w:rsid w:val="0001552D"/>
    <w:rsid w:val="0001566B"/>
    <w:rsid w:val="0002085F"/>
    <w:rsid w:val="00025C5D"/>
    <w:rsid w:val="00035596"/>
    <w:rsid w:val="000417E0"/>
    <w:rsid w:val="0004414C"/>
    <w:rsid w:val="00044724"/>
    <w:rsid w:val="00050540"/>
    <w:rsid w:val="000515FA"/>
    <w:rsid w:val="00052CA4"/>
    <w:rsid w:val="00054470"/>
    <w:rsid w:val="0005518A"/>
    <w:rsid w:val="000570EB"/>
    <w:rsid w:val="00057115"/>
    <w:rsid w:val="00057D26"/>
    <w:rsid w:val="00063BA4"/>
    <w:rsid w:val="0006697D"/>
    <w:rsid w:val="00070092"/>
    <w:rsid w:val="00070319"/>
    <w:rsid w:val="0007109E"/>
    <w:rsid w:val="00072602"/>
    <w:rsid w:val="00075BBB"/>
    <w:rsid w:val="00075CA2"/>
    <w:rsid w:val="00076834"/>
    <w:rsid w:val="0007770D"/>
    <w:rsid w:val="00087DFE"/>
    <w:rsid w:val="000A0C86"/>
    <w:rsid w:val="000A225E"/>
    <w:rsid w:val="000A39AB"/>
    <w:rsid w:val="000A466F"/>
    <w:rsid w:val="000B2044"/>
    <w:rsid w:val="000B2266"/>
    <w:rsid w:val="000C469F"/>
    <w:rsid w:val="000D0F44"/>
    <w:rsid w:val="000D6294"/>
    <w:rsid w:val="000E0F6E"/>
    <w:rsid w:val="000E5D62"/>
    <w:rsid w:val="000E6158"/>
    <w:rsid w:val="000F3C21"/>
    <w:rsid w:val="000F4826"/>
    <w:rsid w:val="000F5947"/>
    <w:rsid w:val="00101278"/>
    <w:rsid w:val="00102307"/>
    <w:rsid w:val="001038EF"/>
    <w:rsid w:val="00103B93"/>
    <w:rsid w:val="001074D6"/>
    <w:rsid w:val="00113777"/>
    <w:rsid w:val="00114C97"/>
    <w:rsid w:val="00117063"/>
    <w:rsid w:val="00123E37"/>
    <w:rsid w:val="001302DB"/>
    <w:rsid w:val="00136502"/>
    <w:rsid w:val="0015180F"/>
    <w:rsid w:val="00157B55"/>
    <w:rsid w:val="00162222"/>
    <w:rsid w:val="001635C7"/>
    <w:rsid w:val="00166734"/>
    <w:rsid w:val="001669F2"/>
    <w:rsid w:val="001705A7"/>
    <w:rsid w:val="0017387C"/>
    <w:rsid w:val="001822D3"/>
    <w:rsid w:val="0018401C"/>
    <w:rsid w:val="00185622"/>
    <w:rsid w:val="00186667"/>
    <w:rsid w:val="00191B28"/>
    <w:rsid w:val="00193BCF"/>
    <w:rsid w:val="00195C6F"/>
    <w:rsid w:val="00196812"/>
    <w:rsid w:val="00197ED0"/>
    <w:rsid w:val="001A2524"/>
    <w:rsid w:val="001A784C"/>
    <w:rsid w:val="001B42BE"/>
    <w:rsid w:val="001B43B0"/>
    <w:rsid w:val="001B72D6"/>
    <w:rsid w:val="001B75F9"/>
    <w:rsid w:val="001B7CC6"/>
    <w:rsid w:val="001C5D80"/>
    <w:rsid w:val="001D0D4C"/>
    <w:rsid w:val="001D0DB0"/>
    <w:rsid w:val="001D3FAC"/>
    <w:rsid w:val="001D65C8"/>
    <w:rsid w:val="001D6ECD"/>
    <w:rsid w:val="001D75D9"/>
    <w:rsid w:val="001E0DDA"/>
    <w:rsid w:val="001F0286"/>
    <w:rsid w:val="0020640F"/>
    <w:rsid w:val="0021251E"/>
    <w:rsid w:val="00220437"/>
    <w:rsid w:val="00222C78"/>
    <w:rsid w:val="00232095"/>
    <w:rsid w:val="00233014"/>
    <w:rsid w:val="002331D9"/>
    <w:rsid w:val="0024424F"/>
    <w:rsid w:val="002507FE"/>
    <w:rsid w:val="002525C7"/>
    <w:rsid w:val="002611C3"/>
    <w:rsid w:val="002622E8"/>
    <w:rsid w:val="00267283"/>
    <w:rsid w:val="0027189B"/>
    <w:rsid w:val="00274FAC"/>
    <w:rsid w:val="00275552"/>
    <w:rsid w:val="002A4B7F"/>
    <w:rsid w:val="002B45A4"/>
    <w:rsid w:val="002C5792"/>
    <w:rsid w:val="002D3ADF"/>
    <w:rsid w:val="002E040C"/>
    <w:rsid w:val="002E0F4A"/>
    <w:rsid w:val="002F0E9D"/>
    <w:rsid w:val="002F1496"/>
    <w:rsid w:val="002F6539"/>
    <w:rsid w:val="00307062"/>
    <w:rsid w:val="003111AC"/>
    <w:rsid w:val="00311ADA"/>
    <w:rsid w:val="00311AEB"/>
    <w:rsid w:val="00320893"/>
    <w:rsid w:val="00322B07"/>
    <w:rsid w:val="0032323A"/>
    <w:rsid w:val="00323377"/>
    <w:rsid w:val="00327FB0"/>
    <w:rsid w:val="0033599F"/>
    <w:rsid w:val="00340292"/>
    <w:rsid w:val="00340456"/>
    <w:rsid w:val="00340C3A"/>
    <w:rsid w:val="00341CFF"/>
    <w:rsid w:val="00343648"/>
    <w:rsid w:val="00343AF0"/>
    <w:rsid w:val="00346359"/>
    <w:rsid w:val="00346B82"/>
    <w:rsid w:val="0035022C"/>
    <w:rsid w:val="0035215C"/>
    <w:rsid w:val="00362E2A"/>
    <w:rsid w:val="00371E26"/>
    <w:rsid w:val="00373AAB"/>
    <w:rsid w:val="0038256C"/>
    <w:rsid w:val="00383631"/>
    <w:rsid w:val="00384942"/>
    <w:rsid w:val="00394455"/>
    <w:rsid w:val="00394BC1"/>
    <w:rsid w:val="003A0EC1"/>
    <w:rsid w:val="003A1E1E"/>
    <w:rsid w:val="003A2922"/>
    <w:rsid w:val="003B36B4"/>
    <w:rsid w:val="003B6DC6"/>
    <w:rsid w:val="003C0E8C"/>
    <w:rsid w:val="003C1137"/>
    <w:rsid w:val="003C3FA7"/>
    <w:rsid w:val="003C495A"/>
    <w:rsid w:val="003D1ECF"/>
    <w:rsid w:val="003D21F4"/>
    <w:rsid w:val="003D6A07"/>
    <w:rsid w:val="003E14FE"/>
    <w:rsid w:val="003E565B"/>
    <w:rsid w:val="003F43EB"/>
    <w:rsid w:val="003F5616"/>
    <w:rsid w:val="00402654"/>
    <w:rsid w:val="00403ED2"/>
    <w:rsid w:val="00413748"/>
    <w:rsid w:val="004250C5"/>
    <w:rsid w:val="00425438"/>
    <w:rsid w:val="00433C1E"/>
    <w:rsid w:val="004369B0"/>
    <w:rsid w:val="00440828"/>
    <w:rsid w:val="004417A1"/>
    <w:rsid w:val="0044257C"/>
    <w:rsid w:val="00446474"/>
    <w:rsid w:val="00446F8F"/>
    <w:rsid w:val="004527E3"/>
    <w:rsid w:val="00452D31"/>
    <w:rsid w:val="00453C41"/>
    <w:rsid w:val="00455AA7"/>
    <w:rsid w:val="00460000"/>
    <w:rsid w:val="004600C4"/>
    <w:rsid w:val="00461A70"/>
    <w:rsid w:val="004664C1"/>
    <w:rsid w:val="004702DF"/>
    <w:rsid w:val="00470F55"/>
    <w:rsid w:val="00471444"/>
    <w:rsid w:val="00473E10"/>
    <w:rsid w:val="00473EC9"/>
    <w:rsid w:val="00474563"/>
    <w:rsid w:val="00474896"/>
    <w:rsid w:val="004771B9"/>
    <w:rsid w:val="0047722E"/>
    <w:rsid w:val="0048754A"/>
    <w:rsid w:val="004950A3"/>
    <w:rsid w:val="0049568D"/>
    <w:rsid w:val="00496B2E"/>
    <w:rsid w:val="004A0C6B"/>
    <w:rsid w:val="004A2432"/>
    <w:rsid w:val="004A2C47"/>
    <w:rsid w:val="004A357E"/>
    <w:rsid w:val="004A40AA"/>
    <w:rsid w:val="004A46A0"/>
    <w:rsid w:val="004A5B68"/>
    <w:rsid w:val="004B1C09"/>
    <w:rsid w:val="004C5B7C"/>
    <w:rsid w:val="004D22E1"/>
    <w:rsid w:val="004D51CC"/>
    <w:rsid w:val="004D72C7"/>
    <w:rsid w:val="004E041A"/>
    <w:rsid w:val="004E3452"/>
    <w:rsid w:val="004E4E63"/>
    <w:rsid w:val="004F02D6"/>
    <w:rsid w:val="00500487"/>
    <w:rsid w:val="005065A0"/>
    <w:rsid w:val="00506EF6"/>
    <w:rsid w:val="005141F5"/>
    <w:rsid w:val="0051505A"/>
    <w:rsid w:val="00515166"/>
    <w:rsid w:val="0051578D"/>
    <w:rsid w:val="005212AE"/>
    <w:rsid w:val="00525B26"/>
    <w:rsid w:val="00532457"/>
    <w:rsid w:val="00533490"/>
    <w:rsid w:val="00543561"/>
    <w:rsid w:val="0054464B"/>
    <w:rsid w:val="00546747"/>
    <w:rsid w:val="0054785C"/>
    <w:rsid w:val="00547D83"/>
    <w:rsid w:val="00551447"/>
    <w:rsid w:val="00555883"/>
    <w:rsid w:val="00560F94"/>
    <w:rsid w:val="00562319"/>
    <w:rsid w:val="005633AD"/>
    <w:rsid w:val="00564C24"/>
    <w:rsid w:val="00570F8C"/>
    <w:rsid w:val="00575970"/>
    <w:rsid w:val="00582960"/>
    <w:rsid w:val="0059170A"/>
    <w:rsid w:val="00591BF0"/>
    <w:rsid w:val="00592D0A"/>
    <w:rsid w:val="00594DCA"/>
    <w:rsid w:val="00595285"/>
    <w:rsid w:val="005A60B7"/>
    <w:rsid w:val="005B238D"/>
    <w:rsid w:val="005B527B"/>
    <w:rsid w:val="005C251D"/>
    <w:rsid w:val="005D1BAF"/>
    <w:rsid w:val="005D596C"/>
    <w:rsid w:val="005D6807"/>
    <w:rsid w:val="005E05CC"/>
    <w:rsid w:val="005E2087"/>
    <w:rsid w:val="005E2D8C"/>
    <w:rsid w:val="005E6FA5"/>
    <w:rsid w:val="005F17EC"/>
    <w:rsid w:val="005F41D2"/>
    <w:rsid w:val="005F668B"/>
    <w:rsid w:val="005F6B28"/>
    <w:rsid w:val="00607204"/>
    <w:rsid w:val="00613327"/>
    <w:rsid w:val="00614726"/>
    <w:rsid w:val="00614961"/>
    <w:rsid w:val="006214E4"/>
    <w:rsid w:val="006254A5"/>
    <w:rsid w:val="0062678E"/>
    <w:rsid w:val="006317E8"/>
    <w:rsid w:val="00632417"/>
    <w:rsid w:val="0063302E"/>
    <w:rsid w:val="00633177"/>
    <w:rsid w:val="006331F2"/>
    <w:rsid w:val="00636261"/>
    <w:rsid w:val="00636B17"/>
    <w:rsid w:val="0064191E"/>
    <w:rsid w:val="006452E9"/>
    <w:rsid w:val="00664834"/>
    <w:rsid w:val="00672BEF"/>
    <w:rsid w:val="00673BA5"/>
    <w:rsid w:val="006911A1"/>
    <w:rsid w:val="00694FDC"/>
    <w:rsid w:val="006A1E40"/>
    <w:rsid w:val="006A2D00"/>
    <w:rsid w:val="006B4965"/>
    <w:rsid w:val="006B4C67"/>
    <w:rsid w:val="006B56E1"/>
    <w:rsid w:val="006B69FA"/>
    <w:rsid w:val="006D27DD"/>
    <w:rsid w:val="006D4647"/>
    <w:rsid w:val="006D4C22"/>
    <w:rsid w:val="006E4EB5"/>
    <w:rsid w:val="006F1C55"/>
    <w:rsid w:val="006F3CEE"/>
    <w:rsid w:val="006F622C"/>
    <w:rsid w:val="00707CB2"/>
    <w:rsid w:val="00710487"/>
    <w:rsid w:val="00714B3D"/>
    <w:rsid w:val="00714FD1"/>
    <w:rsid w:val="007254F2"/>
    <w:rsid w:val="007277D1"/>
    <w:rsid w:val="00727EA0"/>
    <w:rsid w:val="0073105A"/>
    <w:rsid w:val="00734B8E"/>
    <w:rsid w:val="00737060"/>
    <w:rsid w:val="00741288"/>
    <w:rsid w:val="0074455F"/>
    <w:rsid w:val="007521F9"/>
    <w:rsid w:val="00756489"/>
    <w:rsid w:val="00756EA2"/>
    <w:rsid w:val="00757F37"/>
    <w:rsid w:val="007600BC"/>
    <w:rsid w:val="00762326"/>
    <w:rsid w:val="00762E87"/>
    <w:rsid w:val="00764CF7"/>
    <w:rsid w:val="0077198B"/>
    <w:rsid w:val="007723FD"/>
    <w:rsid w:val="00772687"/>
    <w:rsid w:val="00774E1E"/>
    <w:rsid w:val="007753E9"/>
    <w:rsid w:val="00780252"/>
    <w:rsid w:val="007806BE"/>
    <w:rsid w:val="00782061"/>
    <w:rsid w:val="00785897"/>
    <w:rsid w:val="00785C32"/>
    <w:rsid w:val="007A1708"/>
    <w:rsid w:val="007B082A"/>
    <w:rsid w:val="007B1C3E"/>
    <w:rsid w:val="007C42E5"/>
    <w:rsid w:val="007C4DC9"/>
    <w:rsid w:val="007E0C02"/>
    <w:rsid w:val="007E5ADE"/>
    <w:rsid w:val="007F1DE3"/>
    <w:rsid w:val="007F7BD7"/>
    <w:rsid w:val="008056FA"/>
    <w:rsid w:val="008115B6"/>
    <w:rsid w:val="00813897"/>
    <w:rsid w:val="00814461"/>
    <w:rsid w:val="00824D84"/>
    <w:rsid w:val="00825EA5"/>
    <w:rsid w:val="00827710"/>
    <w:rsid w:val="00830EA7"/>
    <w:rsid w:val="00833555"/>
    <w:rsid w:val="008347B3"/>
    <w:rsid w:val="00834D9F"/>
    <w:rsid w:val="00835BDD"/>
    <w:rsid w:val="008379E2"/>
    <w:rsid w:val="00852119"/>
    <w:rsid w:val="0085498E"/>
    <w:rsid w:val="0086245E"/>
    <w:rsid w:val="00877329"/>
    <w:rsid w:val="00880EE6"/>
    <w:rsid w:val="00881BFD"/>
    <w:rsid w:val="00882323"/>
    <w:rsid w:val="00893021"/>
    <w:rsid w:val="0089560B"/>
    <w:rsid w:val="008B21BE"/>
    <w:rsid w:val="008B23BD"/>
    <w:rsid w:val="008C579A"/>
    <w:rsid w:val="008D0A39"/>
    <w:rsid w:val="008D55F2"/>
    <w:rsid w:val="008E3053"/>
    <w:rsid w:val="008E4638"/>
    <w:rsid w:val="008E6CBC"/>
    <w:rsid w:val="008E71D2"/>
    <w:rsid w:val="008F44F3"/>
    <w:rsid w:val="009004F7"/>
    <w:rsid w:val="009018CC"/>
    <w:rsid w:val="00902E3F"/>
    <w:rsid w:val="00903E98"/>
    <w:rsid w:val="009043CD"/>
    <w:rsid w:val="00904D59"/>
    <w:rsid w:val="00906C9B"/>
    <w:rsid w:val="00910FB5"/>
    <w:rsid w:val="00911C0E"/>
    <w:rsid w:val="009153D7"/>
    <w:rsid w:val="00922237"/>
    <w:rsid w:val="009223B5"/>
    <w:rsid w:val="00924D28"/>
    <w:rsid w:val="0094213C"/>
    <w:rsid w:val="0094236C"/>
    <w:rsid w:val="00943AFD"/>
    <w:rsid w:val="0096196D"/>
    <w:rsid w:val="00967986"/>
    <w:rsid w:val="0097021E"/>
    <w:rsid w:val="00971C19"/>
    <w:rsid w:val="00971D35"/>
    <w:rsid w:val="009720BF"/>
    <w:rsid w:val="00976A1A"/>
    <w:rsid w:val="00984794"/>
    <w:rsid w:val="0099296A"/>
    <w:rsid w:val="009965A5"/>
    <w:rsid w:val="009A56D7"/>
    <w:rsid w:val="009A755D"/>
    <w:rsid w:val="009B15FD"/>
    <w:rsid w:val="009B2693"/>
    <w:rsid w:val="009B3C3F"/>
    <w:rsid w:val="009B73A7"/>
    <w:rsid w:val="009B7B0C"/>
    <w:rsid w:val="009C1A42"/>
    <w:rsid w:val="009D067E"/>
    <w:rsid w:val="009D19C1"/>
    <w:rsid w:val="009D5CC1"/>
    <w:rsid w:val="009D60EB"/>
    <w:rsid w:val="009D74FC"/>
    <w:rsid w:val="009E07F4"/>
    <w:rsid w:val="009E2527"/>
    <w:rsid w:val="009E2BAA"/>
    <w:rsid w:val="009E3E0B"/>
    <w:rsid w:val="009E6F6D"/>
    <w:rsid w:val="009F14B0"/>
    <w:rsid w:val="009F480F"/>
    <w:rsid w:val="009F6951"/>
    <w:rsid w:val="00A01505"/>
    <w:rsid w:val="00A01DDC"/>
    <w:rsid w:val="00A1530B"/>
    <w:rsid w:val="00A16747"/>
    <w:rsid w:val="00A167A7"/>
    <w:rsid w:val="00A1694D"/>
    <w:rsid w:val="00A16D78"/>
    <w:rsid w:val="00A24DC0"/>
    <w:rsid w:val="00A42A96"/>
    <w:rsid w:val="00A455A0"/>
    <w:rsid w:val="00A45C1D"/>
    <w:rsid w:val="00A470D2"/>
    <w:rsid w:val="00A50D92"/>
    <w:rsid w:val="00A53D1D"/>
    <w:rsid w:val="00A62DD4"/>
    <w:rsid w:val="00A65A66"/>
    <w:rsid w:val="00A7219D"/>
    <w:rsid w:val="00A73E86"/>
    <w:rsid w:val="00A7669A"/>
    <w:rsid w:val="00A805BC"/>
    <w:rsid w:val="00A80F9F"/>
    <w:rsid w:val="00A81075"/>
    <w:rsid w:val="00A87550"/>
    <w:rsid w:val="00A95FA9"/>
    <w:rsid w:val="00AA34F4"/>
    <w:rsid w:val="00AA5B03"/>
    <w:rsid w:val="00AA68D4"/>
    <w:rsid w:val="00AB24CA"/>
    <w:rsid w:val="00AB373C"/>
    <w:rsid w:val="00AB5159"/>
    <w:rsid w:val="00AB5E54"/>
    <w:rsid w:val="00AC2B47"/>
    <w:rsid w:val="00AC3D9E"/>
    <w:rsid w:val="00AC6C3D"/>
    <w:rsid w:val="00AD1ADB"/>
    <w:rsid w:val="00AD2473"/>
    <w:rsid w:val="00AD2589"/>
    <w:rsid w:val="00AE17F1"/>
    <w:rsid w:val="00AE2FB9"/>
    <w:rsid w:val="00AE342F"/>
    <w:rsid w:val="00AE4F96"/>
    <w:rsid w:val="00AE6D9A"/>
    <w:rsid w:val="00AE7435"/>
    <w:rsid w:val="00AF2397"/>
    <w:rsid w:val="00AF27F9"/>
    <w:rsid w:val="00AF3D19"/>
    <w:rsid w:val="00B03B0B"/>
    <w:rsid w:val="00B040BC"/>
    <w:rsid w:val="00B0441A"/>
    <w:rsid w:val="00B044FC"/>
    <w:rsid w:val="00B06458"/>
    <w:rsid w:val="00B071B6"/>
    <w:rsid w:val="00B13B79"/>
    <w:rsid w:val="00B202AD"/>
    <w:rsid w:val="00B213AC"/>
    <w:rsid w:val="00B25119"/>
    <w:rsid w:val="00B27004"/>
    <w:rsid w:val="00B33F45"/>
    <w:rsid w:val="00B33FA5"/>
    <w:rsid w:val="00B415B8"/>
    <w:rsid w:val="00B420AC"/>
    <w:rsid w:val="00B4354A"/>
    <w:rsid w:val="00B54CC5"/>
    <w:rsid w:val="00B60E27"/>
    <w:rsid w:val="00B634E4"/>
    <w:rsid w:val="00B64D62"/>
    <w:rsid w:val="00B77C54"/>
    <w:rsid w:val="00B821DD"/>
    <w:rsid w:val="00B83944"/>
    <w:rsid w:val="00B94B49"/>
    <w:rsid w:val="00BA7AF1"/>
    <w:rsid w:val="00BB03CC"/>
    <w:rsid w:val="00BB252C"/>
    <w:rsid w:val="00BB5126"/>
    <w:rsid w:val="00BB7518"/>
    <w:rsid w:val="00BC0205"/>
    <w:rsid w:val="00BC14F5"/>
    <w:rsid w:val="00BC2146"/>
    <w:rsid w:val="00BD260A"/>
    <w:rsid w:val="00BD6918"/>
    <w:rsid w:val="00BE1FC8"/>
    <w:rsid w:val="00BE439F"/>
    <w:rsid w:val="00BE5584"/>
    <w:rsid w:val="00BF1111"/>
    <w:rsid w:val="00BF3886"/>
    <w:rsid w:val="00BF5608"/>
    <w:rsid w:val="00C009AF"/>
    <w:rsid w:val="00C2005E"/>
    <w:rsid w:val="00C205E4"/>
    <w:rsid w:val="00C2782D"/>
    <w:rsid w:val="00C3040F"/>
    <w:rsid w:val="00C31708"/>
    <w:rsid w:val="00C3368F"/>
    <w:rsid w:val="00C36C15"/>
    <w:rsid w:val="00C4213A"/>
    <w:rsid w:val="00C4371A"/>
    <w:rsid w:val="00C448EE"/>
    <w:rsid w:val="00C4568B"/>
    <w:rsid w:val="00C4627A"/>
    <w:rsid w:val="00C637D1"/>
    <w:rsid w:val="00C640B8"/>
    <w:rsid w:val="00C6722B"/>
    <w:rsid w:val="00C7033B"/>
    <w:rsid w:val="00C75870"/>
    <w:rsid w:val="00C83157"/>
    <w:rsid w:val="00C927D5"/>
    <w:rsid w:val="00C93BC9"/>
    <w:rsid w:val="00CA0730"/>
    <w:rsid w:val="00CA1C04"/>
    <w:rsid w:val="00CA3808"/>
    <w:rsid w:val="00CA55E0"/>
    <w:rsid w:val="00CA592F"/>
    <w:rsid w:val="00CA5BEB"/>
    <w:rsid w:val="00CA65DD"/>
    <w:rsid w:val="00CB0E8A"/>
    <w:rsid w:val="00CB2E1E"/>
    <w:rsid w:val="00CC05B9"/>
    <w:rsid w:val="00CC2E83"/>
    <w:rsid w:val="00CC3F83"/>
    <w:rsid w:val="00CC57FC"/>
    <w:rsid w:val="00CC712D"/>
    <w:rsid w:val="00CC7DB0"/>
    <w:rsid w:val="00CD5F24"/>
    <w:rsid w:val="00CD68BA"/>
    <w:rsid w:val="00CE0E18"/>
    <w:rsid w:val="00CE193A"/>
    <w:rsid w:val="00CE5ABB"/>
    <w:rsid w:val="00CE6A71"/>
    <w:rsid w:val="00CF6DF0"/>
    <w:rsid w:val="00CF7E28"/>
    <w:rsid w:val="00D02B35"/>
    <w:rsid w:val="00D06255"/>
    <w:rsid w:val="00D15D82"/>
    <w:rsid w:val="00D1705E"/>
    <w:rsid w:val="00D20E97"/>
    <w:rsid w:val="00D25602"/>
    <w:rsid w:val="00D27CF6"/>
    <w:rsid w:val="00D30BD3"/>
    <w:rsid w:val="00D33791"/>
    <w:rsid w:val="00D33BA8"/>
    <w:rsid w:val="00D33C76"/>
    <w:rsid w:val="00D364EB"/>
    <w:rsid w:val="00D36BE8"/>
    <w:rsid w:val="00D40363"/>
    <w:rsid w:val="00D451BC"/>
    <w:rsid w:val="00D51E96"/>
    <w:rsid w:val="00D568BB"/>
    <w:rsid w:val="00D63B9E"/>
    <w:rsid w:val="00D65D90"/>
    <w:rsid w:val="00D66016"/>
    <w:rsid w:val="00D769BA"/>
    <w:rsid w:val="00D8034F"/>
    <w:rsid w:val="00D81755"/>
    <w:rsid w:val="00D8617C"/>
    <w:rsid w:val="00D87D00"/>
    <w:rsid w:val="00D87E22"/>
    <w:rsid w:val="00D94E23"/>
    <w:rsid w:val="00DA1983"/>
    <w:rsid w:val="00DA2F1E"/>
    <w:rsid w:val="00DA315C"/>
    <w:rsid w:val="00DA5831"/>
    <w:rsid w:val="00DB2873"/>
    <w:rsid w:val="00DC4482"/>
    <w:rsid w:val="00DD5028"/>
    <w:rsid w:val="00DE0807"/>
    <w:rsid w:val="00DE6E8E"/>
    <w:rsid w:val="00DF1198"/>
    <w:rsid w:val="00E009CD"/>
    <w:rsid w:val="00E12082"/>
    <w:rsid w:val="00E17870"/>
    <w:rsid w:val="00E21589"/>
    <w:rsid w:val="00E24D9E"/>
    <w:rsid w:val="00E257C8"/>
    <w:rsid w:val="00E26581"/>
    <w:rsid w:val="00E2722E"/>
    <w:rsid w:val="00E31AA7"/>
    <w:rsid w:val="00E3447D"/>
    <w:rsid w:val="00E431CE"/>
    <w:rsid w:val="00E445F8"/>
    <w:rsid w:val="00E503E4"/>
    <w:rsid w:val="00E557D2"/>
    <w:rsid w:val="00E55E02"/>
    <w:rsid w:val="00E571C4"/>
    <w:rsid w:val="00E63B3D"/>
    <w:rsid w:val="00E64479"/>
    <w:rsid w:val="00E67D99"/>
    <w:rsid w:val="00E75556"/>
    <w:rsid w:val="00E75EFA"/>
    <w:rsid w:val="00E76F1F"/>
    <w:rsid w:val="00E80BE2"/>
    <w:rsid w:val="00E8309D"/>
    <w:rsid w:val="00E90A9C"/>
    <w:rsid w:val="00E93036"/>
    <w:rsid w:val="00E95356"/>
    <w:rsid w:val="00E966E5"/>
    <w:rsid w:val="00EA3D96"/>
    <w:rsid w:val="00EA6B69"/>
    <w:rsid w:val="00EA6B7B"/>
    <w:rsid w:val="00EB02DE"/>
    <w:rsid w:val="00EB19ED"/>
    <w:rsid w:val="00EB25E4"/>
    <w:rsid w:val="00EB3D8B"/>
    <w:rsid w:val="00EC08E7"/>
    <w:rsid w:val="00ED1B77"/>
    <w:rsid w:val="00ED5511"/>
    <w:rsid w:val="00ED57D1"/>
    <w:rsid w:val="00EE2837"/>
    <w:rsid w:val="00EF3B7C"/>
    <w:rsid w:val="00EF56FA"/>
    <w:rsid w:val="00EF5D52"/>
    <w:rsid w:val="00EF6216"/>
    <w:rsid w:val="00EF6E42"/>
    <w:rsid w:val="00F0613C"/>
    <w:rsid w:val="00F11244"/>
    <w:rsid w:val="00F1270F"/>
    <w:rsid w:val="00F14A7B"/>
    <w:rsid w:val="00F1658B"/>
    <w:rsid w:val="00F2540D"/>
    <w:rsid w:val="00F26602"/>
    <w:rsid w:val="00F31380"/>
    <w:rsid w:val="00F333BF"/>
    <w:rsid w:val="00F34499"/>
    <w:rsid w:val="00F406E3"/>
    <w:rsid w:val="00F40C82"/>
    <w:rsid w:val="00F42AD5"/>
    <w:rsid w:val="00F5114E"/>
    <w:rsid w:val="00F53B1A"/>
    <w:rsid w:val="00F54568"/>
    <w:rsid w:val="00F57249"/>
    <w:rsid w:val="00F62DE3"/>
    <w:rsid w:val="00F77131"/>
    <w:rsid w:val="00F82A7C"/>
    <w:rsid w:val="00F85D7E"/>
    <w:rsid w:val="00FA155C"/>
    <w:rsid w:val="00FA4C13"/>
    <w:rsid w:val="00FB0F77"/>
    <w:rsid w:val="00FB345F"/>
    <w:rsid w:val="00FB4DA5"/>
    <w:rsid w:val="00FB56E0"/>
    <w:rsid w:val="00FB6FB2"/>
    <w:rsid w:val="00FC57A1"/>
    <w:rsid w:val="00FC6D26"/>
    <w:rsid w:val="00FC703D"/>
    <w:rsid w:val="00FC77AA"/>
    <w:rsid w:val="00FD2A60"/>
    <w:rsid w:val="00FD3820"/>
    <w:rsid w:val="00FD3AE6"/>
    <w:rsid w:val="00FE6E6D"/>
    <w:rsid w:val="00FF0DAE"/>
    <w:rsid w:val="00FF3092"/>
    <w:rsid w:val="00FF4B06"/>
    <w:rsid w:val="0BD00F5F"/>
    <w:rsid w:val="43054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A2A7A989-CD6E-491D-BDA3-2ABCE68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Document Map"/>
    <w:basedOn w:val="a"/>
    <w:semiHidden/>
    <w:qFormat/>
    <w:pPr>
      <w:shd w:val="clear" w:color="auto" w:fill="000080"/>
    </w:pPr>
  </w:style>
  <w:style w:type="paragraph" w:styleId="a5">
    <w:name w:val="Plain Text"/>
    <w:basedOn w:val="a"/>
    <w:link w:val="a6"/>
    <w:uiPriority w:val="99"/>
    <w:qFormat/>
    <w:rPr>
      <w:rFonts w:ascii="宋体" w:hAnsi="Courier New"/>
      <w:szCs w:val="21"/>
    </w:rPr>
  </w:style>
  <w:style w:type="paragraph" w:styleId="a7">
    <w:name w:val="Date"/>
    <w:basedOn w:val="a"/>
    <w:next w:val="a"/>
    <w:link w:val="a8"/>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qFormat/>
    <w:pPr>
      <w:snapToGrid w:val="0"/>
      <w:jc w:val="left"/>
    </w:pPr>
    <w:rPr>
      <w:sz w:val="18"/>
      <w:szCs w:val="18"/>
    </w:rPr>
  </w:style>
  <w:style w:type="paragraph" w:styleId="3">
    <w:name w:val="Body Text Indent 3"/>
    <w:basedOn w:val="a"/>
    <w:qFormat/>
    <w:pPr>
      <w:spacing w:after="120"/>
      <w:ind w:leftChars="200" w:left="420"/>
    </w:pPr>
    <w:rPr>
      <w:sz w:val="16"/>
      <w:szCs w:val="16"/>
    </w:rPr>
  </w:style>
  <w:style w:type="paragraph" w:styleId="af1">
    <w:name w:val="Normal (Web)"/>
    <w:basedOn w:val="a"/>
    <w:qFormat/>
    <w:pPr>
      <w:widowControl/>
      <w:spacing w:before="100" w:beforeAutospacing="1" w:after="100" w:afterAutospacing="1"/>
    </w:pPr>
    <w:rPr>
      <w:rFonts w:ascii="宋体" w:hAnsi="宋体"/>
      <w:kern w:val="0"/>
      <w:sz w:val="24"/>
      <w:szCs w:val="20"/>
    </w:rPr>
  </w:style>
  <w:style w:type="table" w:styleId="af2">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1"/>
    <w:uiPriority w:val="22"/>
    <w:qFormat/>
    <w:rPr>
      <w:b/>
      <w:bCs/>
    </w:rPr>
  </w:style>
  <w:style w:type="character" w:styleId="af4">
    <w:name w:val="footnote reference"/>
    <w:qFormat/>
    <w:rPr>
      <w:vertAlign w:val="superscript"/>
    </w:rPr>
  </w:style>
  <w:style w:type="paragraph" w:customStyle="1" w:styleId="Char">
    <w:name w:val="Char"/>
    <w:basedOn w:val="a"/>
    <w:qFormat/>
  </w:style>
  <w:style w:type="character" w:customStyle="1" w:styleId="a6">
    <w:name w:val="纯文本 字符"/>
    <w:link w:val="a5"/>
    <w:uiPriority w:val="99"/>
    <w:qFormat/>
    <w:rPr>
      <w:rFonts w:ascii="宋体" w:hAnsi="Courier New"/>
      <w:kern w:val="2"/>
      <w:sz w:val="21"/>
      <w:szCs w:val="21"/>
    </w:rPr>
  </w:style>
  <w:style w:type="character" w:customStyle="1" w:styleId="aa">
    <w:name w:val="批注框文本 字符"/>
    <w:basedOn w:val="a1"/>
    <w:link w:val="a9"/>
    <w:qFormat/>
    <w:rPr>
      <w:kern w:val="2"/>
      <w:sz w:val="18"/>
      <w:szCs w:val="18"/>
    </w:rPr>
  </w:style>
  <w:style w:type="paragraph" w:styleId="af5">
    <w:name w:val="List Paragraph"/>
    <w:basedOn w:val="a"/>
    <w:uiPriority w:val="34"/>
    <w:qFormat/>
    <w:pPr>
      <w:ind w:firstLineChars="200" w:firstLine="420"/>
    </w:pPr>
  </w:style>
  <w:style w:type="character" w:customStyle="1" w:styleId="ae">
    <w:name w:val="页眉 字符"/>
    <w:basedOn w:val="a1"/>
    <w:link w:val="ad"/>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8">
    <w:name w:val="日期 字符"/>
    <w:basedOn w:val="a1"/>
    <w:link w:val="a7"/>
    <w:qFormat/>
    <w:rPr>
      <w:kern w:val="2"/>
      <w:sz w:val="24"/>
    </w:rPr>
  </w:style>
  <w:style w:type="character" w:customStyle="1" w:styleId="af0">
    <w:name w:val="脚注文本 字符"/>
    <w:basedOn w:val="a1"/>
    <w:link w:val="af"/>
    <w:qFormat/>
    <w:rPr>
      <w:kern w:val="2"/>
      <w:sz w:val="18"/>
      <w:szCs w:val="18"/>
    </w:rPr>
  </w:style>
  <w:style w:type="character" w:customStyle="1" w:styleId="ac">
    <w:name w:val="页脚 字符"/>
    <w:basedOn w:val="a1"/>
    <w:link w:val="ab"/>
    <w:uiPriority w:val="99"/>
    <w:rsid w:val="00A73E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1437</Words>
  <Characters>8194</Characters>
  <Application>Microsoft Office Word</Application>
  <DocSecurity>0</DocSecurity>
  <Lines>68</Lines>
  <Paragraphs>19</Paragraphs>
  <ScaleCrop>false</ScaleCrop>
  <Company>jysld</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133</cp:revision>
  <cp:lastPrinted>2009-01-22T10:11:00Z</cp:lastPrinted>
  <dcterms:created xsi:type="dcterms:W3CDTF">2013-12-25T02:47:00Z</dcterms:created>
  <dcterms:modified xsi:type="dcterms:W3CDTF">2023-10-24T07:44:00Z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