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15C" w:rsidRDefault="00DA315C">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bookmarkStart w:id="0" w:name="_GoBack"/>
      <w:bookmarkEnd w:id="0"/>
    </w:p>
    <w:p w:rsidR="00DA315C" w:rsidRDefault="00DA315C">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DA315C" w:rsidRDefault="00DA315C">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DA315C" w:rsidRDefault="00DA315C">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DA315C" w:rsidRDefault="00CC2E83">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摩根天添盈货币市场基金</w:t>
      </w:r>
    </w:p>
    <w:p w:rsidR="00DA315C" w:rsidRDefault="00CC2E83">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2024年第1季度报告</w:t>
      </w:r>
    </w:p>
    <w:p w:rsidR="00DA315C" w:rsidRPr="004F02D6" w:rsidRDefault="00CC2E83">
      <w:pPr>
        <w:spacing w:line="360" w:lineRule="auto"/>
        <w:jc w:val="center"/>
        <w:rPr>
          <w:rFonts w:asciiTheme="minorEastAsia" w:eastAsiaTheme="minorEastAsia" w:hAnsiTheme="minorEastAsia"/>
          <w:b/>
          <w:color w:val="000000" w:themeColor="text1"/>
          <w:sz w:val="36"/>
          <w:szCs w:val="36"/>
        </w:rPr>
      </w:pPr>
      <w:r w:rsidRPr="004F02D6">
        <w:rPr>
          <w:rFonts w:asciiTheme="minorEastAsia" w:eastAsiaTheme="minorEastAsia" w:hAnsiTheme="minorEastAsia"/>
          <w:b/>
          <w:color w:val="000000" w:themeColor="text1"/>
          <w:sz w:val="36"/>
          <w:szCs w:val="36"/>
        </w:rPr>
        <w:t>2024年3月31日</w:t>
      </w: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rPr>
          <w:rFonts w:asciiTheme="minorEastAsia" w:eastAsiaTheme="minorEastAsia" w:hAnsiTheme="minorEastAsia"/>
          <w:b/>
          <w:color w:val="000000" w:themeColor="text1"/>
          <w:sz w:val="24"/>
        </w:rPr>
      </w:pPr>
    </w:p>
    <w:p w:rsidR="00DA315C" w:rsidRDefault="00CC2E83">
      <w:pPr>
        <w:spacing w:line="360" w:lineRule="auto"/>
        <w:ind w:firstLineChars="900" w:firstLine="2168"/>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基金管理人：</w:t>
      </w:r>
      <w:r>
        <w:rPr>
          <w:rFonts w:asciiTheme="minorEastAsia" w:eastAsiaTheme="minorEastAsia" w:hAnsiTheme="minorEastAsia"/>
          <w:b/>
          <w:color w:val="000000" w:themeColor="text1"/>
          <w:sz w:val="24"/>
        </w:rPr>
        <w:t>摩根基金管理（中国）有限公司</w:t>
      </w:r>
    </w:p>
    <w:p w:rsidR="00DA315C" w:rsidRDefault="00CC2E83">
      <w:pPr>
        <w:spacing w:line="360" w:lineRule="auto"/>
        <w:ind w:firstLineChars="900" w:firstLine="2168"/>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基金托管人：</w:t>
      </w:r>
      <w:r>
        <w:rPr>
          <w:rFonts w:asciiTheme="minorEastAsia" w:eastAsiaTheme="minorEastAsia" w:hAnsiTheme="minorEastAsia"/>
          <w:b/>
          <w:color w:val="000000" w:themeColor="text1"/>
          <w:sz w:val="24"/>
        </w:rPr>
        <w:t>中信银行股份有限公司</w:t>
      </w:r>
    </w:p>
    <w:p w:rsidR="00DA315C" w:rsidRDefault="00CC2E83">
      <w:pPr>
        <w:spacing w:line="360" w:lineRule="auto"/>
        <w:ind w:firstLineChars="900" w:firstLine="2168"/>
        <w:rPr>
          <w:rFonts w:asciiTheme="minorEastAsia" w:eastAsiaTheme="minorEastAsia" w:hAnsiTheme="minorEastAsia"/>
          <w:b/>
          <w:color w:val="000000" w:themeColor="text1"/>
          <w:sz w:val="24"/>
        </w:rPr>
        <w:sectPr w:rsidR="00DA315C">
          <w:headerReference w:type="default" r:id="rId7"/>
          <w:footerReference w:type="default" r:id="rId8"/>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rPr>
        <w:t>报告送出日期：</w:t>
      </w:r>
      <w:r>
        <w:rPr>
          <w:rFonts w:asciiTheme="minorEastAsia" w:eastAsiaTheme="minorEastAsia" w:hAnsiTheme="minorEastAsia"/>
          <w:b/>
          <w:color w:val="000000" w:themeColor="text1"/>
          <w:sz w:val="24"/>
        </w:rPr>
        <w:t>二〇二四年四月二十二日</w:t>
      </w:r>
    </w:p>
    <w:p w:rsidR="00DA315C" w:rsidRDefault="00CC2E83" w:rsidP="00EF5D52">
      <w:pPr>
        <w:pStyle w:val="1"/>
        <w:spacing w:beforeLines="200" w:before="480" w:afterLines="100" w:after="240" w:line="360" w:lineRule="auto"/>
        <w:jc w:val="center"/>
        <w:rPr>
          <w:rFonts w:asciiTheme="minorEastAsia" w:eastAsiaTheme="minorEastAsia" w:hAnsiTheme="minorEastAsia" w:cs="Arial"/>
          <w:b w:val="0"/>
          <w:color w:val="000000" w:themeColor="text1"/>
          <w:kern w:val="0"/>
          <w:sz w:val="24"/>
          <w:szCs w:val="24"/>
        </w:rPr>
      </w:pPr>
      <w:r>
        <w:rPr>
          <w:rFonts w:asciiTheme="minorEastAsia" w:eastAsiaTheme="minorEastAsia" w:hAnsiTheme="minorEastAsia" w:cs="Arial" w:hint="eastAsia"/>
          <w:color w:val="000000" w:themeColor="text1"/>
          <w:kern w:val="0"/>
          <w:sz w:val="24"/>
          <w:szCs w:val="24"/>
        </w:rPr>
        <w:lastRenderedPageBreak/>
        <w:t>§</w:t>
      </w:r>
      <w:r>
        <w:rPr>
          <w:rFonts w:asciiTheme="minorEastAsia" w:eastAsiaTheme="minorEastAsia" w:hAnsiTheme="minorEastAsia" w:cs="Arial"/>
          <w:color w:val="000000" w:themeColor="text1"/>
          <w:kern w:val="0"/>
          <w:sz w:val="24"/>
          <w:szCs w:val="24"/>
        </w:rPr>
        <w:t xml:space="preserve">1  </w:t>
      </w:r>
      <w:r>
        <w:rPr>
          <w:rFonts w:asciiTheme="minorEastAsia" w:eastAsiaTheme="minorEastAsia" w:hAnsiTheme="minorEastAsia" w:cs="Arial" w:hint="eastAsia"/>
          <w:color w:val="000000" w:themeColor="text1"/>
          <w:kern w:val="0"/>
          <w:sz w:val="24"/>
          <w:szCs w:val="24"/>
        </w:rPr>
        <w:t>重要提示</w:t>
      </w:r>
    </w:p>
    <w:p w:rsidR="00D01D0F" w:rsidRDefault="0082384A">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基金管理人的董事会及董事保证本报告所载资料不存在虚假记载、误导性陈述或重大遗漏，并对其内容的真实性、准确性和完整性承担个别及连带责任。 </w:t>
      </w:r>
    </w:p>
    <w:p w:rsidR="00D01D0F" w:rsidRDefault="0082384A">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基金托管人中信银行股份有限公司根据本基金合同规定，于2024年4月19日复核了本报告中的财务指标、净值表现和投资组合报告等内容，保证复核内容不存在虚假记载、误导性陈述或者重大遗漏。 </w:t>
      </w:r>
    </w:p>
    <w:p w:rsidR="00D01D0F" w:rsidRDefault="0082384A">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基金管理人承诺以诚实信用、勤勉尽责的原则管理和运用基金资产，但不保证基金一定盈利。 </w:t>
      </w:r>
    </w:p>
    <w:p w:rsidR="00D01D0F" w:rsidRDefault="0082384A">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基金的过往业绩并不代表其未来表现。投资有风险，投资者在作出投资决策前应仔细阅读本基金的招募说明书。 </w:t>
      </w:r>
    </w:p>
    <w:p w:rsidR="00D01D0F" w:rsidRDefault="0082384A">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本报告中财务资料未经审计。</w:t>
      </w:r>
    </w:p>
    <w:p w:rsidR="00DA315C" w:rsidRDefault="00CC2E83">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本报告期自2024年1月1日起至3月31日止。</w:t>
      </w:r>
    </w:p>
    <w:p w:rsidR="00DA315C" w:rsidRDefault="00CC2E83" w:rsidP="00EF5D52">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2  </w:t>
      </w:r>
      <w:r>
        <w:rPr>
          <w:rFonts w:asciiTheme="minorEastAsia" w:eastAsiaTheme="minorEastAsia" w:hAnsiTheme="minorEastAsia" w:cs="Arial" w:hint="eastAsia"/>
          <w:color w:val="000000" w:themeColor="text1"/>
          <w:kern w:val="0"/>
          <w:sz w:val="24"/>
          <w:szCs w:val="24"/>
        </w:rPr>
        <w:t>基金产品概况</w:t>
      </w:r>
    </w:p>
    <w:tbl>
      <w:tblPr>
        <w:tblStyle w:val="af2"/>
        <w:tblW w:w="5000" w:type="pct"/>
        <w:tblLayout w:type="fixed"/>
        <w:tblLook w:val="04A0" w:firstRow="1" w:lastRow="0" w:firstColumn="1" w:lastColumn="0" w:noHBand="0" w:noVBand="1"/>
      </w:tblPr>
      <w:tblGrid>
        <w:gridCol w:w="2658"/>
        <w:gridCol w:w="1561"/>
        <w:gridCol w:w="1559"/>
        <w:gridCol w:w="1838"/>
        <w:gridCol w:w="1686"/>
      </w:tblGrid>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基金简称</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摩根天添盈货币</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基金主代码</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000855</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基金运作方式</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契约型开放式</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基金合同生效日</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2014年11月25日</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报告期末基金份额总额</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10,737,862,140.42</w:t>
            </w:r>
            <w:r>
              <w:rPr>
                <w:rFonts w:asciiTheme="minorEastAsia" w:eastAsiaTheme="minorEastAsia" w:hAnsiTheme="minorEastAsia" w:hint="eastAsia"/>
                <w:color w:val="000000" w:themeColor="text1"/>
                <w:kern w:val="0"/>
                <w:sz w:val="24"/>
              </w:rPr>
              <w:t>份</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投资目标</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 xml:space="preserve">在有效控制投资风险和保持较高流动性的前提下，为投资者提供资金的流动性储备，进一步优化现金管理，并力求获得高于业绩比较基准的稳定回报。 </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投资策略</w:t>
            </w:r>
          </w:p>
        </w:tc>
        <w:tc>
          <w:tcPr>
            <w:tcW w:w="3571" w:type="pct"/>
            <w:gridSpan w:val="4"/>
          </w:tcPr>
          <w:p w:rsidR="00D01D0F" w:rsidRDefault="0082384A">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本基金将综合考虑各类可投资品种的收益性、流动性及风险性特征，对各类资产进行合理的配置和选择。在保证基金资产的安全性和流动性基础上，力争为投资者创造稳定的投资收益。</w:t>
            </w:r>
            <w:r>
              <w:rPr>
                <w:rFonts w:asciiTheme="minorEastAsia" w:eastAsiaTheme="minorEastAsia" w:hAnsiTheme="minorEastAsia"/>
                <w:color w:val="000000" w:themeColor="text1"/>
                <w:kern w:val="0"/>
                <w:sz w:val="24"/>
              </w:rPr>
              <w:lastRenderedPageBreak/>
              <w:t>本基金以短期金融工具作为投资对象，基于对各细分市场的市场规模、交易情况、各交易品种的流动性、相对收益、信用风险以及投资组合平均剩余期限要求等重要指标的分析，确定（调整）投资组合的类别资产配置比例。利率变化是影响债券价格的最重要因素，本基金将通过对国内外宏观经济走势、货币政策和财政政策、市场结构变化和短期资金供给等因素的综合分析，形成对未来货币市场利率变动的预期，并依此确定和调整组合的平均剩余期限。在个券选择层面，本基金将综合考虑安全性、流动性和收益性等因素，通过分析各个金融产品的剩余期限与收益率的配比状况、信用等级、流动性指标等因素进行证券选择，选择风险收益配比最合理的证券作为投资对象。</w:t>
            </w:r>
          </w:p>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其他投资策略：包括收益率曲线策略、流动性管理策略、息差策略、套利策略。</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lastRenderedPageBreak/>
              <w:t>业绩比较基准</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同期七天通知存款利率（税后）</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风险收益特征</w:t>
            </w:r>
          </w:p>
        </w:tc>
        <w:tc>
          <w:tcPr>
            <w:tcW w:w="3571" w:type="pct"/>
            <w:gridSpan w:val="4"/>
          </w:tcPr>
          <w:p w:rsidR="00D01D0F" w:rsidRDefault="0082384A">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本基金为货币市场基金，是证券投资基金中的低风险品种。本基金的风险和预期收益低于股票型基金、混合型基金和债券型基金。</w:t>
            </w:r>
          </w:p>
          <w:p w:rsidR="00DA315C" w:rsidRDefault="00CC2E83">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基金管理人</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摩根基金管理（中国）有限公司</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基金托管人</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中信银行股份有限公司</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s="宋体"/>
                <w:color w:val="000000" w:themeColor="text1"/>
                <w:kern w:val="0"/>
                <w:sz w:val="24"/>
              </w:rPr>
            </w:pPr>
            <w:r>
              <w:rPr>
                <w:rFonts w:asciiTheme="minorEastAsia" w:eastAsiaTheme="minorEastAsia" w:hAnsiTheme="minorEastAsia" w:hint="eastAsia"/>
                <w:color w:val="000000" w:themeColor="text1"/>
                <w:sz w:val="24"/>
              </w:rPr>
              <w:t>下属四级基金的基金简</w:t>
            </w:r>
            <w:r>
              <w:rPr>
                <w:rFonts w:asciiTheme="minorEastAsia" w:eastAsiaTheme="minorEastAsia" w:hAnsiTheme="minorEastAsia" w:hint="eastAsia"/>
                <w:color w:val="000000" w:themeColor="text1"/>
                <w:sz w:val="24"/>
              </w:rPr>
              <w:lastRenderedPageBreak/>
              <w:t>称</w:t>
            </w:r>
          </w:p>
        </w:tc>
        <w:tc>
          <w:tcPr>
            <w:tcW w:w="839" w:type="pct"/>
            <w:vAlign w:val="center"/>
          </w:tcPr>
          <w:p w:rsidR="00DA315C" w:rsidRDefault="00CC2E83">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color w:val="000000" w:themeColor="text1"/>
                <w:sz w:val="24"/>
              </w:rPr>
              <w:lastRenderedPageBreak/>
              <w:t>摩根天添盈</w:t>
            </w:r>
            <w:r>
              <w:rPr>
                <w:rFonts w:asciiTheme="minorEastAsia" w:eastAsiaTheme="minorEastAsia" w:hAnsiTheme="minorEastAsia"/>
                <w:color w:val="000000" w:themeColor="text1"/>
                <w:sz w:val="24"/>
              </w:rPr>
              <w:lastRenderedPageBreak/>
              <w:t>货币A类</w:t>
            </w:r>
          </w:p>
        </w:tc>
        <w:tc>
          <w:tcPr>
            <w:tcW w:w="838"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lastRenderedPageBreak/>
              <w:t>摩根天添盈</w:t>
            </w:r>
            <w:r>
              <w:rPr>
                <w:rFonts w:asciiTheme="minorEastAsia" w:eastAsiaTheme="minorEastAsia" w:hAnsiTheme="minorEastAsia" w:hint="eastAsia"/>
                <w:color w:val="000000" w:themeColor="text1"/>
                <w:sz w:val="24"/>
              </w:rPr>
              <w:lastRenderedPageBreak/>
              <w:t>货币B类</w:t>
            </w:r>
          </w:p>
        </w:tc>
        <w:tc>
          <w:tcPr>
            <w:tcW w:w="988"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lastRenderedPageBreak/>
              <w:t>摩根天添盈货</w:t>
            </w:r>
            <w:r>
              <w:rPr>
                <w:rFonts w:asciiTheme="minorEastAsia" w:eastAsiaTheme="minorEastAsia" w:hAnsiTheme="minorEastAsia" w:hint="eastAsia"/>
                <w:color w:val="000000" w:themeColor="text1"/>
                <w:sz w:val="24"/>
              </w:rPr>
              <w:lastRenderedPageBreak/>
              <w:t>币E类</w:t>
            </w:r>
          </w:p>
        </w:tc>
        <w:tc>
          <w:tcPr>
            <w:tcW w:w="906"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lastRenderedPageBreak/>
              <w:t>摩根天添盈货</w:t>
            </w:r>
            <w:r>
              <w:rPr>
                <w:rFonts w:asciiTheme="minorEastAsia" w:eastAsiaTheme="minorEastAsia" w:hAnsiTheme="minorEastAsia" w:hint="eastAsia"/>
                <w:color w:val="000000" w:themeColor="text1"/>
                <w:sz w:val="24"/>
              </w:rPr>
              <w:lastRenderedPageBreak/>
              <w:t>币C类</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下属四级基金的交易代码</w:t>
            </w:r>
          </w:p>
        </w:tc>
        <w:tc>
          <w:tcPr>
            <w:tcW w:w="839" w:type="pct"/>
            <w:vAlign w:val="center"/>
          </w:tcPr>
          <w:p w:rsidR="00DA315C" w:rsidRDefault="00CC2E83">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000855</w:t>
            </w:r>
          </w:p>
        </w:tc>
        <w:tc>
          <w:tcPr>
            <w:tcW w:w="838"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000856</w:t>
            </w:r>
          </w:p>
        </w:tc>
        <w:tc>
          <w:tcPr>
            <w:tcW w:w="988"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000857</w:t>
            </w:r>
          </w:p>
        </w:tc>
        <w:tc>
          <w:tcPr>
            <w:tcW w:w="906"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017010</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报告期末下属四级基金的份额总额</w:t>
            </w:r>
          </w:p>
        </w:tc>
        <w:tc>
          <w:tcPr>
            <w:tcW w:w="839" w:type="pct"/>
            <w:vAlign w:val="center"/>
          </w:tcPr>
          <w:p w:rsidR="00DA315C" w:rsidRDefault="00CC2E83">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color w:val="000000" w:themeColor="text1"/>
                <w:sz w:val="24"/>
              </w:rPr>
              <w:t>5,040,199,969.79</w:t>
            </w:r>
            <w:r>
              <w:rPr>
                <w:rFonts w:asciiTheme="minorEastAsia" w:eastAsiaTheme="minorEastAsia" w:hAnsiTheme="minorEastAsia" w:hint="eastAsia"/>
                <w:color w:val="000000" w:themeColor="text1"/>
                <w:sz w:val="24"/>
              </w:rPr>
              <w:t>份</w:t>
            </w:r>
          </w:p>
        </w:tc>
        <w:tc>
          <w:tcPr>
            <w:tcW w:w="838"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w:t>
            </w:r>
            <w:r w:rsidR="00CC2E83">
              <w:rPr>
                <w:rFonts w:asciiTheme="minorEastAsia" w:eastAsiaTheme="minorEastAsia" w:hAnsiTheme="minorEastAsia" w:hint="eastAsia"/>
                <w:color w:val="000000" w:themeColor="text1"/>
                <w:sz w:val="24"/>
              </w:rPr>
              <w:t>份</w:t>
            </w:r>
          </w:p>
        </w:tc>
        <w:tc>
          <w:tcPr>
            <w:tcW w:w="988"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4,358,193,617.25</w:t>
            </w:r>
            <w:r w:rsidR="00CC2E83">
              <w:rPr>
                <w:rFonts w:asciiTheme="minorEastAsia" w:eastAsiaTheme="minorEastAsia" w:hAnsiTheme="minorEastAsia" w:hint="eastAsia"/>
                <w:color w:val="000000" w:themeColor="text1"/>
                <w:sz w:val="24"/>
              </w:rPr>
              <w:t>份</w:t>
            </w:r>
          </w:p>
        </w:tc>
        <w:tc>
          <w:tcPr>
            <w:tcW w:w="906"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1,339,468,553.38</w:t>
            </w:r>
            <w:r w:rsidR="00CC2E83">
              <w:rPr>
                <w:rFonts w:asciiTheme="minorEastAsia" w:eastAsiaTheme="minorEastAsia" w:hAnsiTheme="minorEastAsia" w:hint="eastAsia"/>
                <w:color w:val="000000" w:themeColor="text1"/>
                <w:sz w:val="24"/>
              </w:rPr>
              <w:t>份</w:t>
            </w:r>
          </w:p>
        </w:tc>
      </w:tr>
    </w:tbl>
    <w:p w:rsidR="00DA315C" w:rsidRDefault="00CC2E83" w:rsidP="00EF5D52">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3  </w:t>
      </w:r>
      <w:r>
        <w:rPr>
          <w:rFonts w:asciiTheme="minorEastAsia" w:eastAsiaTheme="minorEastAsia" w:hAnsiTheme="minorEastAsia" w:cs="Arial" w:hint="eastAsia"/>
          <w:color w:val="000000" w:themeColor="text1"/>
          <w:kern w:val="0"/>
          <w:sz w:val="24"/>
          <w:szCs w:val="24"/>
        </w:rPr>
        <w:t>主要财务指标和基金净值表现</w:t>
      </w:r>
    </w:p>
    <w:p w:rsidR="00DA315C" w:rsidRDefault="00CC2E83" w:rsidP="00FC703D">
      <w:pPr>
        <w:spacing w:beforeLines="50" w:before="12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3.1 </w:t>
      </w:r>
      <w:r>
        <w:rPr>
          <w:rFonts w:asciiTheme="minorEastAsia" w:eastAsiaTheme="minorEastAsia" w:hAnsiTheme="minorEastAsia" w:cs="Arial" w:hint="eastAsia"/>
          <w:b/>
          <w:color w:val="000000" w:themeColor="text1"/>
          <w:kern w:val="0"/>
          <w:sz w:val="24"/>
        </w:rPr>
        <w:t>主要财务指标</w:t>
      </w:r>
    </w:p>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单位：人民币元</w:t>
      </w:r>
    </w:p>
    <w:tbl>
      <w:tblPr>
        <w:tblStyle w:val="af2"/>
        <w:tblW w:w="0" w:type="auto"/>
        <w:tblLayout w:type="fixed"/>
        <w:tblLook w:val="04A0" w:firstRow="1" w:lastRow="0" w:firstColumn="1" w:lastColumn="0" w:noHBand="0" w:noVBand="1"/>
      </w:tblPr>
      <w:tblGrid>
        <w:gridCol w:w="2235"/>
        <w:gridCol w:w="1701"/>
        <w:gridCol w:w="1701"/>
        <w:gridCol w:w="1804"/>
        <w:gridCol w:w="1861"/>
      </w:tblGrid>
      <w:tr w:rsidR="00DA315C" w:rsidTr="000E6158">
        <w:tc>
          <w:tcPr>
            <w:tcW w:w="2235" w:type="dxa"/>
            <w:vMerge w:val="restart"/>
          </w:tcPr>
          <w:p w:rsidR="00DA315C" w:rsidRDefault="00CC2E83">
            <w:pPr>
              <w:autoSpaceDE w:val="0"/>
              <w:autoSpaceDN w:val="0"/>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主要财务指标</w:t>
            </w:r>
          </w:p>
        </w:tc>
        <w:tc>
          <w:tcPr>
            <w:tcW w:w="7067" w:type="dxa"/>
            <w:gridSpan w:val="4"/>
          </w:tcPr>
          <w:p w:rsidR="00DA315C" w:rsidRDefault="00CC2E83">
            <w:pPr>
              <w:autoSpaceDE w:val="0"/>
              <w:autoSpaceDN w:val="0"/>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报告期(</w:t>
            </w:r>
            <w:r>
              <w:rPr>
                <w:rFonts w:asciiTheme="minorEastAsia" w:eastAsiaTheme="minorEastAsia" w:hAnsiTheme="minorEastAsia" w:cs="宋体"/>
                <w:color w:val="000000" w:themeColor="text1"/>
                <w:sz w:val="24"/>
              </w:rPr>
              <w:t>2024年1月1日-2024年3月31日</w:t>
            </w:r>
            <w:r>
              <w:rPr>
                <w:rFonts w:asciiTheme="minorEastAsia" w:eastAsiaTheme="minorEastAsia" w:hAnsiTheme="minorEastAsia" w:cs="宋体" w:hint="eastAsia"/>
                <w:color w:val="000000" w:themeColor="text1"/>
                <w:sz w:val="24"/>
              </w:rPr>
              <w:t>)</w:t>
            </w:r>
          </w:p>
        </w:tc>
      </w:tr>
      <w:tr w:rsidR="00DA315C" w:rsidTr="00CB2E1E">
        <w:tc>
          <w:tcPr>
            <w:tcW w:w="2235" w:type="dxa"/>
            <w:vMerge/>
          </w:tcPr>
          <w:p w:rsidR="00DA315C" w:rsidRDefault="00DA315C">
            <w:pPr>
              <w:autoSpaceDE w:val="0"/>
              <w:autoSpaceDN w:val="0"/>
              <w:spacing w:line="360" w:lineRule="auto"/>
              <w:rPr>
                <w:rFonts w:asciiTheme="minorEastAsia" w:eastAsiaTheme="minorEastAsia" w:hAnsiTheme="minorEastAsia"/>
                <w:color w:val="000000" w:themeColor="text1"/>
                <w:sz w:val="24"/>
              </w:rPr>
            </w:pPr>
          </w:p>
        </w:tc>
        <w:tc>
          <w:tcPr>
            <w:tcW w:w="1701" w:type="dxa"/>
            <w:vAlign w:val="center"/>
          </w:tcPr>
          <w:p w:rsidR="00DA315C" w:rsidRDefault="00CC2E83">
            <w:pPr>
              <w:adjustRightInd w:val="0"/>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olor w:val="000000" w:themeColor="text1"/>
                <w:sz w:val="24"/>
              </w:rPr>
              <w:t>摩根天添盈货币A类</w:t>
            </w:r>
          </w:p>
        </w:tc>
        <w:tc>
          <w:tcPr>
            <w:tcW w:w="1701" w:type="dxa"/>
            <w:vAlign w:val="center"/>
          </w:tcPr>
          <w:p w:rsidR="00DA315C" w:rsidRDefault="00050540">
            <w:pPr>
              <w:adjustRightInd w:val="0"/>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摩根天添盈货币B类</w:t>
            </w:r>
          </w:p>
        </w:tc>
        <w:tc>
          <w:tcPr>
            <w:tcW w:w="1804" w:type="dxa"/>
            <w:vAlign w:val="center"/>
          </w:tcPr>
          <w:p w:rsidR="00DA315C" w:rsidRDefault="00050540">
            <w:pPr>
              <w:adjustRightInd w:val="0"/>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摩根天添盈货币E类</w:t>
            </w:r>
          </w:p>
        </w:tc>
        <w:tc>
          <w:tcPr>
            <w:tcW w:w="1861" w:type="dxa"/>
            <w:vAlign w:val="center"/>
          </w:tcPr>
          <w:p w:rsidR="00DA315C" w:rsidRDefault="00050540">
            <w:pPr>
              <w:adjustRightInd w:val="0"/>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摩根天添盈货币C类</w:t>
            </w:r>
          </w:p>
        </w:tc>
      </w:tr>
      <w:tr w:rsidR="00DA315C" w:rsidTr="00CB2E1E">
        <w:tc>
          <w:tcPr>
            <w:tcW w:w="2235" w:type="dxa"/>
            <w:vAlign w:val="center"/>
          </w:tcPr>
          <w:p w:rsidR="00DA315C" w:rsidRDefault="00CC2E83" w:rsidP="00525B26">
            <w:pPr>
              <w:adjustRightInd w:val="0"/>
              <w:spacing w:before="29" w:line="360" w:lineRule="auto"/>
              <w:ind w:left="17"/>
              <w:rPr>
                <w:rFonts w:asciiTheme="minorEastAsia" w:eastAsiaTheme="minorEastAsia" w:hAnsiTheme="minorEastAsia"/>
                <w:color w:val="000000" w:themeColor="text1"/>
                <w:kern w:val="0"/>
                <w:sz w:val="24"/>
              </w:rPr>
            </w:pPr>
            <w:r>
              <w:rPr>
                <w:rFonts w:asciiTheme="minorEastAsia" w:eastAsiaTheme="minorEastAsia" w:hAnsiTheme="minorEastAsia" w:cs="方正仿宋简体"/>
                <w:color w:val="000000" w:themeColor="text1"/>
                <w:kern w:val="0"/>
                <w:sz w:val="24"/>
              </w:rPr>
              <w:t>1.</w:t>
            </w:r>
            <w:r>
              <w:rPr>
                <w:rFonts w:asciiTheme="minorEastAsia" w:eastAsiaTheme="minorEastAsia" w:hAnsiTheme="minorEastAsia" w:cs="宋体" w:hint="eastAsia"/>
                <w:color w:val="000000" w:themeColor="text1"/>
                <w:kern w:val="0"/>
                <w:sz w:val="24"/>
              </w:rPr>
              <w:t>本期已实现收益</w:t>
            </w:r>
          </w:p>
        </w:tc>
        <w:tc>
          <w:tcPr>
            <w:tcW w:w="1701" w:type="dxa"/>
            <w:vAlign w:val="center"/>
          </w:tcPr>
          <w:p w:rsidR="00DA315C" w:rsidRDefault="00CC2E83"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22,609,151.39</w:t>
            </w:r>
          </w:p>
        </w:tc>
        <w:tc>
          <w:tcPr>
            <w:tcW w:w="1701"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04"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19,731,857.12</w:t>
            </w:r>
          </w:p>
        </w:tc>
        <w:tc>
          <w:tcPr>
            <w:tcW w:w="1861"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2,683,658.11</w:t>
            </w:r>
          </w:p>
        </w:tc>
      </w:tr>
      <w:tr w:rsidR="00DA315C" w:rsidTr="00CB2E1E">
        <w:tc>
          <w:tcPr>
            <w:tcW w:w="2235" w:type="dxa"/>
            <w:vAlign w:val="center"/>
          </w:tcPr>
          <w:p w:rsidR="00DA315C" w:rsidRDefault="00CC2E83" w:rsidP="00525B26">
            <w:pPr>
              <w:adjustRightInd w:val="0"/>
              <w:spacing w:before="29" w:line="360" w:lineRule="auto"/>
              <w:ind w:left="17"/>
              <w:rPr>
                <w:rFonts w:asciiTheme="minorEastAsia" w:eastAsiaTheme="minorEastAsia" w:hAnsiTheme="minorEastAsia"/>
                <w:color w:val="000000" w:themeColor="text1"/>
                <w:kern w:val="0"/>
                <w:sz w:val="24"/>
              </w:rPr>
            </w:pPr>
            <w:r>
              <w:rPr>
                <w:rFonts w:asciiTheme="minorEastAsia" w:eastAsiaTheme="minorEastAsia" w:hAnsiTheme="minorEastAsia" w:cs="方正仿宋简体"/>
                <w:color w:val="000000" w:themeColor="text1"/>
                <w:kern w:val="0"/>
                <w:sz w:val="24"/>
              </w:rPr>
              <w:t>2.</w:t>
            </w:r>
            <w:r>
              <w:rPr>
                <w:rFonts w:asciiTheme="minorEastAsia" w:eastAsiaTheme="minorEastAsia" w:hAnsiTheme="minorEastAsia" w:cs="宋体" w:hint="eastAsia"/>
                <w:color w:val="000000" w:themeColor="text1"/>
                <w:kern w:val="0"/>
                <w:sz w:val="24"/>
              </w:rPr>
              <w:t>本期利润</w:t>
            </w:r>
          </w:p>
        </w:tc>
        <w:tc>
          <w:tcPr>
            <w:tcW w:w="1701" w:type="dxa"/>
            <w:vAlign w:val="center"/>
          </w:tcPr>
          <w:p w:rsidR="00DA315C" w:rsidRDefault="00CC2E83"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22,609,151.39</w:t>
            </w:r>
          </w:p>
        </w:tc>
        <w:tc>
          <w:tcPr>
            <w:tcW w:w="1701"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04"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19,731,857.12</w:t>
            </w:r>
          </w:p>
        </w:tc>
        <w:tc>
          <w:tcPr>
            <w:tcW w:w="1861"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2,683,658.11</w:t>
            </w:r>
          </w:p>
        </w:tc>
      </w:tr>
      <w:tr w:rsidR="00DA315C" w:rsidTr="00CB2E1E">
        <w:tc>
          <w:tcPr>
            <w:tcW w:w="2235" w:type="dxa"/>
            <w:vAlign w:val="center"/>
          </w:tcPr>
          <w:p w:rsidR="00DA315C" w:rsidRDefault="00CC2E83" w:rsidP="00525B26">
            <w:pPr>
              <w:adjustRightInd w:val="0"/>
              <w:spacing w:before="29" w:line="360" w:lineRule="auto"/>
              <w:ind w:left="17"/>
              <w:rPr>
                <w:rFonts w:asciiTheme="minorEastAsia" w:eastAsiaTheme="minorEastAsia" w:hAnsiTheme="minorEastAsia"/>
                <w:color w:val="000000" w:themeColor="text1"/>
                <w:kern w:val="0"/>
                <w:sz w:val="24"/>
              </w:rPr>
            </w:pPr>
            <w:r>
              <w:rPr>
                <w:rFonts w:asciiTheme="minorEastAsia" w:eastAsiaTheme="minorEastAsia" w:hAnsiTheme="minorEastAsia" w:cs="方正仿宋简体" w:hint="eastAsia"/>
                <w:color w:val="000000" w:themeColor="text1"/>
                <w:kern w:val="0"/>
                <w:sz w:val="24"/>
              </w:rPr>
              <w:t>3</w:t>
            </w:r>
            <w:r>
              <w:rPr>
                <w:rFonts w:asciiTheme="minorEastAsia" w:eastAsiaTheme="minorEastAsia" w:hAnsiTheme="minorEastAsia" w:cs="方正仿宋简体"/>
                <w:color w:val="000000" w:themeColor="text1"/>
                <w:kern w:val="0"/>
                <w:sz w:val="24"/>
              </w:rPr>
              <w:t>.</w:t>
            </w:r>
            <w:r>
              <w:rPr>
                <w:rFonts w:asciiTheme="minorEastAsia" w:eastAsiaTheme="minorEastAsia" w:hAnsiTheme="minorEastAsia" w:cs="宋体" w:hint="eastAsia"/>
                <w:color w:val="000000" w:themeColor="text1"/>
                <w:kern w:val="0"/>
                <w:sz w:val="24"/>
              </w:rPr>
              <w:t>期末基金资产净值</w:t>
            </w:r>
          </w:p>
        </w:tc>
        <w:tc>
          <w:tcPr>
            <w:tcW w:w="1701" w:type="dxa"/>
            <w:vAlign w:val="center"/>
          </w:tcPr>
          <w:p w:rsidR="00DA315C" w:rsidRDefault="00CC2E83"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5,040,199,969.79</w:t>
            </w:r>
          </w:p>
        </w:tc>
        <w:tc>
          <w:tcPr>
            <w:tcW w:w="1701"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04"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4,358,193,617.25</w:t>
            </w:r>
          </w:p>
        </w:tc>
        <w:tc>
          <w:tcPr>
            <w:tcW w:w="1861"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1,339,468,553.38</w:t>
            </w:r>
          </w:p>
        </w:tc>
      </w:tr>
    </w:tbl>
    <w:p w:rsidR="00D01D0F" w:rsidRDefault="0082384A">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DA315C" w:rsidRDefault="00CC2E83"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上述基金业绩指标不包括交易基金的各项费用（例如基金转换费等），计入费用后实际收益水平要低于所列数字。</w:t>
      </w:r>
    </w:p>
    <w:p w:rsidR="00DA315C" w:rsidRDefault="00CC2E83" w:rsidP="00FC703D">
      <w:pPr>
        <w:spacing w:beforeLines="50" w:before="12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3.2 </w:t>
      </w:r>
      <w:r>
        <w:rPr>
          <w:rFonts w:asciiTheme="minorEastAsia" w:eastAsiaTheme="minorEastAsia" w:hAnsiTheme="minorEastAsia" w:cs="Arial" w:hint="eastAsia"/>
          <w:b/>
          <w:color w:val="000000" w:themeColor="text1"/>
          <w:kern w:val="0"/>
          <w:sz w:val="24"/>
        </w:rPr>
        <w:t>基金净值表现</w:t>
      </w:r>
    </w:p>
    <w:p w:rsidR="00DA315C" w:rsidRDefault="00CC2E83" w:rsidP="00FC703D">
      <w:pPr>
        <w:spacing w:beforeLines="50" w:before="12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3.2.1 </w:t>
      </w:r>
      <w:r>
        <w:rPr>
          <w:rFonts w:asciiTheme="minorEastAsia" w:eastAsiaTheme="minorEastAsia" w:hAnsiTheme="minorEastAsia" w:cs="Arial" w:hint="eastAsia"/>
          <w:b/>
          <w:color w:val="000000" w:themeColor="text1"/>
          <w:kern w:val="0"/>
          <w:sz w:val="24"/>
        </w:rPr>
        <w:t>基金份额净值收益率及其与同期业绩比较基准收益率的比较</w:t>
      </w:r>
    </w:p>
    <w:p w:rsidR="00DA315C" w:rsidRDefault="00CC2E83" w:rsidP="00FC703D">
      <w:pPr>
        <w:pStyle w:val="20"/>
        <w:spacing w:beforeLines="50" w:before="120" w:line="360" w:lineRule="auto"/>
        <w:ind w:firstLineChars="0" w:firstLine="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lastRenderedPageBreak/>
        <w:t>1、摩根天添盈货币A类:</w:t>
      </w:r>
    </w:p>
    <w:tbl>
      <w:tblPr>
        <w:tblStyle w:val="af2"/>
        <w:tblW w:w="0" w:type="auto"/>
        <w:tblLayout w:type="fixed"/>
        <w:tblLook w:val="04A0" w:firstRow="1" w:lastRow="0" w:firstColumn="1" w:lastColumn="0" w:noHBand="0" w:noVBand="1"/>
      </w:tblPr>
      <w:tblGrid>
        <w:gridCol w:w="1328"/>
        <w:gridCol w:w="1329"/>
        <w:gridCol w:w="1329"/>
        <w:gridCol w:w="1329"/>
        <w:gridCol w:w="1329"/>
        <w:gridCol w:w="1329"/>
        <w:gridCol w:w="1329"/>
      </w:tblGrid>
      <w:tr w:rsidR="00DA315C">
        <w:tc>
          <w:tcPr>
            <w:tcW w:w="1328"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阶段</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净值收益率①</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净值收益率标准差②</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业绩比较基准收益率③</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业绩比较基准收益率标准差④</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①-③</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②-④</w:t>
            </w:r>
          </w:p>
        </w:tc>
      </w:tr>
      <w:tr w:rsidR="0082384A">
        <w:tc>
          <w:tcPr>
            <w:tcW w:w="1328" w:type="dxa"/>
            <w:vAlign w:val="center"/>
          </w:tcPr>
          <w:p w:rsidR="0082384A" w:rsidRDefault="0082384A" w:rsidP="0082384A">
            <w:pPr>
              <w:jc w:val="left"/>
            </w:pPr>
            <w:r>
              <w:rPr>
                <w:rFonts w:asciiTheme="minorEastAsia" w:eastAsiaTheme="minorEastAsia" w:hAnsiTheme="minorEastAsia"/>
                <w:color w:val="000000" w:themeColor="text1"/>
              </w:rPr>
              <w:t>过去三个月</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0.4440%</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0.0016%</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0.3357%</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0.0000%</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0.1083%</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0.0016%</w:t>
            </w:r>
          </w:p>
        </w:tc>
      </w:tr>
      <w:tr w:rsidR="0082384A">
        <w:tc>
          <w:tcPr>
            <w:tcW w:w="1328" w:type="dxa"/>
            <w:vAlign w:val="center"/>
          </w:tcPr>
          <w:p w:rsidR="0082384A" w:rsidRDefault="0082384A" w:rsidP="0082384A">
            <w:pPr>
              <w:jc w:val="left"/>
            </w:pPr>
            <w:r>
              <w:rPr>
                <w:rFonts w:asciiTheme="minorEastAsia" w:eastAsiaTheme="minorEastAsia" w:hAnsiTheme="minorEastAsia"/>
                <w:color w:val="000000" w:themeColor="text1"/>
              </w:rPr>
              <w:t>过去六个月</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0.8979%</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0.0012%</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0.6759%</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0.0000%</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0.2220%</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0.0012%</w:t>
            </w:r>
          </w:p>
        </w:tc>
      </w:tr>
      <w:tr w:rsidR="0082384A">
        <w:tc>
          <w:tcPr>
            <w:tcW w:w="1328" w:type="dxa"/>
            <w:vAlign w:val="center"/>
          </w:tcPr>
          <w:p w:rsidR="0082384A" w:rsidRDefault="0082384A" w:rsidP="0082384A">
            <w:pPr>
              <w:jc w:val="left"/>
            </w:pPr>
            <w:r>
              <w:rPr>
                <w:rFonts w:asciiTheme="minorEastAsia" w:eastAsiaTheme="minorEastAsia" w:hAnsiTheme="minorEastAsia"/>
                <w:color w:val="000000" w:themeColor="text1"/>
              </w:rPr>
              <w:t>过去一年</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1.7814%</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0.0009%</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1.3528%</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0.0000%</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0.4286%</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0.0009%</w:t>
            </w:r>
          </w:p>
        </w:tc>
      </w:tr>
      <w:tr w:rsidR="0082384A">
        <w:tc>
          <w:tcPr>
            <w:tcW w:w="1328" w:type="dxa"/>
            <w:vAlign w:val="center"/>
          </w:tcPr>
          <w:p w:rsidR="0082384A" w:rsidRDefault="0082384A" w:rsidP="0082384A">
            <w:pPr>
              <w:jc w:val="left"/>
            </w:pPr>
            <w:r>
              <w:rPr>
                <w:rFonts w:asciiTheme="minorEastAsia" w:eastAsiaTheme="minorEastAsia" w:hAnsiTheme="minorEastAsia"/>
                <w:color w:val="000000" w:themeColor="text1"/>
              </w:rPr>
              <w:t>过去三年</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5.5908%</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0.0009%</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4.0528%</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0.0000%</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1.5380%</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0.0009%</w:t>
            </w:r>
          </w:p>
        </w:tc>
      </w:tr>
      <w:tr w:rsidR="0082384A">
        <w:tc>
          <w:tcPr>
            <w:tcW w:w="1328" w:type="dxa"/>
            <w:vAlign w:val="center"/>
          </w:tcPr>
          <w:p w:rsidR="0082384A" w:rsidRDefault="0082384A" w:rsidP="0082384A">
            <w:pPr>
              <w:jc w:val="left"/>
            </w:pPr>
            <w:r>
              <w:rPr>
                <w:rFonts w:asciiTheme="minorEastAsia" w:eastAsiaTheme="minorEastAsia" w:hAnsiTheme="minorEastAsia"/>
                <w:color w:val="000000" w:themeColor="text1"/>
              </w:rPr>
              <w:t>过去五年</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10.0820%</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0.0010%</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6.7565%</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0.0000%</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3.3255%</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0.0010%</w:t>
            </w:r>
          </w:p>
        </w:tc>
      </w:tr>
      <w:tr w:rsidR="0082384A">
        <w:tc>
          <w:tcPr>
            <w:tcW w:w="1328" w:type="dxa"/>
            <w:vAlign w:val="center"/>
          </w:tcPr>
          <w:p w:rsidR="0082384A" w:rsidRDefault="0082384A" w:rsidP="0082384A">
            <w:pPr>
              <w:jc w:val="left"/>
            </w:pPr>
            <w:r>
              <w:rPr>
                <w:rFonts w:asciiTheme="minorEastAsia" w:eastAsiaTheme="minorEastAsia" w:hAnsiTheme="minorEastAsia"/>
                <w:color w:val="000000" w:themeColor="text1"/>
              </w:rPr>
              <w:t>自基金合同生效起至今</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24.4381%</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0.0023%</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12.6299%</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0.0000%</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11.8082%</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0.0023%</w:t>
            </w:r>
          </w:p>
        </w:tc>
      </w:tr>
    </w:tbl>
    <w:p w:rsidR="00DA315C" w:rsidRDefault="00CC2E83" w:rsidP="00FC703D">
      <w:pPr>
        <w:pStyle w:val="20"/>
        <w:spacing w:beforeLines="50" w:before="120" w:line="360" w:lineRule="auto"/>
        <w:ind w:firstLineChars="0" w:firstLine="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2、</w:t>
      </w:r>
      <w:r w:rsidR="00050540">
        <w:rPr>
          <w:rFonts w:asciiTheme="minorEastAsia" w:eastAsiaTheme="minorEastAsia" w:hAnsiTheme="minorEastAsia" w:hint="eastAsia"/>
          <w:b/>
          <w:color w:val="000000" w:themeColor="text1"/>
        </w:rPr>
        <w:t>摩根天添盈货币B类</w:t>
      </w:r>
      <w:r>
        <w:rPr>
          <w:rFonts w:asciiTheme="minorEastAsia" w:eastAsiaTheme="minorEastAsia" w:hAnsiTheme="minorEastAsia" w:hint="eastAsia"/>
          <w:b/>
          <w:color w:val="000000" w:themeColor="text1"/>
        </w:rPr>
        <w:t>：</w:t>
      </w:r>
    </w:p>
    <w:p w:rsidR="00DA315C" w:rsidRDefault="00050540"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自2018年6月22日起，本基金B类基金份额为零且停止计算B类基金份额每万份收益。</w:t>
      </w:r>
    </w:p>
    <w:p w:rsidR="00DA315C" w:rsidRDefault="00CC2E83" w:rsidP="00FC703D">
      <w:pPr>
        <w:pStyle w:val="20"/>
        <w:spacing w:beforeLines="50" w:before="120" w:line="360" w:lineRule="auto"/>
        <w:ind w:firstLineChars="0" w:firstLine="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3、</w:t>
      </w:r>
      <w:r w:rsidR="00050540">
        <w:rPr>
          <w:rFonts w:asciiTheme="minorEastAsia" w:eastAsiaTheme="minorEastAsia" w:hAnsiTheme="minorEastAsia" w:hint="eastAsia"/>
          <w:b/>
          <w:color w:val="000000" w:themeColor="text1"/>
        </w:rPr>
        <w:t>摩根天添盈货币E类</w:t>
      </w:r>
      <w:r>
        <w:rPr>
          <w:rFonts w:asciiTheme="minorEastAsia" w:eastAsiaTheme="minorEastAsia" w:hAnsiTheme="minorEastAsia" w:hint="eastAsia"/>
          <w:b/>
          <w:color w:val="000000" w:themeColor="text1"/>
        </w:rPr>
        <w:t>：</w:t>
      </w:r>
    </w:p>
    <w:tbl>
      <w:tblPr>
        <w:tblStyle w:val="af2"/>
        <w:tblW w:w="0" w:type="auto"/>
        <w:tblLayout w:type="fixed"/>
        <w:tblLook w:val="04A0" w:firstRow="1" w:lastRow="0" w:firstColumn="1" w:lastColumn="0" w:noHBand="0" w:noVBand="1"/>
      </w:tblPr>
      <w:tblGrid>
        <w:gridCol w:w="1328"/>
        <w:gridCol w:w="1329"/>
        <w:gridCol w:w="1329"/>
        <w:gridCol w:w="1329"/>
        <w:gridCol w:w="1329"/>
        <w:gridCol w:w="1329"/>
        <w:gridCol w:w="1329"/>
      </w:tblGrid>
      <w:tr w:rsidR="00DA315C">
        <w:tc>
          <w:tcPr>
            <w:tcW w:w="1328"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阶段</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净值收益率①</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净值收益率标准差②</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业绩比较基准收益率③</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业绩比较基准收益率标准差④</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①-③</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②-④</w:t>
            </w:r>
          </w:p>
        </w:tc>
      </w:tr>
      <w:tr w:rsidR="0082384A">
        <w:tc>
          <w:tcPr>
            <w:tcW w:w="1328" w:type="dxa"/>
            <w:vAlign w:val="center"/>
          </w:tcPr>
          <w:p w:rsidR="0082384A" w:rsidRDefault="0082384A" w:rsidP="0082384A">
            <w:pPr>
              <w:jc w:val="left"/>
            </w:pPr>
            <w:r>
              <w:rPr>
                <w:rFonts w:asciiTheme="minorEastAsia" w:eastAsiaTheme="minorEastAsia" w:hAnsiTheme="minorEastAsia"/>
                <w:color w:val="000000" w:themeColor="text1"/>
              </w:rPr>
              <w:t>过去三个月</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0.5039%</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0.0016%</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0.3357%</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0.0000%</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0.1682%</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0.0016%</w:t>
            </w:r>
          </w:p>
        </w:tc>
      </w:tr>
      <w:tr w:rsidR="0082384A">
        <w:tc>
          <w:tcPr>
            <w:tcW w:w="1328" w:type="dxa"/>
            <w:vAlign w:val="center"/>
          </w:tcPr>
          <w:p w:rsidR="0082384A" w:rsidRDefault="0082384A" w:rsidP="0082384A">
            <w:pPr>
              <w:jc w:val="left"/>
            </w:pPr>
            <w:r>
              <w:rPr>
                <w:rFonts w:asciiTheme="minorEastAsia" w:eastAsiaTheme="minorEastAsia" w:hAnsiTheme="minorEastAsia"/>
                <w:color w:val="000000" w:themeColor="text1"/>
              </w:rPr>
              <w:t>过去六个月</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1.0192%</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0.0012%</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0.6759%</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0.0000%</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0.3433%</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0.0012%</w:t>
            </w:r>
          </w:p>
        </w:tc>
      </w:tr>
      <w:tr w:rsidR="0082384A">
        <w:tc>
          <w:tcPr>
            <w:tcW w:w="1328" w:type="dxa"/>
            <w:vAlign w:val="center"/>
          </w:tcPr>
          <w:p w:rsidR="0082384A" w:rsidRDefault="0082384A" w:rsidP="0082384A">
            <w:pPr>
              <w:jc w:val="left"/>
            </w:pPr>
            <w:r>
              <w:rPr>
                <w:rFonts w:asciiTheme="minorEastAsia" w:eastAsiaTheme="minorEastAsia" w:hAnsiTheme="minorEastAsia"/>
                <w:color w:val="000000" w:themeColor="text1"/>
              </w:rPr>
              <w:t>过去一年</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2.0265%</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0.0009%</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1.3528%</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0.0000%</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0.6737%</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0.0009%</w:t>
            </w:r>
          </w:p>
        </w:tc>
      </w:tr>
      <w:tr w:rsidR="0082384A">
        <w:tc>
          <w:tcPr>
            <w:tcW w:w="1328" w:type="dxa"/>
            <w:vAlign w:val="center"/>
          </w:tcPr>
          <w:p w:rsidR="0082384A" w:rsidRDefault="0082384A" w:rsidP="0082384A">
            <w:pPr>
              <w:jc w:val="left"/>
            </w:pPr>
            <w:r>
              <w:rPr>
                <w:rFonts w:asciiTheme="minorEastAsia" w:eastAsiaTheme="minorEastAsia" w:hAnsiTheme="minorEastAsia"/>
                <w:color w:val="000000" w:themeColor="text1"/>
              </w:rPr>
              <w:t>过去三年</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6.2968%</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0.0008%</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4.0528%</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0.0000%</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2.2440%</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0.0008%</w:t>
            </w:r>
          </w:p>
        </w:tc>
      </w:tr>
      <w:tr w:rsidR="0082384A">
        <w:tc>
          <w:tcPr>
            <w:tcW w:w="1328" w:type="dxa"/>
            <w:vAlign w:val="center"/>
          </w:tcPr>
          <w:p w:rsidR="0082384A" w:rsidRDefault="0082384A" w:rsidP="0082384A">
            <w:pPr>
              <w:jc w:val="left"/>
            </w:pPr>
            <w:r>
              <w:rPr>
                <w:rFonts w:asciiTheme="minorEastAsia" w:eastAsiaTheme="minorEastAsia" w:hAnsiTheme="minorEastAsia"/>
                <w:color w:val="000000" w:themeColor="text1"/>
              </w:rPr>
              <w:t>过去五年</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11.1512%</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0.0010%</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6.7565%</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0.0000%</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4.3947%</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0.0010%</w:t>
            </w:r>
          </w:p>
        </w:tc>
      </w:tr>
      <w:tr w:rsidR="0082384A">
        <w:tc>
          <w:tcPr>
            <w:tcW w:w="1328" w:type="dxa"/>
            <w:vAlign w:val="center"/>
          </w:tcPr>
          <w:p w:rsidR="0082384A" w:rsidRDefault="0082384A" w:rsidP="0082384A">
            <w:pPr>
              <w:jc w:val="left"/>
            </w:pPr>
            <w:r>
              <w:rPr>
                <w:rFonts w:asciiTheme="minorEastAsia" w:eastAsiaTheme="minorEastAsia" w:hAnsiTheme="minorEastAsia"/>
                <w:color w:val="000000" w:themeColor="text1"/>
              </w:rPr>
              <w:t>自基金合同生效起至今</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26.4732%</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0.0023%</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12.6299%</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0.0000%</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13.8433%</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0.0023%</w:t>
            </w:r>
          </w:p>
        </w:tc>
      </w:tr>
    </w:tbl>
    <w:p w:rsidR="00DA315C" w:rsidRDefault="00CC2E83" w:rsidP="004600C4">
      <w:pPr>
        <w:pStyle w:val="20"/>
        <w:spacing w:beforeLines="50" w:before="120" w:line="360" w:lineRule="auto"/>
        <w:ind w:firstLineChars="0" w:firstLine="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4、</w:t>
      </w:r>
      <w:r w:rsidR="00050540">
        <w:rPr>
          <w:rFonts w:asciiTheme="minorEastAsia" w:eastAsiaTheme="minorEastAsia" w:hAnsiTheme="minorEastAsia" w:hint="eastAsia"/>
          <w:b/>
          <w:color w:val="000000" w:themeColor="text1"/>
        </w:rPr>
        <w:t>摩根天添盈货币C类</w:t>
      </w:r>
      <w:r>
        <w:rPr>
          <w:rFonts w:asciiTheme="minorEastAsia" w:eastAsiaTheme="minorEastAsia" w:hAnsiTheme="minorEastAsia" w:hint="eastAsia"/>
          <w:b/>
          <w:color w:val="000000" w:themeColor="text1"/>
        </w:rPr>
        <w:t>：</w:t>
      </w:r>
    </w:p>
    <w:tbl>
      <w:tblPr>
        <w:tblStyle w:val="af2"/>
        <w:tblW w:w="0" w:type="auto"/>
        <w:tblLayout w:type="fixed"/>
        <w:tblLook w:val="04A0" w:firstRow="1" w:lastRow="0" w:firstColumn="1" w:lastColumn="0" w:noHBand="0" w:noVBand="1"/>
      </w:tblPr>
      <w:tblGrid>
        <w:gridCol w:w="1328"/>
        <w:gridCol w:w="1329"/>
        <w:gridCol w:w="1329"/>
        <w:gridCol w:w="1329"/>
        <w:gridCol w:w="1329"/>
        <w:gridCol w:w="1329"/>
        <w:gridCol w:w="1329"/>
      </w:tblGrid>
      <w:tr w:rsidR="00DA315C">
        <w:tc>
          <w:tcPr>
            <w:tcW w:w="1328"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阶段</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净值收益率①</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净值收益率标准差②</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业绩比较基准收益率③</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业绩比较基准收益率标准差④</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①-③</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②-④</w:t>
            </w:r>
          </w:p>
        </w:tc>
      </w:tr>
      <w:tr w:rsidR="0082384A">
        <w:tc>
          <w:tcPr>
            <w:tcW w:w="1328" w:type="dxa"/>
            <w:vAlign w:val="center"/>
          </w:tcPr>
          <w:p w:rsidR="0082384A" w:rsidRDefault="0082384A" w:rsidP="0082384A">
            <w:pPr>
              <w:jc w:val="left"/>
            </w:pPr>
            <w:r>
              <w:rPr>
                <w:rFonts w:asciiTheme="minorEastAsia" w:eastAsiaTheme="minorEastAsia" w:hAnsiTheme="minorEastAsia"/>
                <w:color w:val="000000" w:themeColor="text1"/>
              </w:rPr>
              <w:t>过去三个月</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0.4570%</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0.0016%</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0.3357%</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0.0000%</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0.1213%</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0.0016%</w:t>
            </w:r>
          </w:p>
        </w:tc>
      </w:tr>
      <w:tr w:rsidR="0082384A">
        <w:tc>
          <w:tcPr>
            <w:tcW w:w="1328" w:type="dxa"/>
            <w:vAlign w:val="center"/>
          </w:tcPr>
          <w:p w:rsidR="0082384A" w:rsidRDefault="0082384A" w:rsidP="0082384A">
            <w:pPr>
              <w:jc w:val="left"/>
            </w:pPr>
            <w:r>
              <w:rPr>
                <w:rFonts w:asciiTheme="minorEastAsia" w:eastAsiaTheme="minorEastAsia" w:hAnsiTheme="minorEastAsia"/>
                <w:color w:val="000000" w:themeColor="text1"/>
              </w:rPr>
              <w:t>过去六个月</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0.9721%</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0.0012%</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0.6759%</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0.0000%</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0.2962%</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0.0012%</w:t>
            </w:r>
          </w:p>
        </w:tc>
      </w:tr>
      <w:tr w:rsidR="0082384A">
        <w:tc>
          <w:tcPr>
            <w:tcW w:w="1328" w:type="dxa"/>
            <w:vAlign w:val="center"/>
          </w:tcPr>
          <w:p w:rsidR="0082384A" w:rsidRDefault="0082384A" w:rsidP="0082384A">
            <w:pPr>
              <w:jc w:val="left"/>
            </w:pPr>
            <w:r>
              <w:rPr>
                <w:rFonts w:asciiTheme="minorEastAsia" w:eastAsiaTheme="minorEastAsia" w:hAnsiTheme="minorEastAsia"/>
                <w:color w:val="000000" w:themeColor="text1"/>
              </w:rPr>
              <w:lastRenderedPageBreak/>
              <w:t>过去一年</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1.9783%</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0.0009%</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1.3528%</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0.0000%</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0.6255%</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0.0009%</w:t>
            </w:r>
          </w:p>
        </w:tc>
      </w:tr>
      <w:tr w:rsidR="0082384A">
        <w:tc>
          <w:tcPr>
            <w:tcW w:w="1328" w:type="dxa"/>
            <w:vAlign w:val="center"/>
          </w:tcPr>
          <w:p w:rsidR="0082384A" w:rsidRDefault="0082384A" w:rsidP="0082384A">
            <w:pPr>
              <w:jc w:val="left"/>
            </w:pPr>
            <w:r>
              <w:rPr>
                <w:rFonts w:asciiTheme="minorEastAsia" w:eastAsiaTheme="minorEastAsia" w:hAnsiTheme="minorEastAsia"/>
                <w:color w:val="000000" w:themeColor="text1"/>
              </w:rPr>
              <w:t>过去五年</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w:t>
            </w:r>
          </w:p>
        </w:tc>
      </w:tr>
      <w:tr w:rsidR="0082384A">
        <w:tc>
          <w:tcPr>
            <w:tcW w:w="1328" w:type="dxa"/>
            <w:vAlign w:val="center"/>
          </w:tcPr>
          <w:p w:rsidR="0082384A" w:rsidRDefault="0082384A" w:rsidP="0082384A">
            <w:pPr>
              <w:jc w:val="left"/>
            </w:pPr>
            <w:r>
              <w:rPr>
                <w:rFonts w:asciiTheme="minorEastAsia" w:eastAsiaTheme="minorEastAsia" w:hAnsiTheme="minorEastAsia"/>
                <w:color w:val="000000" w:themeColor="text1"/>
              </w:rPr>
              <w:t>过去三年</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w:t>
            </w:r>
          </w:p>
        </w:tc>
      </w:tr>
      <w:tr w:rsidR="0082384A">
        <w:tc>
          <w:tcPr>
            <w:tcW w:w="1328" w:type="dxa"/>
            <w:vAlign w:val="center"/>
          </w:tcPr>
          <w:p w:rsidR="0082384A" w:rsidRDefault="0082384A" w:rsidP="0082384A">
            <w:pPr>
              <w:jc w:val="left"/>
            </w:pPr>
            <w:r>
              <w:rPr>
                <w:rFonts w:asciiTheme="minorEastAsia" w:eastAsiaTheme="minorEastAsia" w:hAnsiTheme="minorEastAsia"/>
                <w:color w:val="000000" w:themeColor="text1"/>
              </w:rPr>
              <w:t>自基金合同生效起至今</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2.8017%</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0.0013%</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1.9261%</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0.0000%</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0.8756%</w:t>
            </w:r>
          </w:p>
        </w:tc>
        <w:tc>
          <w:tcPr>
            <w:tcW w:w="1329" w:type="dxa"/>
            <w:vAlign w:val="center"/>
          </w:tcPr>
          <w:p w:rsidR="0082384A" w:rsidRDefault="0082384A" w:rsidP="0082384A">
            <w:pPr>
              <w:jc w:val="center"/>
            </w:pPr>
            <w:r>
              <w:rPr>
                <w:rFonts w:asciiTheme="minorEastAsia" w:eastAsiaTheme="minorEastAsia" w:hAnsiTheme="minorEastAsia"/>
                <w:color w:val="000000" w:themeColor="text1"/>
              </w:rPr>
              <w:t>0.0013%</w:t>
            </w:r>
          </w:p>
        </w:tc>
      </w:tr>
    </w:tbl>
    <w:p w:rsidR="00DA315C" w:rsidRDefault="00CC2E83" w:rsidP="00614961">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注：本基金收益分配按日结转份额。</w:t>
      </w:r>
    </w:p>
    <w:p w:rsidR="00DA315C" w:rsidRDefault="00CC2E83" w:rsidP="004600C4">
      <w:pPr>
        <w:spacing w:beforeLines="50" w:before="12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3.2.2</w:t>
      </w:r>
      <w:r>
        <w:rPr>
          <w:rFonts w:asciiTheme="minorEastAsia" w:eastAsiaTheme="minorEastAsia" w:hAnsiTheme="minorEastAsia" w:cs="Arial" w:hint="eastAsia"/>
          <w:b/>
          <w:color w:val="000000" w:themeColor="text1"/>
          <w:kern w:val="0"/>
          <w:sz w:val="24"/>
        </w:rPr>
        <w:t xml:space="preserve"> </w:t>
      </w:r>
      <w:r>
        <w:rPr>
          <w:rStyle w:val="af3"/>
          <w:rFonts w:hint="eastAsia"/>
          <w:color w:val="000000" w:themeColor="text1"/>
          <w:sz w:val="24"/>
          <w:shd w:val="clear" w:color="auto" w:fill="FFFFFF"/>
        </w:rPr>
        <w:t>自基金合同生效以来</w:t>
      </w:r>
      <w:r>
        <w:rPr>
          <w:rFonts w:asciiTheme="minorEastAsia" w:eastAsiaTheme="minorEastAsia" w:hAnsiTheme="minorEastAsia" w:cs="Arial" w:hint="eastAsia"/>
          <w:b/>
          <w:color w:val="000000" w:themeColor="text1"/>
          <w:kern w:val="0"/>
          <w:sz w:val="24"/>
        </w:rPr>
        <w:t>基金累计净值收益率变动及其与同期业绩比较基准收益率变动的比较</w:t>
      </w:r>
    </w:p>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摩根天添盈货币市场基金</w:t>
      </w:r>
    </w:p>
    <w:p w:rsidR="00DA315C" w:rsidRDefault="00CC2E83">
      <w:pPr>
        <w:pStyle w:val="a5"/>
        <w:snapToGrid w:val="0"/>
        <w:spacing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份额累计净值收益率与业绩比较基准收益率历史走势对比图</w:t>
      </w:r>
    </w:p>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kern w:val="0"/>
          <w:sz w:val="24"/>
        </w:rPr>
        <w:t>(</w:t>
      </w:r>
      <w:r>
        <w:rPr>
          <w:rFonts w:asciiTheme="minorEastAsia" w:eastAsiaTheme="minorEastAsia" w:hAnsiTheme="minorEastAsia"/>
          <w:color w:val="000000" w:themeColor="text1"/>
          <w:kern w:val="0"/>
          <w:sz w:val="24"/>
        </w:rPr>
        <w:t>2014年11月25日</w:t>
      </w:r>
      <w:r>
        <w:rPr>
          <w:rFonts w:asciiTheme="minorEastAsia" w:eastAsiaTheme="minorEastAsia" w:hAnsiTheme="minorEastAsia" w:hint="eastAsia"/>
          <w:color w:val="000000" w:themeColor="text1"/>
          <w:kern w:val="0"/>
          <w:sz w:val="24"/>
        </w:rPr>
        <w:t>至2024年3月31日)</w:t>
      </w:r>
    </w:p>
    <w:p w:rsidR="00DA315C" w:rsidRPr="00EB02DE" w:rsidRDefault="00CC2E83" w:rsidP="004600C4">
      <w:pPr>
        <w:snapToGrid w:val="0"/>
        <w:spacing w:beforeLines="50" w:before="120" w:line="360" w:lineRule="auto"/>
        <w:ind w:left="471"/>
        <w:rPr>
          <w:rFonts w:asciiTheme="minorEastAsia" w:eastAsiaTheme="minorEastAsia" w:hAnsiTheme="minorEastAsia"/>
          <w:b/>
          <w:color w:val="000000" w:themeColor="text1"/>
          <w:sz w:val="24"/>
        </w:rPr>
      </w:pPr>
      <w:r w:rsidRPr="00EB02DE">
        <w:rPr>
          <w:rFonts w:asciiTheme="minorEastAsia" w:eastAsiaTheme="minorEastAsia" w:hAnsiTheme="minorEastAsia" w:hint="eastAsia"/>
          <w:b/>
          <w:color w:val="000000" w:themeColor="text1"/>
          <w:kern w:val="0"/>
          <w:sz w:val="24"/>
        </w:rPr>
        <w:t>1、</w:t>
      </w:r>
      <w:r w:rsidRPr="00EB02DE">
        <w:rPr>
          <w:rFonts w:asciiTheme="minorEastAsia" w:eastAsiaTheme="minorEastAsia" w:hAnsiTheme="minorEastAsia"/>
          <w:b/>
          <w:color w:val="000000" w:themeColor="text1"/>
          <w:kern w:val="0"/>
          <w:sz w:val="24"/>
        </w:rPr>
        <w:t>摩根天添盈货币A类</w:t>
      </w:r>
      <w:r w:rsidR="00EB02DE" w:rsidRPr="00EB02DE">
        <w:rPr>
          <w:rFonts w:asciiTheme="minorEastAsia" w:eastAsiaTheme="minorEastAsia" w:hAnsiTheme="minorEastAsia" w:hint="eastAsia"/>
          <w:b/>
          <w:color w:val="000000" w:themeColor="text1"/>
          <w:kern w:val="0"/>
          <w:sz w:val="24"/>
        </w:rPr>
        <w:t>：</w:t>
      </w:r>
    </w:p>
    <w:p w:rsidR="00DA315C" w:rsidRDefault="00CC2E83">
      <w:pPr>
        <w:tabs>
          <w:tab w:val="left" w:pos="0"/>
        </w:tabs>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noProof/>
          <w:color w:val="000000" w:themeColor="text1"/>
          <w:sz w:val="24"/>
        </w:rPr>
        <w:drawing>
          <wp:inline distT="0" distB="0" distL="0" distR="0" wp14:anchorId="750829A0" wp14:editId="5531CF11">
            <wp:extent cx="5772150" cy="3381375"/>
            <wp:effectExtent l="0" t="0" r="0" b="9525"/>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72150" cy="3381375"/>
                    </a:xfrm>
                    <a:prstGeom prst="rect">
                      <a:avLst/>
                    </a:prstGeom>
                    <a:noFill/>
                    <a:ln>
                      <a:noFill/>
                    </a:ln>
                  </pic:spPr>
                </pic:pic>
              </a:graphicData>
            </a:graphic>
          </wp:inline>
        </w:drawing>
      </w:r>
    </w:p>
    <w:p w:rsidR="00D01D0F" w:rsidRDefault="0082384A">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注：1.本基金合同生效日为2014年11月25日，图示的时间段为合同生效日至本报告期末。</w:t>
      </w:r>
    </w:p>
    <w:p w:rsidR="00D01D0F" w:rsidRDefault="0082384A">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2.本基金建仓期为本基金合同生效日起 6 个月, 建仓期结束时资产配置比例符合本基金基金合同的规定。</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3.自2018年6月22日起，本基金B类基金份额为零且停止计算B类基金份额每万份收益。</w:t>
      </w:r>
    </w:p>
    <w:p w:rsidR="00DA315C" w:rsidRPr="004600C4" w:rsidRDefault="00CC2E83" w:rsidP="004600C4">
      <w:pPr>
        <w:snapToGrid w:val="0"/>
        <w:spacing w:beforeLines="50" w:before="120" w:line="360" w:lineRule="auto"/>
        <w:ind w:left="471"/>
        <w:rPr>
          <w:rFonts w:asciiTheme="minorEastAsia" w:eastAsiaTheme="minorEastAsia" w:hAnsiTheme="minorEastAsia"/>
          <w:b/>
          <w:color w:val="000000" w:themeColor="text1"/>
          <w:kern w:val="0"/>
          <w:sz w:val="24"/>
        </w:rPr>
      </w:pPr>
      <w:r w:rsidRPr="00EB02DE">
        <w:rPr>
          <w:rFonts w:asciiTheme="minorEastAsia" w:eastAsiaTheme="minorEastAsia" w:hAnsiTheme="minorEastAsia" w:hint="eastAsia"/>
          <w:b/>
          <w:color w:val="000000" w:themeColor="text1"/>
          <w:kern w:val="0"/>
          <w:sz w:val="24"/>
        </w:rPr>
        <w:lastRenderedPageBreak/>
        <w:t>2、</w:t>
      </w:r>
      <w:r w:rsidR="00050540">
        <w:rPr>
          <w:rFonts w:asciiTheme="minorEastAsia" w:eastAsiaTheme="minorEastAsia" w:hAnsiTheme="minorEastAsia" w:hint="eastAsia"/>
          <w:b/>
          <w:color w:val="000000" w:themeColor="text1"/>
          <w:kern w:val="0"/>
          <w:sz w:val="24"/>
        </w:rPr>
        <w:t>摩根天添盈货币B类</w:t>
      </w:r>
      <w:r w:rsidR="00EB02DE" w:rsidRPr="00EB02DE">
        <w:rPr>
          <w:rFonts w:asciiTheme="minorEastAsia" w:eastAsiaTheme="minorEastAsia" w:hAnsiTheme="minorEastAsia" w:hint="eastAsia"/>
          <w:b/>
          <w:color w:val="000000" w:themeColor="text1"/>
          <w:kern w:val="0"/>
          <w:sz w:val="24"/>
        </w:rPr>
        <w:t>：</w:t>
      </w:r>
    </w:p>
    <w:p w:rsidR="00DA315C" w:rsidRDefault="00DA315C">
      <w:pPr>
        <w:snapToGrid w:val="0"/>
        <w:spacing w:line="360" w:lineRule="auto"/>
        <w:jc w:val="center"/>
        <w:rPr>
          <w:rFonts w:asciiTheme="minorEastAsia" w:eastAsiaTheme="minorEastAsia" w:hAnsiTheme="minorEastAsia"/>
          <w:color w:val="000000" w:themeColor="text1"/>
          <w:sz w:val="24"/>
        </w:rPr>
      </w:pPr>
    </w:p>
    <w:p w:rsidR="0082384A" w:rsidRDefault="0082384A">
      <w:pPr>
        <w:snapToGrid w:val="0"/>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noProof/>
          <w:color w:val="000000" w:themeColor="text1"/>
          <w:sz w:val="24"/>
        </w:rPr>
        <w:drawing>
          <wp:inline distT="0" distB="0" distL="0" distR="0" wp14:anchorId="62B7BB0B" wp14:editId="3D8F7056">
            <wp:extent cx="5769610" cy="3379887"/>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69610" cy="3379887"/>
                    </a:xfrm>
                    <a:prstGeom prst="rect">
                      <a:avLst/>
                    </a:prstGeom>
                    <a:noFill/>
                    <a:ln>
                      <a:noFill/>
                    </a:ln>
                  </pic:spPr>
                </pic:pic>
              </a:graphicData>
            </a:graphic>
          </wp:inline>
        </w:drawing>
      </w:r>
    </w:p>
    <w:p w:rsidR="00DA315C" w:rsidRDefault="00050540">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注：自2018年6月22日起，本基金B类基金份额为零且停止计算B类基金份额每万份收益。</w:t>
      </w:r>
    </w:p>
    <w:p w:rsidR="00DA315C" w:rsidRPr="004600C4" w:rsidRDefault="00CC2E83" w:rsidP="004600C4">
      <w:pPr>
        <w:snapToGrid w:val="0"/>
        <w:spacing w:beforeLines="50" w:before="120" w:line="360" w:lineRule="auto"/>
        <w:ind w:left="471"/>
        <w:rPr>
          <w:rFonts w:asciiTheme="minorEastAsia" w:eastAsiaTheme="minorEastAsia" w:hAnsiTheme="minorEastAsia"/>
          <w:b/>
          <w:color w:val="000000" w:themeColor="text1"/>
          <w:kern w:val="0"/>
          <w:sz w:val="24"/>
        </w:rPr>
      </w:pPr>
      <w:r w:rsidRPr="00EB02DE">
        <w:rPr>
          <w:rFonts w:asciiTheme="minorEastAsia" w:eastAsiaTheme="minorEastAsia" w:hAnsiTheme="minorEastAsia" w:hint="eastAsia"/>
          <w:b/>
          <w:color w:val="000000" w:themeColor="text1"/>
          <w:kern w:val="0"/>
          <w:sz w:val="24"/>
        </w:rPr>
        <w:t>3、</w:t>
      </w:r>
      <w:r w:rsidR="00050540">
        <w:rPr>
          <w:rFonts w:asciiTheme="minorEastAsia" w:eastAsiaTheme="minorEastAsia" w:hAnsiTheme="minorEastAsia" w:hint="eastAsia"/>
          <w:b/>
          <w:color w:val="000000" w:themeColor="text1"/>
          <w:kern w:val="0"/>
          <w:sz w:val="24"/>
        </w:rPr>
        <w:t>摩根天添盈货币E类</w:t>
      </w:r>
      <w:r w:rsidR="00EB02DE" w:rsidRPr="00EB02DE">
        <w:rPr>
          <w:rFonts w:asciiTheme="minorEastAsia" w:eastAsiaTheme="minorEastAsia" w:hAnsiTheme="minorEastAsia" w:hint="eastAsia"/>
          <w:b/>
          <w:color w:val="000000" w:themeColor="text1"/>
          <w:kern w:val="0"/>
          <w:sz w:val="24"/>
        </w:rPr>
        <w:t>：</w:t>
      </w:r>
    </w:p>
    <w:p w:rsidR="00DA315C" w:rsidRDefault="00CC2E83">
      <w:pPr>
        <w:autoSpaceDE w:val="0"/>
        <w:autoSpaceDN w:val="0"/>
        <w:adjustRightInd w:val="0"/>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noProof/>
          <w:color w:val="000000" w:themeColor="text1"/>
          <w:sz w:val="24"/>
        </w:rPr>
        <w:lastRenderedPageBreak/>
        <w:drawing>
          <wp:inline distT="0" distB="0" distL="0" distR="0" wp14:anchorId="09B9102D" wp14:editId="1BAE3F5A">
            <wp:extent cx="5772150" cy="3381375"/>
            <wp:effectExtent l="0" t="0" r="0" b="9525"/>
            <wp:docPr id="6" name="图片 6" descr="D:\浏览器下载\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浏览器下载\走势图柱状图\走势图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72150" cy="3381375"/>
                    </a:xfrm>
                    <a:prstGeom prst="rect">
                      <a:avLst/>
                    </a:prstGeom>
                    <a:noFill/>
                    <a:ln>
                      <a:noFill/>
                    </a:ln>
                  </pic:spPr>
                </pic:pic>
              </a:graphicData>
            </a:graphic>
          </wp:inline>
        </w:drawing>
      </w:r>
    </w:p>
    <w:p w:rsidR="00D01D0F" w:rsidRDefault="0082384A">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注：1.本基金合同生效日为2014年11月25日，图示的时间段为合同生效日至本报告期末。</w:t>
      </w:r>
    </w:p>
    <w:p w:rsidR="00D01D0F" w:rsidRDefault="0082384A">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2.本基金建仓期为本基金合同生效日起 6 个月, 建仓期结束时资产配置比例符合本基金基金合同的规定。</w:t>
      </w:r>
    </w:p>
    <w:p w:rsidR="00DA315C" w:rsidRDefault="00050540">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3.自2018年6月22日起，本基金B类基金份额为零且停止计算B类基金份额每万份收益。</w:t>
      </w:r>
    </w:p>
    <w:p w:rsidR="00DA315C" w:rsidRPr="004600C4" w:rsidRDefault="00CC2E83" w:rsidP="004600C4">
      <w:pPr>
        <w:snapToGrid w:val="0"/>
        <w:spacing w:beforeLines="50" w:before="120" w:line="360" w:lineRule="auto"/>
        <w:ind w:left="471"/>
        <w:rPr>
          <w:rFonts w:asciiTheme="minorEastAsia" w:eastAsiaTheme="minorEastAsia" w:hAnsiTheme="minorEastAsia"/>
          <w:b/>
          <w:color w:val="000000" w:themeColor="text1"/>
          <w:kern w:val="0"/>
          <w:sz w:val="24"/>
        </w:rPr>
      </w:pPr>
      <w:r w:rsidRPr="00EB02DE">
        <w:rPr>
          <w:rFonts w:asciiTheme="minorEastAsia" w:eastAsiaTheme="minorEastAsia" w:hAnsiTheme="minorEastAsia" w:hint="eastAsia"/>
          <w:b/>
          <w:color w:val="000000" w:themeColor="text1"/>
          <w:kern w:val="0"/>
          <w:sz w:val="24"/>
        </w:rPr>
        <w:t>4、</w:t>
      </w:r>
      <w:r w:rsidR="00050540">
        <w:rPr>
          <w:rFonts w:asciiTheme="minorEastAsia" w:eastAsiaTheme="minorEastAsia" w:hAnsiTheme="minorEastAsia" w:hint="eastAsia"/>
          <w:b/>
          <w:color w:val="000000" w:themeColor="text1"/>
          <w:kern w:val="0"/>
          <w:sz w:val="24"/>
        </w:rPr>
        <w:t>摩根天添盈货币C类</w:t>
      </w:r>
      <w:r w:rsidR="00EB02DE" w:rsidRPr="00EB02DE">
        <w:rPr>
          <w:rFonts w:asciiTheme="minorEastAsia" w:eastAsiaTheme="minorEastAsia" w:hAnsiTheme="minorEastAsia" w:hint="eastAsia"/>
          <w:b/>
          <w:color w:val="000000" w:themeColor="text1"/>
          <w:kern w:val="0"/>
          <w:sz w:val="24"/>
        </w:rPr>
        <w:t>：</w:t>
      </w:r>
    </w:p>
    <w:p w:rsidR="00DA315C" w:rsidRDefault="00CC2E83">
      <w:pPr>
        <w:autoSpaceDE w:val="0"/>
        <w:autoSpaceDN w:val="0"/>
        <w:adjustRightInd w:val="0"/>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b/>
          <w:noProof/>
          <w:color w:val="000000" w:themeColor="text1"/>
        </w:rPr>
        <w:lastRenderedPageBreak/>
        <w:drawing>
          <wp:inline distT="0" distB="0" distL="0" distR="0" wp14:anchorId="06C13199" wp14:editId="3C985C27">
            <wp:extent cx="5600700" cy="3279775"/>
            <wp:effectExtent l="0" t="0" r="0" b="0"/>
            <wp:docPr id="4" name="图片 4" descr="D:\浏览器下载\走势图柱状图\走势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浏览器下载\走势图柱状图\走势图4.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600700" cy="3279775"/>
                    </a:xfrm>
                    <a:prstGeom prst="rect">
                      <a:avLst/>
                    </a:prstGeom>
                  </pic:spPr>
                </pic:pic>
              </a:graphicData>
            </a:graphic>
          </wp:inline>
        </w:drawing>
      </w:r>
    </w:p>
    <w:p w:rsidR="00D01D0F" w:rsidRDefault="0082384A">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注：1.本基金自 2022年10月27日起增加C类份额，相关数据按实际存续期计算。</w:t>
      </w:r>
    </w:p>
    <w:p w:rsidR="00D01D0F" w:rsidRDefault="0082384A">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2.本基金建仓期为本基金合同生效日起 6 个月, 建仓期结束时资产配置比例符合本基金基金合同的规定。</w:t>
      </w:r>
    </w:p>
    <w:p w:rsidR="00DA315C" w:rsidRDefault="00050540">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3.自2018年6月22日起，本基金B类基金份额为零且停止计算B类基金份额每万份收益。</w:t>
      </w:r>
    </w:p>
    <w:p w:rsidR="00DA315C" w:rsidRDefault="00CC2E83" w:rsidP="00EF5D52">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4  </w:t>
      </w:r>
      <w:r>
        <w:rPr>
          <w:rFonts w:asciiTheme="minorEastAsia" w:eastAsiaTheme="minorEastAsia" w:hAnsiTheme="minorEastAsia" w:cs="Arial" w:hint="eastAsia"/>
          <w:color w:val="000000" w:themeColor="text1"/>
          <w:kern w:val="0"/>
          <w:sz w:val="24"/>
          <w:szCs w:val="24"/>
        </w:rPr>
        <w:t>管理人报告</w:t>
      </w:r>
    </w:p>
    <w:p w:rsidR="00DA315C" w:rsidRDefault="00CC2E83" w:rsidP="00FC77AA">
      <w:pPr>
        <w:autoSpaceDE w:val="0"/>
        <w:autoSpaceDN w:val="0"/>
        <w:adjustRightInd w:val="0"/>
        <w:spacing w:beforeLines="50" w:before="120" w:line="360" w:lineRule="auto"/>
        <w:jc w:val="left"/>
        <w:rPr>
          <w:rFonts w:asciiTheme="minorEastAsia" w:eastAsiaTheme="minorEastAsia" w:hAnsiTheme="minorEastAsia"/>
          <w:b/>
          <w:bCs/>
          <w:color w:val="000000" w:themeColor="text1"/>
          <w:sz w:val="24"/>
        </w:rPr>
      </w:pPr>
      <w:r>
        <w:rPr>
          <w:rFonts w:asciiTheme="minorEastAsia" w:eastAsiaTheme="minorEastAsia" w:hAnsiTheme="minorEastAsia" w:cs="Arial"/>
          <w:b/>
          <w:color w:val="000000" w:themeColor="text1"/>
          <w:kern w:val="0"/>
          <w:sz w:val="24"/>
        </w:rPr>
        <w:t xml:space="preserve">4.1 </w:t>
      </w:r>
      <w:r>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883"/>
        <w:gridCol w:w="993"/>
        <w:gridCol w:w="1134"/>
        <w:gridCol w:w="992"/>
        <w:gridCol w:w="2977"/>
      </w:tblGrid>
      <w:tr w:rsidR="00DA315C">
        <w:trPr>
          <w:cantSplit/>
        </w:trPr>
        <w:tc>
          <w:tcPr>
            <w:tcW w:w="952" w:type="dxa"/>
            <w:vMerge w:val="restart"/>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姓名</w:t>
            </w:r>
          </w:p>
        </w:tc>
        <w:tc>
          <w:tcPr>
            <w:tcW w:w="1883" w:type="dxa"/>
            <w:vMerge w:val="restart"/>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职务</w:t>
            </w:r>
          </w:p>
        </w:tc>
        <w:tc>
          <w:tcPr>
            <w:tcW w:w="2127" w:type="dxa"/>
            <w:gridSpan w:val="2"/>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任本基金的基金经理期限</w:t>
            </w:r>
          </w:p>
        </w:tc>
        <w:tc>
          <w:tcPr>
            <w:tcW w:w="992" w:type="dxa"/>
            <w:vMerge w:val="restart"/>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证券从业年限</w:t>
            </w:r>
          </w:p>
        </w:tc>
        <w:tc>
          <w:tcPr>
            <w:tcW w:w="2977" w:type="dxa"/>
            <w:vMerge w:val="restart"/>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说明</w:t>
            </w:r>
          </w:p>
        </w:tc>
      </w:tr>
      <w:tr w:rsidR="00DA315C">
        <w:trPr>
          <w:cantSplit/>
        </w:trPr>
        <w:tc>
          <w:tcPr>
            <w:tcW w:w="952" w:type="dxa"/>
            <w:vMerge/>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c>
          <w:tcPr>
            <w:tcW w:w="1883" w:type="dxa"/>
            <w:vMerge/>
          </w:tcPr>
          <w:p w:rsidR="00DA315C" w:rsidRDefault="00DA315C">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c>
          <w:tcPr>
            <w:tcW w:w="993"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任职日期</w:t>
            </w:r>
          </w:p>
        </w:tc>
        <w:tc>
          <w:tcPr>
            <w:tcW w:w="1134"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离任日期</w:t>
            </w:r>
          </w:p>
        </w:tc>
        <w:tc>
          <w:tcPr>
            <w:tcW w:w="992" w:type="dxa"/>
            <w:vMerge/>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c>
          <w:tcPr>
            <w:tcW w:w="2977" w:type="dxa"/>
            <w:vMerge/>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r>
      <w:tr w:rsidR="00D01D0F">
        <w:tc>
          <w:tcPr>
            <w:tcW w:w="952" w:type="dxa"/>
            <w:vAlign w:val="center"/>
          </w:tcPr>
          <w:p w:rsidR="00D01D0F" w:rsidRDefault="0082384A">
            <w:pPr>
              <w:jc w:val="center"/>
            </w:pPr>
            <w:r>
              <w:rPr>
                <w:rFonts w:asciiTheme="minorEastAsia" w:eastAsiaTheme="minorEastAsia" w:hAnsiTheme="minorEastAsia"/>
                <w:color w:val="000000" w:themeColor="text1"/>
                <w:sz w:val="24"/>
              </w:rPr>
              <w:t>鞠婷</w:t>
            </w:r>
          </w:p>
        </w:tc>
        <w:tc>
          <w:tcPr>
            <w:tcW w:w="1883" w:type="dxa"/>
            <w:vAlign w:val="center"/>
          </w:tcPr>
          <w:p w:rsidR="00D01D0F" w:rsidRDefault="0082384A">
            <w:pPr>
              <w:jc w:val="center"/>
            </w:pPr>
            <w:r>
              <w:rPr>
                <w:rFonts w:asciiTheme="minorEastAsia" w:eastAsiaTheme="minorEastAsia" w:hAnsiTheme="minorEastAsia"/>
                <w:color w:val="000000" w:themeColor="text1"/>
                <w:sz w:val="24"/>
              </w:rPr>
              <w:t>本基金基金经理</w:t>
            </w:r>
          </w:p>
        </w:tc>
        <w:tc>
          <w:tcPr>
            <w:tcW w:w="993" w:type="dxa"/>
            <w:vAlign w:val="center"/>
          </w:tcPr>
          <w:p w:rsidR="00D01D0F" w:rsidRDefault="0082384A">
            <w:pPr>
              <w:jc w:val="center"/>
            </w:pPr>
            <w:r>
              <w:rPr>
                <w:rFonts w:asciiTheme="minorEastAsia" w:eastAsiaTheme="minorEastAsia" w:hAnsiTheme="minorEastAsia"/>
                <w:color w:val="000000" w:themeColor="text1"/>
                <w:sz w:val="24"/>
              </w:rPr>
              <w:t>2016-05-27</w:t>
            </w:r>
          </w:p>
        </w:tc>
        <w:tc>
          <w:tcPr>
            <w:tcW w:w="1134" w:type="dxa"/>
            <w:vAlign w:val="center"/>
          </w:tcPr>
          <w:p w:rsidR="00D01D0F" w:rsidRDefault="0082384A">
            <w:pPr>
              <w:jc w:val="center"/>
            </w:pPr>
            <w:r>
              <w:rPr>
                <w:rFonts w:asciiTheme="minorEastAsia" w:eastAsiaTheme="minorEastAsia" w:hAnsiTheme="minorEastAsia"/>
                <w:color w:val="000000" w:themeColor="text1"/>
                <w:sz w:val="24"/>
              </w:rPr>
              <w:t>-</w:t>
            </w:r>
          </w:p>
        </w:tc>
        <w:tc>
          <w:tcPr>
            <w:tcW w:w="992" w:type="dxa"/>
            <w:vAlign w:val="center"/>
          </w:tcPr>
          <w:p w:rsidR="00D01D0F" w:rsidRDefault="0082384A">
            <w:pPr>
              <w:jc w:val="center"/>
            </w:pPr>
            <w:r>
              <w:rPr>
                <w:rFonts w:asciiTheme="minorEastAsia" w:eastAsiaTheme="minorEastAsia" w:hAnsiTheme="minorEastAsia"/>
                <w:color w:val="000000" w:themeColor="text1"/>
                <w:sz w:val="24"/>
              </w:rPr>
              <w:t>18年</w:t>
            </w:r>
          </w:p>
        </w:tc>
        <w:tc>
          <w:tcPr>
            <w:tcW w:w="2977" w:type="dxa"/>
            <w:vAlign w:val="center"/>
          </w:tcPr>
          <w:p w:rsidR="00D01D0F" w:rsidRDefault="0082384A">
            <w:r>
              <w:rPr>
                <w:rFonts w:asciiTheme="minorEastAsia" w:eastAsiaTheme="minorEastAsia" w:hAnsiTheme="minorEastAsia"/>
                <w:color w:val="000000" w:themeColor="text1"/>
                <w:sz w:val="24"/>
              </w:rPr>
              <w:t>鞠婷女士曾任中国建设银行第一支行助理经济师，瑞穗银行总行总经理助理。2014年10月起加入摩根基金管理（中国）有限公司（原上投摩根基金管理有限公</w:t>
            </w:r>
            <w:r>
              <w:rPr>
                <w:rFonts w:asciiTheme="minorEastAsia" w:eastAsiaTheme="minorEastAsia" w:hAnsiTheme="minorEastAsia"/>
                <w:color w:val="000000" w:themeColor="text1"/>
                <w:sz w:val="24"/>
              </w:rPr>
              <w:lastRenderedPageBreak/>
              <w:t>司），历任基金经理助理、基金经理，高级基金经理，现任货币市场投资部副总监兼资深基金经理。</w:t>
            </w:r>
          </w:p>
        </w:tc>
      </w:tr>
      <w:tr w:rsidR="00D01D0F">
        <w:tc>
          <w:tcPr>
            <w:tcW w:w="952" w:type="dxa"/>
            <w:vAlign w:val="center"/>
          </w:tcPr>
          <w:p w:rsidR="00D01D0F" w:rsidRDefault="0082384A">
            <w:pPr>
              <w:jc w:val="center"/>
            </w:pPr>
            <w:r>
              <w:rPr>
                <w:rFonts w:asciiTheme="minorEastAsia" w:eastAsiaTheme="minorEastAsia" w:hAnsiTheme="minorEastAsia"/>
                <w:color w:val="000000" w:themeColor="text1"/>
                <w:sz w:val="24"/>
              </w:rPr>
              <w:lastRenderedPageBreak/>
              <w:t>邱林晶</w:t>
            </w:r>
          </w:p>
        </w:tc>
        <w:tc>
          <w:tcPr>
            <w:tcW w:w="1883" w:type="dxa"/>
            <w:vAlign w:val="center"/>
          </w:tcPr>
          <w:p w:rsidR="00D01D0F" w:rsidRDefault="0082384A">
            <w:pPr>
              <w:jc w:val="center"/>
            </w:pPr>
            <w:r>
              <w:rPr>
                <w:rFonts w:asciiTheme="minorEastAsia" w:eastAsiaTheme="minorEastAsia" w:hAnsiTheme="minorEastAsia"/>
                <w:color w:val="000000" w:themeColor="text1"/>
                <w:sz w:val="24"/>
              </w:rPr>
              <w:t>本基金基金经理</w:t>
            </w:r>
          </w:p>
        </w:tc>
        <w:tc>
          <w:tcPr>
            <w:tcW w:w="993" w:type="dxa"/>
            <w:vAlign w:val="center"/>
          </w:tcPr>
          <w:p w:rsidR="00D01D0F" w:rsidRDefault="0082384A">
            <w:pPr>
              <w:jc w:val="center"/>
            </w:pPr>
            <w:r>
              <w:rPr>
                <w:rFonts w:asciiTheme="minorEastAsia" w:eastAsiaTheme="minorEastAsia" w:hAnsiTheme="minorEastAsia"/>
                <w:color w:val="000000" w:themeColor="text1"/>
                <w:sz w:val="24"/>
              </w:rPr>
              <w:t>2023-04-07</w:t>
            </w:r>
          </w:p>
        </w:tc>
        <w:tc>
          <w:tcPr>
            <w:tcW w:w="1134" w:type="dxa"/>
            <w:vAlign w:val="center"/>
          </w:tcPr>
          <w:p w:rsidR="00D01D0F" w:rsidRDefault="0082384A">
            <w:pPr>
              <w:jc w:val="center"/>
            </w:pPr>
            <w:r>
              <w:rPr>
                <w:rFonts w:asciiTheme="minorEastAsia" w:eastAsiaTheme="minorEastAsia" w:hAnsiTheme="minorEastAsia"/>
                <w:color w:val="000000" w:themeColor="text1"/>
                <w:sz w:val="24"/>
              </w:rPr>
              <w:t>-</w:t>
            </w:r>
          </w:p>
        </w:tc>
        <w:tc>
          <w:tcPr>
            <w:tcW w:w="992" w:type="dxa"/>
            <w:vAlign w:val="center"/>
          </w:tcPr>
          <w:p w:rsidR="00D01D0F" w:rsidRDefault="0082384A">
            <w:pPr>
              <w:jc w:val="center"/>
            </w:pPr>
            <w:r>
              <w:rPr>
                <w:rFonts w:asciiTheme="minorEastAsia" w:eastAsiaTheme="minorEastAsia" w:hAnsiTheme="minorEastAsia"/>
                <w:color w:val="000000" w:themeColor="text1"/>
                <w:sz w:val="24"/>
              </w:rPr>
              <w:t>10年</w:t>
            </w:r>
          </w:p>
        </w:tc>
        <w:tc>
          <w:tcPr>
            <w:tcW w:w="2977" w:type="dxa"/>
            <w:vAlign w:val="center"/>
          </w:tcPr>
          <w:p w:rsidR="00D01D0F" w:rsidRDefault="0082384A">
            <w:r>
              <w:rPr>
                <w:rFonts w:asciiTheme="minorEastAsia" w:eastAsiaTheme="minorEastAsia" w:hAnsiTheme="minorEastAsia"/>
                <w:color w:val="000000" w:themeColor="text1"/>
                <w:sz w:val="24"/>
              </w:rPr>
              <w:t>邱林晶女士曾任国泰基金管理有限公司风险管理部分析师，平安资产管理有限责任公司固收交易员，中银理财有限责任公司集中交易室高级经理、活期理财产品部投资经理；自2022年5月加入摩根基金管理（中国）有限公司（原上投摩根基金管理有限公司），历任货币市场投资部基金经理助理，现任基金经理。</w:t>
            </w:r>
          </w:p>
        </w:tc>
      </w:tr>
    </w:tbl>
    <w:p w:rsidR="00D01D0F" w:rsidRDefault="0082384A">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注：1.任职日期和离任日期均指根据公司决定确定的聘任日期和解聘日期。</w:t>
      </w:r>
    </w:p>
    <w:p w:rsidR="00DA315C" w:rsidRDefault="00CC2E83"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2.证券从业的含义遵从行业协会《证券业从业人员资格管理办法》的相关规定。</w:t>
      </w:r>
    </w:p>
    <w:p w:rsidR="00DA315C" w:rsidRDefault="00CC2E83" w:rsidP="007753E9">
      <w:pPr>
        <w:autoSpaceDE w:val="0"/>
        <w:autoSpaceDN w:val="0"/>
        <w:adjustRightInd w:val="0"/>
        <w:spacing w:beforeLines="100" w:before="240"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4.2 </w:t>
      </w:r>
      <w:r>
        <w:rPr>
          <w:rFonts w:asciiTheme="minorEastAsia" w:eastAsiaTheme="minorEastAsia" w:hAnsiTheme="minorEastAsia" w:cs="Arial" w:hint="eastAsia"/>
          <w:b/>
          <w:color w:val="000000" w:themeColor="text1"/>
          <w:kern w:val="0"/>
          <w:sz w:val="24"/>
        </w:rPr>
        <w:t>报告期内本基金运作遵规守信情况说明</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A315C" w:rsidRDefault="00CC2E83" w:rsidP="007753E9">
      <w:pPr>
        <w:autoSpaceDE w:val="0"/>
        <w:autoSpaceDN w:val="0"/>
        <w:adjustRightInd w:val="0"/>
        <w:spacing w:beforeLines="100" w:before="240"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4.3 </w:t>
      </w:r>
      <w:r>
        <w:rPr>
          <w:rFonts w:asciiTheme="minorEastAsia" w:eastAsiaTheme="minorEastAsia" w:hAnsiTheme="minorEastAsia" w:cs="Arial" w:hint="eastAsia"/>
          <w:b/>
          <w:color w:val="000000" w:themeColor="text1"/>
          <w:kern w:val="0"/>
          <w:sz w:val="24"/>
        </w:rPr>
        <w:t>公平交易专项说明</w:t>
      </w:r>
    </w:p>
    <w:p w:rsidR="00DA315C" w:rsidRDefault="00CC2E83" w:rsidP="007753E9">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4.3.1 公平交易制度的执行情况</w:t>
      </w:r>
    </w:p>
    <w:p w:rsidR="00D01D0F" w:rsidRDefault="0082384A">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D01D0F" w:rsidRDefault="0082384A">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lastRenderedPageBreak/>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报告期内，通过对不同投资组合之间的收益率差异比较、对同向交易和反向交易的交易时机和交易价差监控分析，未发现整体公平交易执行出现异常的情况。</w:t>
      </w:r>
    </w:p>
    <w:p w:rsidR="00DA315C" w:rsidRDefault="00CC2E83" w:rsidP="007753E9">
      <w:pPr>
        <w:spacing w:beforeLines="100" w:before="240"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4.3.2 异常交易行为的专项说明</w:t>
      </w:r>
    </w:p>
    <w:p w:rsidR="00D01D0F" w:rsidRDefault="0082384A">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报告期内，通过对交易价格、交易时间、交易方向等的分析，未发现有可能导致不公平交易和利益输送的异常交易行为。</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所有投资组合参与的交易所公开竞价同日反向交易成交较少的单边交易量超过该证券当日成交量的5%的情形：无。</w:t>
      </w:r>
    </w:p>
    <w:p w:rsidR="00DA315C" w:rsidRPr="00FC77AA" w:rsidRDefault="00CC2E83" w:rsidP="007753E9">
      <w:pPr>
        <w:autoSpaceDE w:val="0"/>
        <w:autoSpaceDN w:val="0"/>
        <w:adjustRightInd w:val="0"/>
        <w:spacing w:beforeLines="100" w:before="240" w:line="360" w:lineRule="auto"/>
        <w:jc w:val="left"/>
        <w:rPr>
          <w:rFonts w:asciiTheme="minorEastAsia" w:eastAsiaTheme="minorEastAsia" w:hAnsiTheme="minorEastAsia" w:cs="Arial"/>
          <w:b/>
          <w:color w:val="000000" w:themeColor="text1"/>
          <w:kern w:val="0"/>
          <w:sz w:val="24"/>
        </w:rPr>
      </w:pPr>
      <w:r w:rsidRPr="00FC77AA">
        <w:rPr>
          <w:rFonts w:asciiTheme="minorEastAsia" w:eastAsiaTheme="minorEastAsia" w:hAnsiTheme="minorEastAsia" w:cs="Arial"/>
          <w:b/>
          <w:color w:val="000000" w:themeColor="text1"/>
          <w:kern w:val="0"/>
          <w:sz w:val="24"/>
        </w:rPr>
        <w:t>4.4</w:t>
      </w:r>
      <w:r w:rsidRPr="00FC77AA">
        <w:rPr>
          <w:rFonts w:asciiTheme="minorEastAsia" w:eastAsiaTheme="minorEastAsia" w:hAnsiTheme="minorEastAsia" w:cs="Arial" w:hint="eastAsia"/>
          <w:b/>
          <w:color w:val="000000" w:themeColor="text1"/>
          <w:kern w:val="0"/>
          <w:sz w:val="24"/>
        </w:rPr>
        <w:t xml:space="preserve"> 报告期内基金的投资策略和运作分析</w:t>
      </w:r>
    </w:p>
    <w:p w:rsidR="00D01D0F" w:rsidRDefault="0082384A">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2024年一季度，随着宏观组合政策效应持续释放，生产需求稳中有升，经济运行起步平稳，延续了回升向好态势。1-2月份全国规模以上工业企业利润增长10.2%，利润由上年全年下降2.3%转为正增长；1-2月份全国固定资产投资增长4.2%，制造业投资增速加快；1-2月份社会消费品零售总额增长5.5%，市场销售持续平稳恢复；3月份制造业采购经理人指数（PMI）为50.8%，比上月上升1.7个百分点，制造业景气回升; 2月消费者价格指数（CPI）当月同比上涨0.7%，生产者价格指数（PPI）当月同比下降2.7%。</w:t>
      </w:r>
    </w:p>
    <w:p w:rsidR="00D01D0F" w:rsidRDefault="0082384A">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一季度，稳健的货币政策灵活适度、精准有效，促进社会综合融资成本稳中有降，保持人民币汇率稳定。在总量上，在灵活摆布中期借贷便利（MLF）、公开市场操作的同时，开年降准0.5个百分点，一次性释放长期流动性超过1万亿元，充分保障流动性供给。在价格上，2月5年期以上贷款市场报价利率（LPR）下行0.25个百分点，为LPR改革以来最大降幅，有效带动贷款利率的持续下降。总体来看，一季度债市短端收益率整体下行，1年期国股行同业存单收益率从年初2.45%下行20bps至2.25%附近；1年期国开债收益率从年初2.25%下行40bps至1.85%附近。</w:t>
      </w:r>
    </w:p>
    <w:p w:rsidR="00D01D0F" w:rsidRDefault="0082384A">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本基金在一季度继续以流动性和安全性为优先目标，在市场收益率下行过程中及时</w:t>
      </w:r>
      <w:r>
        <w:rPr>
          <w:rFonts w:asciiTheme="minorEastAsia" w:eastAsiaTheme="minorEastAsia" w:hAnsiTheme="minorEastAsia"/>
          <w:color w:val="000000" w:themeColor="text1"/>
          <w:sz w:val="24"/>
        </w:rPr>
        <w:lastRenderedPageBreak/>
        <w:t>调整久期，保持流动性较好资产配置比例，同时密切关注客户现金流动向，在季末关键时点做好流动性前瞻性管理，预备充足流动性满足客户的赎回要求，力求平衡基金收益率和安全性，把握组合整体风险。</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展望未来，政策效力有望进一步发挥，推动大规模设备更新和消费品以旧换新、发行使用超长期特别国债等增量举措，将有助于推动经济持续恢复向好。稳健的货币政策预计保持灵活适度、精准有效，综合运用多种货币政策工具保持流动性合理充裕，促进社会融资规模、货币供应量同经济增长和价格水平预期目标相匹配。同时，中美货币政策“周期差”处于收敛，货币政策操作的空间将进一步打开，银行负债成本存在一定下行空间。本基金在未来仍会谨记货币基金现金管理工具的原则，时刻关注国内外市场各种动向，坚决防范各类信用风险，灵活调整资产配置，遵守各项监管要求，同时始终把基金安全性、流动性以及投资人利益放在优先位置，力争为投资人提供安全稳健的长期回报。</w:t>
      </w:r>
    </w:p>
    <w:p w:rsidR="00DA315C" w:rsidRPr="00FC77AA" w:rsidRDefault="00CC2E83" w:rsidP="007753E9">
      <w:pPr>
        <w:autoSpaceDE w:val="0"/>
        <w:autoSpaceDN w:val="0"/>
        <w:adjustRightInd w:val="0"/>
        <w:spacing w:beforeLines="100" w:before="240" w:line="360" w:lineRule="auto"/>
        <w:jc w:val="left"/>
        <w:rPr>
          <w:rFonts w:asciiTheme="minorEastAsia" w:eastAsiaTheme="minorEastAsia" w:hAnsiTheme="minorEastAsia" w:cs="Arial"/>
          <w:b/>
          <w:color w:val="000000" w:themeColor="text1"/>
          <w:kern w:val="0"/>
          <w:sz w:val="24"/>
        </w:rPr>
      </w:pPr>
      <w:r w:rsidRPr="00FC77AA">
        <w:rPr>
          <w:rFonts w:asciiTheme="minorEastAsia" w:eastAsiaTheme="minorEastAsia" w:hAnsiTheme="minorEastAsia" w:cs="Arial" w:hint="eastAsia"/>
          <w:b/>
          <w:color w:val="000000" w:themeColor="text1"/>
          <w:kern w:val="0"/>
          <w:sz w:val="24"/>
        </w:rPr>
        <w:t>4.5 报告期内基金的业绩表现</w:t>
      </w:r>
    </w:p>
    <w:p w:rsidR="0082384A" w:rsidRDefault="0082384A" w:rsidP="0082384A">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本报告期摩根天添盈A份额净值增长率为:0.4440%，同期业绩比较基准收益率为:0.3357%</w:t>
      </w:r>
    </w:p>
    <w:p w:rsidR="0082384A" w:rsidRDefault="0082384A" w:rsidP="0082384A">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自2018年6月22日起，本基金B类基金份额为零且停止计算B类基金份额每万份收益。</w:t>
      </w:r>
    </w:p>
    <w:p w:rsidR="0082384A" w:rsidRDefault="0082384A" w:rsidP="0082384A">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摩根天添盈C份额净值增长率为:0.4570%，同期业绩比较基准收益率为:0.3357%</w:t>
      </w:r>
    </w:p>
    <w:p w:rsidR="0082384A" w:rsidRDefault="0082384A" w:rsidP="0082384A">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摩根天添盈E份额净值增长率为:0.5039%，同期业绩比较基准收益率为:0.3357%。</w:t>
      </w:r>
    </w:p>
    <w:p w:rsidR="00DA315C" w:rsidRPr="00FC77AA" w:rsidRDefault="00CC2E83" w:rsidP="007753E9">
      <w:pPr>
        <w:autoSpaceDE w:val="0"/>
        <w:autoSpaceDN w:val="0"/>
        <w:adjustRightInd w:val="0"/>
        <w:spacing w:beforeLines="100" w:before="240" w:line="360" w:lineRule="auto"/>
        <w:jc w:val="left"/>
        <w:rPr>
          <w:rFonts w:asciiTheme="minorEastAsia" w:eastAsiaTheme="minorEastAsia" w:hAnsiTheme="minorEastAsia" w:cs="Arial"/>
          <w:b/>
          <w:color w:val="000000" w:themeColor="text1"/>
          <w:kern w:val="0"/>
          <w:sz w:val="24"/>
        </w:rPr>
      </w:pPr>
      <w:r w:rsidRPr="00FC77AA">
        <w:rPr>
          <w:rFonts w:asciiTheme="minorEastAsia" w:eastAsiaTheme="minorEastAsia" w:hAnsiTheme="minorEastAsia" w:cs="Arial"/>
          <w:b/>
          <w:color w:val="000000" w:themeColor="text1"/>
          <w:kern w:val="0"/>
          <w:sz w:val="24"/>
        </w:rPr>
        <w:t>4</w:t>
      </w:r>
      <w:r w:rsidRPr="00FC77AA">
        <w:rPr>
          <w:rFonts w:asciiTheme="minorEastAsia" w:eastAsiaTheme="minorEastAsia" w:hAnsiTheme="minorEastAsia" w:cs="Arial" w:hint="eastAsia"/>
          <w:b/>
          <w:color w:val="000000" w:themeColor="text1"/>
          <w:kern w:val="0"/>
          <w:sz w:val="24"/>
        </w:rPr>
        <w:t>.6 报告期内基金持有人数或基金资产净值预警说明</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无。</w:t>
      </w:r>
    </w:p>
    <w:p w:rsidR="00DA315C" w:rsidRDefault="00CC2E83" w:rsidP="00EF5D52">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5  </w:t>
      </w:r>
      <w:r>
        <w:rPr>
          <w:rFonts w:asciiTheme="minorEastAsia" w:eastAsiaTheme="minorEastAsia" w:hAnsiTheme="minorEastAsia" w:cs="Arial" w:hint="eastAsia"/>
          <w:color w:val="000000" w:themeColor="text1"/>
          <w:kern w:val="0"/>
          <w:sz w:val="24"/>
          <w:szCs w:val="24"/>
        </w:rPr>
        <w:t>投资组合报告</w:t>
      </w:r>
    </w:p>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5.1 </w:t>
      </w:r>
      <w:r>
        <w:rPr>
          <w:rFonts w:asciiTheme="minorEastAsia" w:eastAsiaTheme="minorEastAsia" w:hAnsiTheme="minorEastAsia" w:cs="Arial" w:hint="eastAsia"/>
          <w:b/>
          <w:color w:val="000000" w:themeColor="text1"/>
          <w:kern w:val="0"/>
          <w:sz w:val="24"/>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357"/>
        <w:gridCol w:w="3119"/>
        <w:gridCol w:w="1843"/>
      </w:tblGrid>
      <w:tr w:rsidR="00DA315C">
        <w:tc>
          <w:tcPr>
            <w:tcW w:w="720"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序号</w:t>
            </w:r>
          </w:p>
        </w:tc>
        <w:tc>
          <w:tcPr>
            <w:tcW w:w="3357"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项目</w:t>
            </w:r>
          </w:p>
        </w:tc>
        <w:tc>
          <w:tcPr>
            <w:tcW w:w="3119"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金额(元)</w:t>
            </w:r>
          </w:p>
        </w:tc>
        <w:tc>
          <w:tcPr>
            <w:tcW w:w="1843"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占基金总资产的比例(</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w:t>
            </w:r>
          </w:p>
        </w:tc>
      </w:tr>
      <w:tr w:rsidR="00DA315C">
        <w:tc>
          <w:tcPr>
            <w:tcW w:w="720"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p>
        </w:tc>
        <w:tc>
          <w:tcPr>
            <w:tcW w:w="3357" w:type="dxa"/>
            <w:vAlign w:val="center"/>
          </w:tcPr>
          <w:p w:rsidR="00DA315C" w:rsidRDefault="00CC2E83">
            <w:pPr>
              <w:spacing w:before="29"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固定收益投资</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5,429,130,424.06</w:t>
            </w:r>
          </w:p>
        </w:tc>
        <w:tc>
          <w:tcPr>
            <w:tcW w:w="1843"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49.12</w:t>
            </w:r>
          </w:p>
        </w:tc>
      </w:tr>
      <w:tr w:rsidR="00DA315C">
        <w:tc>
          <w:tcPr>
            <w:tcW w:w="720" w:type="dxa"/>
            <w:vAlign w:val="center"/>
          </w:tcPr>
          <w:p w:rsidR="00DA315C" w:rsidRDefault="00DA315C">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DA315C" w:rsidRDefault="00CC2E83">
            <w:pPr>
              <w:spacing w:before="29"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其中：债券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5,429,130,424.06</w:t>
            </w:r>
          </w:p>
        </w:tc>
        <w:tc>
          <w:tcPr>
            <w:tcW w:w="1843"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49.12</w:t>
            </w:r>
          </w:p>
        </w:tc>
      </w:tr>
      <w:tr w:rsidR="00DA315C">
        <w:tc>
          <w:tcPr>
            <w:tcW w:w="720" w:type="dxa"/>
            <w:vAlign w:val="center"/>
          </w:tcPr>
          <w:p w:rsidR="00DA315C" w:rsidRDefault="00DA315C">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DA315C" w:rsidRDefault="00CC2E83">
            <w:pPr>
              <w:autoSpaceDE w:val="0"/>
              <w:autoSpaceDN w:val="0"/>
              <w:adjustRightInd w:val="0"/>
              <w:spacing w:before="29" w:line="360" w:lineRule="auto"/>
              <w:ind w:firstLineChars="300" w:firstLine="720"/>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资产支持证券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43"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r>
      <w:tr w:rsidR="00DA315C">
        <w:tc>
          <w:tcPr>
            <w:tcW w:w="720"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p>
        </w:tc>
        <w:tc>
          <w:tcPr>
            <w:tcW w:w="3357" w:type="dxa"/>
            <w:vAlign w:val="center"/>
          </w:tcPr>
          <w:p w:rsidR="00DA315C" w:rsidRDefault="00CC2E83">
            <w:pPr>
              <w:spacing w:before="29"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买入返售金融资产</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2,099,381,429.55</w:t>
            </w:r>
          </w:p>
        </w:tc>
        <w:tc>
          <w:tcPr>
            <w:tcW w:w="1843"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18.99</w:t>
            </w:r>
          </w:p>
        </w:tc>
      </w:tr>
      <w:tr w:rsidR="00DA315C">
        <w:tc>
          <w:tcPr>
            <w:tcW w:w="720" w:type="dxa"/>
            <w:vAlign w:val="center"/>
          </w:tcPr>
          <w:p w:rsidR="00DA315C" w:rsidRDefault="00DA315C">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DA315C" w:rsidRDefault="00CC2E83">
            <w:pPr>
              <w:spacing w:before="29"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其中：买断式回购的买入返售金融资产</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43"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r>
      <w:tr w:rsidR="00DA315C">
        <w:tc>
          <w:tcPr>
            <w:tcW w:w="720"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p>
        </w:tc>
        <w:tc>
          <w:tcPr>
            <w:tcW w:w="3357" w:type="dxa"/>
            <w:vAlign w:val="center"/>
          </w:tcPr>
          <w:p w:rsidR="00DA315C" w:rsidRDefault="00CC2E83">
            <w:pPr>
              <w:spacing w:before="29"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银行存款和结算备付金合计</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3,508,219,509.57</w:t>
            </w:r>
          </w:p>
        </w:tc>
        <w:tc>
          <w:tcPr>
            <w:tcW w:w="1843"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31.74</w:t>
            </w:r>
          </w:p>
        </w:tc>
      </w:tr>
      <w:tr w:rsidR="00DA315C">
        <w:tc>
          <w:tcPr>
            <w:tcW w:w="720"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p>
        </w:tc>
        <w:tc>
          <w:tcPr>
            <w:tcW w:w="3357" w:type="dxa"/>
            <w:vAlign w:val="center"/>
          </w:tcPr>
          <w:p w:rsidR="00DA315C" w:rsidRDefault="00CC2E83">
            <w:pPr>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其他资产</w:t>
            </w:r>
          </w:p>
        </w:tc>
        <w:tc>
          <w:tcPr>
            <w:tcW w:w="3119" w:type="dxa"/>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16,847,196.32</w:t>
            </w:r>
          </w:p>
        </w:tc>
        <w:tc>
          <w:tcPr>
            <w:tcW w:w="1843" w:type="dxa"/>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0.15</w:t>
            </w:r>
          </w:p>
        </w:tc>
      </w:tr>
      <w:tr w:rsidR="00DA315C">
        <w:tc>
          <w:tcPr>
            <w:tcW w:w="720"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5</w:t>
            </w:r>
          </w:p>
        </w:tc>
        <w:tc>
          <w:tcPr>
            <w:tcW w:w="3357" w:type="dxa"/>
            <w:vAlign w:val="center"/>
          </w:tcPr>
          <w:p w:rsidR="00DA315C" w:rsidRDefault="00CC2E83">
            <w:pPr>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合计</w:t>
            </w:r>
          </w:p>
        </w:tc>
        <w:tc>
          <w:tcPr>
            <w:tcW w:w="3119" w:type="dxa"/>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11,053,578,559.50</w:t>
            </w:r>
          </w:p>
        </w:tc>
        <w:tc>
          <w:tcPr>
            <w:tcW w:w="1843" w:type="dxa"/>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100.00</w:t>
            </w:r>
          </w:p>
        </w:tc>
      </w:tr>
    </w:tbl>
    <w:p w:rsidR="00D01D0F" w:rsidRDefault="0082384A">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注：1.银行存款和结算备付金合计其中银行存款7,713,367.42元。</w:t>
      </w:r>
    </w:p>
    <w:p w:rsidR="00DA315C" w:rsidRDefault="00CC2E83"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2.买入返售金融资产其中买入返售金融资产（交易所）为 883,655,571.71 元。</w:t>
      </w:r>
    </w:p>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5.2 </w:t>
      </w:r>
      <w:r>
        <w:rPr>
          <w:rFonts w:asciiTheme="minorEastAsia" w:eastAsiaTheme="minorEastAsia" w:hAnsiTheme="minorEastAsia" w:cs="Arial" w:hint="eastAsia"/>
          <w:b/>
          <w:color w:val="000000" w:themeColor="text1"/>
          <w:kern w:val="0"/>
          <w:sz w:val="24"/>
        </w:rPr>
        <w:t>报告期债券回购融资情况</w:t>
      </w:r>
    </w:p>
    <w:tbl>
      <w:tblPr>
        <w:tblW w:w="0" w:type="auto"/>
        <w:tblInd w:w="108" w:type="dxa"/>
        <w:tblLayout w:type="fixed"/>
        <w:tblLook w:val="04A0" w:firstRow="1" w:lastRow="0" w:firstColumn="1" w:lastColumn="0" w:noHBand="0" w:noVBand="1"/>
      </w:tblPr>
      <w:tblGrid>
        <w:gridCol w:w="861"/>
        <w:gridCol w:w="3108"/>
        <w:gridCol w:w="2977"/>
        <w:gridCol w:w="2126"/>
      </w:tblGrid>
      <w:tr w:rsidR="00DA315C">
        <w:tc>
          <w:tcPr>
            <w:tcW w:w="861"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占基金资产净值</w:t>
            </w:r>
            <w:r w:rsidR="004417A1">
              <w:rPr>
                <w:rFonts w:asciiTheme="minorEastAsia" w:eastAsiaTheme="minorEastAsia" w:hAnsiTheme="minorEastAsia" w:cs="Arial" w:hint="eastAsia"/>
                <w:color w:val="000000" w:themeColor="text1"/>
                <w:kern w:val="0"/>
                <w:sz w:val="24"/>
              </w:rPr>
              <w:t>的</w:t>
            </w:r>
            <w:r>
              <w:rPr>
                <w:rFonts w:asciiTheme="minorEastAsia" w:eastAsiaTheme="minorEastAsia" w:hAnsiTheme="minorEastAsia" w:cs="Arial" w:hint="eastAsia"/>
                <w:color w:val="000000" w:themeColor="text1"/>
                <w:kern w:val="0"/>
                <w:sz w:val="24"/>
              </w:rPr>
              <w:t>比例（％）</w:t>
            </w:r>
          </w:p>
        </w:tc>
      </w:tr>
      <w:tr w:rsidR="00DA315C">
        <w:tc>
          <w:tcPr>
            <w:tcW w:w="861" w:type="dxa"/>
            <w:tcBorders>
              <w:top w:val="single" w:sz="8" w:space="0" w:color="000000"/>
              <w:left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1</w:t>
            </w:r>
          </w:p>
        </w:tc>
        <w:tc>
          <w:tcPr>
            <w:tcW w:w="3108" w:type="dxa"/>
            <w:tcBorders>
              <w:top w:val="single" w:sz="8" w:space="0" w:color="000000"/>
              <w:left w:val="single" w:sz="8" w:space="0" w:color="000000"/>
              <w:bottom w:val="single" w:sz="8" w:space="0" w:color="000000"/>
              <w:right w:val="single" w:sz="8" w:space="0" w:color="000000"/>
            </w:tcBorders>
          </w:tcPr>
          <w:p w:rsidR="00DA315C" w:rsidRDefault="00CC2E83">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2.26</w:t>
            </w:r>
          </w:p>
        </w:tc>
      </w:tr>
      <w:tr w:rsidR="00DA315C">
        <w:trPr>
          <w:trHeight w:val="712"/>
        </w:trPr>
        <w:tc>
          <w:tcPr>
            <w:tcW w:w="861" w:type="dxa"/>
            <w:tcBorders>
              <w:left w:val="single" w:sz="8" w:space="0" w:color="000000"/>
              <w:bottom w:val="single" w:sz="8" w:space="0" w:color="000000"/>
              <w:right w:val="single" w:sz="8" w:space="0" w:color="000000"/>
            </w:tcBorders>
            <w:vAlign w:val="center"/>
          </w:tcPr>
          <w:p w:rsidR="00DA315C" w:rsidRDefault="00DA315C">
            <w:pPr>
              <w:spacing w:line="360" w:lineRule="auto"/>
              <w:jc w:val="center"/>
              <w:rPr>
                <w:rFonts w:asciiTheme="minorEastAsia" w:eastAsiaTheme="minorEastAsia" w:hAnsiTheme="minorEastAsia"/>
                <w:color w:val="000000" w:themeColor="text1"/>
                <w:sz w:val="24"/>
              </w:rPr>
            </w:pPr>
          </w:p>
        </w:tc>
        <w:tc>
          <w:tcPr>
            <w:tcW w:w="3108" w:type="dxa"/>
            <w:tcBorders>
              <w:top w:val="single" w:sz="8" w:space="0" w:color="000000"/>
              <w:left w:val="single" w:sz="8" w:space="0" w:color="000000"/>
              <w:bottom w:val="single" w:sz="8" w:space="0" w:color="000000"/>
              <w:right w:val="single" w:sz="8" w:space="0" w:color="000000"/>
            </w:tcBorders>
          </w:tcPr>
          <w:p w:rsidR="00DA315C" w:rsidRDefault="00CC2E83">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p>
        </w:tc>
      </w:tr>
      <w:tr w:rsidR="00DA315C">
        <w:tc>
          <w:tcPr>
            <w:tcW w:w="861" w:type="dxa"/>
            <w:tcBorders>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s="Arial" w:hint="eastAsia"/>
                <w:color w:val="000000" w:themeColor="text1"/>
                <w:kern w:val="0"/>
                <w:sz w:val="24"/>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金额</w:t>
            </w:r>
          </w:p>
        </w:tc>
        <w:tc>
          <w:tcPr>
            <w:tcW w:w="2126"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s="Arial" w:hint="eastAsia"/>
                <w:color w:val="000000" w:themeColor="text1"/>
                <w:kern w:val="0"/>
                <w:sz w:val="24"/>
              </w:rPr>
              <w:t>占基金资产净值比例（％）</w:t>
            </w:r>
          </w:p>
        </w:tc>
      </w:tr>
      <w:tr w:rsidR="00DA315C">
        <w:tc>
          <w:tcPr>
            <w:tcW w:w="861" w:type="dxa"/>
            <w:vMerge w:val="restart"/>
            <w:tcBorders>
              <w:top w:val="single" w:sz="8" w:space="0" w:color="000000"/>
              <w:left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p>
        </w:tc>
        <w:tc>
          <w:tcPr>
            <w:tcW w:w="3108" w:type="dxa"/>
            <w:tcBorders>
              <w:top w:val="single" w:sz="8" w:space="0" w:color="000000"/>
              <w:left w:val="single" w:sz="8" w:space="0" w:color="000000"/>
              <w:bottom w:val="single" w:sz="8" w:space="0" w:color="000000"/>
              <w:right w:val="single" w:sz="8" w:space="0" w:color="000000"/>
            </w:tcBorders>
          </w:tcPr>
          <w:p w:rsidR="00DA315C" w:rsidRDefault="00CC2E83">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300,052,520.55</w:t>
            </w:r>
          </w:p>
        </w:tc>
        <w:tc>
          <w:tcPr>
            <w:tcW w:w="2126"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2.79</w:t>
            </w:r>
          </w:p>
        </w:tc>
      </w:tr>
      <w:tr w:rsidR="00DA315C">
        <w:tc>
          <w:tcPr>
            <w:tcW w:w="861" w:type="dxa"/>
            <w:vMerge/>
            <w:tcBorders>
              <w:left w:val="single" w:sz="8" w:space="0" w:color="000000"/>
              <w:bottom w:val="single" w:sz="8" w:space="0" w:color="000000"/>
              <w:right w:val="single" w:sz="8" w:space="0" w:color="000000"/>
            </w:tcBorders>
            <w:vAlign w:val="center"/>
          </w:tcPr>
          <w:p w:rsidR="00DA315C" w:rsidRDefault="00DA315C">
            <w:pPr>
              <w:spacing w:line="360" w:lineRule="auto"/>
              <w:rPr>
                <w:rFonts w:asciiTheme="minorEastAsia" w:eastAsiaTheme="minorEastAsia" w:hAnsiTheme="minorEastAsia"/>
                <w:color w:val="000000" w:themeColor="text1"/>
                <w:sz w:val="24"/>
              </w:rPr>
            </w:pPr>
          </w:p>
        </w:tc>
        <w:tc>
          <w:tcPr>
            <w:tcW w:w="3108" w:type="dxa"/>
            <w:tcBorders>
              <w:top w:val="single" w:sz="8" w:space="0" w:color="000000"/>
              <w:left w:val="single" w:sz="8" w:space="0" w:color="000000"/>
              <w:bottom w:val="single" w:sz="8" w:space="0" w:color="000000"/>
              <w:right w:val="single" w:sz="8" w:space="0" w:color="000000"/>
            </w:tcBorders>
          </w:tcPr>
          <w:p w:rsidR="00DA315C" w:rsidRDefault="00CC2E83">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w:t>
            </w:r>
          </w:p>
        </w:tc>
      </w:tr>
    </w:tbl>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债券正回购的资金余额超过基金资产净值的</w:t>
      </w:r>
      <w:r>
        <w:rPr>
          <w:rFonts w:asciiTheme="minorEastAsia" w:eastAsiaTheme="minorEastAsia" w:hAnsiTheme="minorEastAsia" w:cs="Arial"/>
          <w:b/>
          <w:color w:val="000000" w:themeColor="text1"/>
          <w:kern w:val="0"/>
          <w:sz w:val="24"/>
        </w:rPr>
        <w:t>20</w:t>
      </w:r>
      <w:r>
        <w:rPr>
          <w:rFonts w:asciiTheme="minorEastAsia" w:eastAsiaTheme="minorEastAsia" w:hAnsiTheme="minorEastAsia" w:cs="Arial" w:hint="eastAsia"/>
          <w:b/>
          <w:color w:val="000000" w:themeColor="text1"/>
          <w:kern w:val="0"/>
          <w:sz w:val="24"/>
        </w:rPr>
        <w:t>％的说明</w:t>
      </w:r>
    </w:p>
    <w:p w:rsidR="00DA315C" w:rsidRDefault="00CC2E83"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在本报告期内本货币市场基金债券正回购的资金余额未超过资产净值的20%。</w:t>
      </w:r>
    </w:p>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5.3 </w:t>
      </w:r>
      <w:r>
        <w:rPr>
          <w:rFonts w:asciiTheme="minorEastAsia" w:eastAsiaTheme="minorEastAsia" w:hAnsiTheme="minorEastAsia" w:cs="Arial" w:hint="eastAsia"/>
          <w:b/>
          <w:color w:val="000000" w:themeColor="text1"/>
          <w:kern w:val="0"/>
          <w:sz w:val="24"/>
        </w:rPr>
        <w:t>基金投资组合平均剩余期限</w:t>
      </w:r>
    </w:p>
    <w:p w:rsidR="00DA315C" w:rsidRDefault="00CC2E83" w:rsidP="0017387C">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5.3.1 </w:t>
      </w:r>
      <w:r>
        <w:rPr>
          <w:rFonts w:asciiTheme="minorEastAsia" w:eastAsiaTheme="minorEastAsia" w:hAnsiTheme="minorEastAsia" w:cs="Arial" w:hint="eastAsia"/>
          <w:b/>
          <w:color w:val="000000" w:themeColor="text1"/>
          <w:kern w:val="0"/>
          <w:sz w:val="24"/>
        </w:rPr>
        <w:t>投资组合平均剩余期限基本情况</w:t>
      </w:r>
    </w:p>
    <w:tbl>
      <w:tblPr>
        <w:tblW w:w="0" w:type="auto"/>
        <w:tblInd w:w="108" w:type="dxa"/>
        <w:tblLayout w:type="fixed"/>
        <w:tblLook w:val="04A0" w:firstRow="1" w:lastRow="0" w:firstColumn="1" w:lastColumn="0" w:noHBand="0" w:noVBand="1"/>
      </w:tblPr>
      <w:tblGrid>
        <w:gridCol w:w="4056"/>
        <w:gridCol w:w="5016"/>
      </w:tblGrid>
      <w:tr w:rsidR="00DA315C">
        <w:tc>
          <w:tcPr>
            <w:tcW w:w="4056"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项目</w:t>
            </w:r>
          </w:p>
        </w:tc>
        <w:tc>
          <w:tcPr>
            <w:tcW w:w="5016"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天数</w:t>
            </w:r>
          </w:p>
        </w:tc>
      </w:tr>
      <w:tr w:rsidR="00DA315C">
        <w:tc>
          <w:tcPr>
            <w:tcW w:w="4056"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报告期末投资组合平均剩余期限</w:t>
            </w:r>
          </w:p>
        </w:tc>
        <w:tc>
          <w:tcPr>
            <w:tcW w:w="5016"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ind w:right="120"/>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103</w:t>
            </w:r>
          </w:p>
        </w:tc>
      </w:tr>
      <w:tr w:rsidR="00DA315C">
        <w:tc>
          <w:tcPr>
            <w:tcW w:w="4056"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lastRenderedPageBreak/>
              <w:t>报告期内投资组合平均剩余期限最高值</w:t>
            </w:r>
          </w:p>
        </w:tc>
        <w:tc>
          <w:tcPr>
            <w:tcW w:w="5016"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ind w:right="120"/>
              <w:jc w:val="righ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107</w:t>
            </w:r>
          </w:p>
        </w:tc>
      </w:tr>
      <w:tr w:rsidR="00DA315C">
        <w:tc>
          <w:tcPr>
            <w:tcW w:w="4056"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报告期内投资组合平均剩余期限最低值</w:t>
            </w:r>
          </w:p>
        </w:tc>
        <w:tc>
          <w:tcPr>
            <w:tcW w:w="5016"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ind w:right="120"/>
              <w:jc w:val="righ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85</w:t>
            </w:r>
          </w:p>
        </w:tc>
      </w:tr>
    </w:tbl>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报告期内投资组合平均剩余期限超过</w:t>
      </w:r>
      <w:r>
        <w:rPr>
          <w:rFonts w:asciiTheme="minorEastAsia" w:eastAsiaTheme="minorEastAsia" w:hAnsiTheme="minorEastAsia" w:cs="Arial"/>
          <w:b/>
          <w:color w:val="000000" w:themeColor="text1"/>
          <w:kern w:val="0"/>
          <w:sz w:val="24"/>
        </w:rPr>
        <w:t>1</w:t>
      </w:r>
      <w:r>
        <w:rPr>
          <w:rFonts w:asciiTheme="minorEastAsia" w:eastAsiaTheme="minorEastAsia" w:hAnsiTheme="minorEastAsia" w:cs="Arial" w:hint="eastAsia"/>
          <w:b/>
          <w:color w:val="000000" w:themeColor="text1"/>
          <w:kern w:val="0"/>
          <w:sz w:val="24"/>
        </w:rPr>
        <w:t>20天情况说明</w:t>
      </w:r>
    </w:p>
    <w:p w:rsidR="00DA315C" w:rsidRDefault="00CC2E83"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根据基金合同约定，本基金投资组合的平均剩余期限不超过120天。在本报告期内本基金未出现投资组合平均剩余期限超过120天的情况。</w:t>
      </w:r>
    </w:p>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5.3.2  </w:t>
      </w:r>
      <w:r>
        <w:rPr>
          <w:rFonts w:asciiTheme="minorEastAsia" w:eastAsiaTheme="minorEastAsia" w:hAnsiTheme="minorEastAsia" w:cs="Arial" w:hint="eastAsia"/>
          <w:b/>
          <w:color w:val="000000" w:themeColor="text1"/>
          <w:kern w:val="0"/>
          <w:sz w:val="24"/>
        </w:rPr>
        <w:t>报告期末投资组合平均剩余期限分布比例</w:t>
      </w:r>
    </w:p>
    <w:tbl>
      <w:tblPr>
        <w:tblW w:w="0" w:type="auto"/>
        <w:tblInd w:w="108" w:type="dxa"/>
        <w:tblLayout w:type="fixed"/>
        <w:tblLook w:val="04A0" w:firstRow="1" w:lastRow="0" w:firstColumn="1" w:lastColumn="0" w:noHBand="0" w:noVBand="1"/>
      </w:tblPr>
      <w:tblGrid>
        <w:gridCol w:w="851"/>
        <w:gridCol w:w="3351"/>
        <w:gridCol w:w="2529"/>
        <w:gridCol w:w="2431"/>
      </w:tblGrid>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序号</w:t>
            </w: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平均剩余期限</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各期限资产占基金资产净值的比例（</w:t>
            </w:r>
            <w:r>
              <w:rPr>
                <w:rFonts w:asciiTheme="minorEastAsia" w:eastAsiaTheme="minorEastAsia" w:hAnsiTheme="minorEastAsia" w:cs="Arial"/>
                <w:color w:val="000000" w:themeColor="text1"/>
                <w:kern w:val="0"/>
                <w:sz w:val="24"/>
              </w:rPr>
              <w:t>%</w:t>
            </w:r>
            <w:r>
              <w:rPr>
                <w:rFonts w:asciiTheme="minorEastAsia" w:eastAsiaTheme="minorEastAsia" w:hAnsiTheme="minorEastAsia" w:cs="Arial" w:hint="eastAsia"/>
                <w:color w:val="000000" w:themeColor="text1"/>
                <w:kern w:val="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各期限负债占基金资产净值的比例（％）</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hint="eastAsia"/>
                <w:color w:val="000000" w:themeColor="text1"/>
                <w:sz w:val="24"/>
              </w:rPr>
              <w:t>1</w:t>
            </w: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30天以内</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29.49</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2.86</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hint="eastAsia"/>
                <w:color w:val="000000" w:themeColor="text1"/>
                <w:sz w:val="24"/>
              </w:rPr>
              <w:t>其中：剩余存续期超过</w:t>
            </w:r>
            <w:r>
              <w:rPr>
                <w:rFonts w:asciiTheme="minorEastAsia" w:eastAsiaTheme="minorEastAsia" w:hAnsiTheme="minorEastAsia"/>
                <w:color w:val="000000" w:themeColor="text1"/>
                <w:sz w:val="24"/>
              </w:rPr>
              <w:t>397</w:t>
            </w:r>
            <w:r>
              <w:rPr>
                <w:rFonts w:asciiTheme="minorEastAsia" w:eastAsiaTheme="minorEastAsia" w:hAnsiTheme="minorEastAsia" w:hint="eastAsia"/>
                <w:color w:val="000000" w:themeColor="text1"/>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30天（含）—60天</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13.43</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hint="eastAsia"/>
                <w:color w:val="000000" w:themeColor="text1"/>
                <w:sz w:val="24"/>
              </w:rPr>
              <w:t>其中：剩余存续期超过</w:t>
            </w:r>
            <w:r>
              <w:rPr>
                <w:rFonts w:asciiTheme="minorEastAsia" w:eastAsiaTheme="minorEastAsia" w:hAnsiTheme="minorEastAsia"/>
                <w:color w:val="000000" w:themeColor="text1"/>
                <w:sz w:val="24"/>
              </w:rPr>
              <w:t>397</w:t>
            </w:r>
            <w:r>
              <w:rPr>
                <w:rFonts w:asciiTheme="minorEastAsia" w:eastAsiaTheme="minorEastAsia" w:hAnsiTheme="minorEastAsia" w:hint="eastAsia"/>
                <w:color w:val="000000" w:themeColor="text1"/>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60天（含）—90天</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9.30</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其中：剩余存续期超过</w:t>
            </w:r>
            <w:r>
              <w:rPr>
                <w:rFonts w:asciiTheme="minorEastAsia" w:eastAsiaTheme="minorEastAsia" w:hAnsiTheme="minorEastAsia"/>
                <w:color w:val="000000" w:themeColor="text1"/>
                <w:sz w:val="24"/>
              </w:rPr>
              <w:t>397</w:t>
            </w:r>
            <w:r>
              <w:rPr>
                <w:rFonts w:asciiTheme="minorEastAsia" w:eastAsiaTheme="minorEastAsia" w:hAnsiTheme="minorEastAsia" w:hint="eastAsia"/>
                <w:color w:val="000000" w:themeColor="text1"/>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90天（含）—1</w:t>
            </w:r>
            <w:r>
              <w:rPr>
                <w:rFonts w:asciiTheme="minorEastAsia" w:eastAsiaTheme="minorEastAsia" w:hAnsiTheme="minorEastAsia" w:hint="eastAsia"/>
                <w:color w:val="000000" w:themeColor="text1"/>
                <w:sz w:val="24"/>
              </w:rPr>
              <w:t>2</w:t>
            </w:r>
            <w:r>
              <w:rPr>
                <w:rFonts w:asciiTheme="minorEastAsia" w:eastAsiaTheme="minorEastAsia" w:hAnsiTheme="minorEastAsia"/>
                <w:color w:val="000000" w:themeColor="text1"/>
                <w:sz w:val="24"/>
              </w:rPr>
              <w:t>0天</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16.43</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其中：剩余存续期超过</w:t>
            </w:r>
            <w:r>
              <w:rPr>
                <w:rFonts w:asciiTheme="minorEastAsia" w:eastAsiaTheme="minorEastAsia" w:hAnsiTheme="minorEastAsia"/>
                <w:color w:val="000000" w:themeColor="text1"/>
                <w:sz w:val="24"/>
              </w:rPr>
              <w:t>397</w:t>
            </w:r>
            <w:r>
              <w:rPr>
                <w:rFonts w:asciiTheme="minorEastAsia" w:eastAsiaTheme="minorEastAsia" w:hAnsiTheme="minorEastAsia" w:hint="eastAsia"/>
                <w:color w:val="000000" w:themeColor="text1"/>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20</w:t>
            </w:r>
            <w:r>
              <w:rPr>
                <w:rFonts w:asciiTheme="minorEastAsia" w:eastAsiaTheme="minorEastAsia" w:hAnsiTheme="minorEastAsia"/>
                <w:color w:val="000000" w:themeColor="text1"/>
                <w:sz w:val="24"/>
              </w:rPr>
              <w:t>天（含）—397天（含）</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33.63</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其中：剩余存续期超过</w:t>
            </w:r>
            <w:r>
              <w:rPr>
                <w:rFonts w:asciiTheme="minorEastAsia" w:eastAsiaTheme="minorEastAsia" w:hAnsiTheme="minorEastAsia"/>
                <w:color w:val="000000" w:themeColor="text1"/>
                <w:sz w:val="24"/>
              </w:rPr>
              <w:t>397</w:t>
            </w:r>
            <w:r>
              <w:rPr>
                <w:rFonts w:asciiTheme="minorEastAsia" w:eastAsiaTheme="minorEastAsia" w:hAnsiTheme="minorEastAsia" w:hint="eastAsia"/>
                <w:color w:val="000000" w:themeColor="text1"/>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4202" w:type="dxa"/>
            <w:gridSpan w:val="2"/>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102.28</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2.86</w:t>
            </w:r>
          </w:p>
        </w:tc>
      </w:tr>
    </w:tbl>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5.4</w:t>
      </w:r>
      <w:r>
        <w:rPr>
          <w:rFonts w:asciiTheme="minorEastAsia" w:eastAsiaTheme="minorEastAsia" w:hAnsiTheme="minorEastAsia" w:cs="Arial"/>
          <w:b/>
          <w:color w:val="000000" w:themeColor="text1"/>
          <w:kern w:val="0"/>
          <w:sz w:val="24"/>
        </w:rPr>
        <w:t xml:space="preserve"> </w:t>
      </w:r>
      <w:r w:rsidRPr="0017387C">
        <w:rPr>
          <w:rFonts w:asciiTheme="minorEastAsia" w:eastAsiaTheme="minorEastAsia" w:hAnsiTheme="minorEastAsia" w:cs="Arial" w:hint="eastAsia"/>
          <w:b/>
          <w:color w:val="000000" w:themeColor="text1"/>
          <w:kern w:val="0"/>
          <w:sz w:val="24"/>
        </w:rPr>
        <w:t>报告期内投资组合平均剩余存续期超过240天情况说明</w:t>
      </w:r>
    </w:p>
    <w:p w:rsidR="00DA315C" w:rsidRPr="00FB6FB2" w:rsidRDefault="00CC2E83"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在本报告期内本基金未出现投资组合平均剩余存续期超过240天的情况。</w:t>
      </w:r>
    </w:p>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5.5 </w:t>
      </w:r>
      <w:r>
        <w:rPr>
          <w:rFonts w:asciiTheme="minorEastAsia" w:eastAsiaTheme="minorEastAsia" w:hAnsiTheme="minorEastAsia" w:cs="Arial" w:hint="eastAsia"/>
          <w:b/>
          <w:color w:val="000000" w:themeColor="text1"/>
          <w:kern w:val="0"/>
          <w:sz w:val="24"/>
        </w:rPr>
        <w:t>报告期末按债券品种分类的债券投资组合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3119"/>
        <w:gridCol w:w="1984"/>
      </w:tblGrid>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序号</w:t>
            </w:r>
          </w:p>
        </w:tc>
        <w:tc>
          <w:tcPr>
            <w:tcW w:w="3260"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债券品种</w:t>
            </w:r>
          </w:p>
        </w:tc>
        <w:tc>
          <w:tcPr>
            <w:tcW w:w="3119"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宋体" w:hAnsi="宋体" w:hint="eastAsia"/>
                <w:color w:val="000000" w:themeColor="text1"/>
                <w:sz w:val="24"/>
              </w:rPr>
              <w:t>摊余成本（元）</w:t>
            </w:r>
          </w:p>
        </w:tc>
        <w:tc>
          <w:tcPr>
            <w:tcW w:w="1984"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占基金资产净值比例(％)</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国家债券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央行票据</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金融债券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1,061,672,869.45</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9.89</w:t>
            </w:r>
          </w:p>
        </w:tc>
      </w:tr>
      <w:tr w:rsidR="00DA315C">
        <w:tc>
          <w:tcPr>
            <w:tcW w:w="817" w:type="dxa"/>
            <w:vAlign w:val="center"/>
          </w:tcPr>
          <w:p w:rsidR="00DA315C" w:rsidRDefault="00DA315C">
            <w:pPr>
              <w:spacing w:before="29" w:line="360" w:lineRule="auto"/>
              <w:ind w:left="17"/>
              <w:jc w:val="center"/>
              <w:rPr>
                <w:rFonts w:asciiTheme="minorEastAsia" w:eastAsiaTheme="minorEastAsia" w:hAnsiTheme="minorEastAsia" w:cs="宋体"/>
                <w:color w:val="000000" w:themeColor="text1"/>
                <w:sz w:val="24"/>
              </w:rPr>
            </w:pP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其中：政策性金融债</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756,485,186.27</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7.05</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企业债券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91,519,702.35</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0.85</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企业短期融资券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966,255,631.80</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9.00</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6</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中期票据</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142,873,566.15</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1.33</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7</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同业存单</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3,166,808,654.31</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29.49</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8</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其他</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9</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合计</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5,429,130,424.06</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50.56</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10</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剩余存续期超过397天的浮动利率债券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r>
    </w:tbl>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5.6 </w:t>
      </w:r>
      <w:r>
        <w:rPr>
          <w:rFonts w:asciiTheme="minorEastAsia" w:eastAsiaTheme="minorEastAsia" w:hAnsiTheme="minorEastAsia" w:cs="Arial" w:hint="eastAsia"/>
          <w:b/>
          <w:color w:val="000000" w:themeColor="text1"/>
          <w:kern w:val="0"/>
          <w:sz w:val="24"/>
        </w:rPr>
        <w:t>报告期末按摊余成本占基金资产净值比例大小排名的前十名债券投资明细</w:t>
      </w:r>
    </w:p>
    <w:tbl>
      <w:tblPr>
        <w:tblStyle w:val="af2"/>
        <w:tblW w:w="0" w:type="auto"/>
        <w:tblInd w:w="15" w:type="dxa"/>
        <w:tblLook w:val="04A0" w:firstRow="1" w:lastRow="0" w:firstColumn="1" w:lastColumn="0" w:noHBand="0" w:noVBand="1"/>
      </w:tblPr>
      <w:tblGrid>
        <w:gridCol w:w="985"/>
        <w:gridCol w:w="1416"/>
        <w:gridCol w:w="2098"/>
        <w:gridCol w:w="1656"/>
        <w:gridCol w:w="1896"/>
        <w:gridCol w:w="1236"/>
      </w:tblGrid>
      <w:tr w:rsidR="00DA315C">
        <w:tc>
          <w:tcPr>
            <w:tcW w:w="1547"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序号</w:t>
            </w:r>
          </w:p>
        </w:tc>
        <w:tc>
          <w:tcPr>
            <w:tcW w:w="1548"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债券代码</w:t>
            </w:r>
          </w:p>
        </w:tc>
        <w:tc>
          <w:tcPr>
            <w:tcW w:w="1548"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债券名称</w:t>
            </w:r>
          </w:p>
        </w:tc>
        <w:tc>
          <w:tcPr>
            <w:tcW w:w="1548"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债券数量</w:t>
            </w:r>
          </w:p>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color w:val="000000" w:themeColor="text1"/>
                <w:kern w:val="0"/>
                <w:sz w:val="24"/>
              </w:rPr>
              <w:t>(</w:t>
            </w:r>
            <w:r>
              <w:rPr>
                <w:rFonts w:asciiTheme="minorEastAsia" w:eastAsiaTheme="minorEastAsia" w:hAnsiTheme="minorEastAsia" w:cs="Arial" w:hint="eastAsia"/>
                <w:color w:val="000000" w:themeColor="text1"/>
                <w:kern w:val="0"/>
                <w:sz w:val="24"/>
              </w:rPr>
              <w:t>张</w:t>
            </w:r>
            <w:r>
              <w:rPr>
                <w:rFonts w:asciiTheme="minorEastAsia" w:eastAsiaTheme="minorEastAsia" w:hAnsiTheme="minorEastAsia" w:cs="Arial"/>
                <w:color w:val="000000" w:themeColor="text1"/>
                <w:kern w:val="0"/>
                <w:sz w:val="24"/>
              </w:rPr>
              <w:t>)</w:t>
            </w:r>
          </w:p>
        </w:tc>
        <w:tc>
          <w:tcPr>
            <w:tcW w:w="1548"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摊余成本（元）</w:t>
            </w:r>
          </w:p>
        </w:tc>
        <w:tc>
          <w:tcPr>
            <w:tcW w:w="1548"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占基金资产净值比例（％）</w:t>
            </w:r>
          </w:p>
        </w:tc>
      </w:tr>
      <w:tr w:rsidR="00D01D0F">
        <w:tc>
          <w:tcPr>
            <w:tcW w:w="0" w:type="auto"/>
            <w:vAlign w:val="center"/>
          </w:tcPr>
          <w:p w:rsidR="00D01D0F" w:rsidRDefault="0082384A">
            <w:pPr>
              <w:jc w:val="center"/>
            </w:pPr>
            <w:r>
              <w:rPr>
                <w:rFonts w:asciiTheme="minorEastAsia" w:eastAsiaTheme="minorEastAsia" w:hAnsiTheme="minorEastAsia"/>
                <w:color w:val="000000" w:themeColor="text1"/>
                <w:sz w:val="24"/>
              </w:rPr>
              <w:t>1</w:t>
            </w:r>
          </w:p>
        </w:tc>
        <w:tc>
          <w:tcPr>
            <w:tcW w:w="0" w:type="auto"/>
            <w:vAlign w:val="center"/>
          </w:tcPr>
          <w:p w:rsidR="00D01D0F" w:rsidRDefault="0082384A">
            <w:pPr>
              <w:jc w:val="center"/>
            </w:pPr>
            <w:r>
              <w:rPr>
                <w:rFonts w:asciiTheme="minorEastAsia" w:eastAsiaTheme="minorEastAsia" w:hAnsiTheme="minorEastAsia"/>
                <w:color w:val="000000" w:themeColor="text1"/>
                <w:sz w:val="24"/>
              </w:rPr>
              <w:t>112415086</w:t>
            </w:r>
          </w:p>
        </w:tc>
        <w:tc>
          <w:tcPr>
            <w:tcW w:w="0" w:type="auto"/>
            <w:vAlign w:val="center"/>
          </w:tcPr>
          <w:p w:rsidR="00D01D0F" w:rsidRDefault="0082384A">
            <w:pPr>
              <w:jc w:val="center"/>
            </w:pPr>
            <w:r>
              <w:rPr>
                <w:rFonts w:asciiTheme="minorEastAsia" w:eastAsiaTheme="minorEastAsia" w:hAnsiTheme="minorEastAsia"/>
                <w:color w:val="000000" w:themeColor="text1"/>
                <w:sz w:val="24"/>
              </w:rPr>
              <w:t>24民生银行CD086</w:t>
            </w:r>
          </w:p>
        </w:tc>
        <w:tc>
          <w:tcPr>
            <w:tcW w:w="0" w:type="auto"/>
            <w:vAlign w:val="center"/>
          </w:tcPr>
          <w:p w:rsidR="00D01D0F" w:rsidRDefault="0082384A">
            <w:pPr>
              <w:jc w:val="right"/>
            </w:pPr>
            <w:r>
              <w:rPr>
                <w:rFonts w:asciiTheme="minorEastAsia" w:eastAsiaTheme="minorEastAsia" w:hAnsiTheme="minorEastAsia"/>
                <w:color w:val="000000" w:themeColor="text1"/>
                <w:sz w:val="24"/>
              </w:rPr>
              <w:t>2,000,000.00</w:t>
            </w:r>
          </w:p>
        </w:tc>
        <w:tc>
          <w:tcPr>
            <w:tcW w:w="0" w:type="auto"/>
            <w:vAlign w:val="center"/>
          </w:tcPr>
          <w:p w:rsidR="00D01D0F" w:rsidRDefault="0082384A">
            <w:pPr>
              <w:jc w:val="right"/>
            </w:pPr>
            <w:r>
              <w:rPr>
                <w:rFonts w:asciiTheme="minorEastAsia" w:eastAsiaTheme="minorEastAsia" w:hAnsiTheme="minorEastAsia"/>
                <w:color w:val="000000" w:themeColor="text1"/>
                <w:sz w:val="24"/>
              </w:rPr>
              <w:t>199,245,986.41</w:t>
            </w:r>
          </w:p>
        </w:tc>
        <w:tc>
          <w:tcPr>
            <w:tcW w:w="0" w:type="auto"/>
            <w:vAlign w:val="center"/>
          </w:tcPr>
          <w:p w:rsidR="00D01D0F" w:rsidRDefault="0082384A">
            <w:pPr>
              <w:jc w:val="right"/>
            </w:pPr>
            <w:r>
              <w:rPr>
                <w:rFonts w:asciiTheme="minorEastAsia" w:eastAsiaTheme="minorEastAsia" w:hAnsiTheme="minorEastAsia"/>
                <w:color w:val="000000" w:themeColor="text1"/>
                <w:sz w:val="24"/>
              </w:rPr>
              <w:t>1.86</w:t>
            </w:r>
          </w:p>
        </w:tc>
      </w:tr>
      <w:tr w:rsidR="00D01D0F">
        <w:tc>
          <w:tcPr>
            <w:tcW w:w="0" w:type="auto"/>
            <w:vAlign w:val="center"/>
          </w:tcPr>
          <w:p w:rsidR="00D01D0F" w:rsidRDefault="0082384A">
            <w:pPr>
              <w:jc w:val="center"/>
            </w:pPr>
            <w:r>
              <w:rPr>
                <w:rFonts w:asciiTheme="minorEastAsia" w:eastAsiaTheme="minorEastAsia" w:hAnsiTheme="minorEastAsia"/>
                <w:color w:val="000000" w:themeColor="text1"/>
                <w:sz w:val="24"/>
              </w:rPr>
              <w:t>2</w:t>
            </w:r>
          </w:p>
        </w:tc>
        <w:tc>
          <w:tcPr>
            <w:tcW w:w="0" w:type="auto"/>
            <w:vAlign w:val="center"/>
          </w:tcPr>
          <w:p w:rsidR="00D01D0F" w:rsidRDefault="0082384A">
            <w:pPr>
              <w:jc w:val="center"/>
            </w:pPr>
            <w:r>
              <w:rPr>
                <w:rFonts w:asciiTheme="minorEastAsia" w:eastAsiaTheme="minorEastAsia" w:hAnsiTheme="minorEastAsia"/>
                <w:color w:val="000000" w:themeColor="text1"/>
                <w:sz w:val="24"/>
              </w:rPr>
              <w:t>220312</w:t>
            </w:r>
          </w:p>
        </w:tc>
        <w:tc>
          <w:tcPr>
            <w:tcW w:w="0" w:type="auto"/>
            <w:vAlign w:val="center"/>
          </w:tcPr>
          <w:p w:rsidR="00D01D0F" w:rsidRDefault="0082384A">
            <w:pPr>
              <w:jc w:val="center"/>
            </w:pPr>
            <w:r>
              <w:rPr>
                <w:rFonts w:asciiTheme="minorEastAsia" w:eastAsiaTheme="minorEastAsia" w:hAnsiTheme="minorEastAsia"/>
                <w:color w:val="000000" w:themeColor="text1"/>
                <w:sz w:val="24"/>
              </w:rPr>
              <w:t>22进出12</w:t>
            </w:r>
          </w:p>
        </w:tc>
        <w:tc>
          <w:tcPr>
            <w:tcW w:w="0" w:type="auto"/>
            <w:vAlign w:val="center"/>
          </w:tcPr>
          <w:p w:rsidR="00D01D0F" w:rsidRDefault="0082384A">
            <w:pPr>
              <w:jc w:val="right"/>
            </w:pPr>
            <w:r>
              <w:rPr>
                <w:rFonts w:asciiTheme="minorEastAsia" w:eastAsiaTheme="minorEastAsia" w:hAnsiTheme="minorEastAsia"/>
                <w:color w:val="000000" w:themeColor="text1"/>
                <w:sz w:val="24"/>
              </w:rPr>
              <w:t>1,500,000.00</w:t>
            </w:r>
          </w:p>
        </w:tc>
        <w:tc>
          <w:tcPr>
            <w:tcW w:w="0" w:type="auto"/>
            <w:vAlign w:val="center"/>
          </w:tcPr>
          <w:p w:rsidR="00D01D0F" w:rsidRDefault="0082384A">
            <w:pPr>
              <w:jc w:val="right"/>
            </w:pPr>
            <w:r>
              <w:rPr>
                <w:rFonts w:asciiTheme="minorEastAsia" w:eastAsiaTheme="minorEastAsia" w:hAnsiTheme="minorEastAsia"/>
                <w:color w:val="000000" w:themeColor="text1"/>
                <w:sz w:val="24"/>
              </w:rPr>
              <w:t>153,116,207.75</w:t>
            </w:r>
          </w:p>
        </w:tc>
        <w:tc>
          <w:tcPr>
            <w:tcW w:w="0" w:type="auto"/>
            <w:vAlign w:val="center"/>
          </w:tcPr>
          <w:p w:rsidR="00D01D0F" w:rsidRDefault="0082384A">
            <w:pPr>
              <w:jc w:val="right"/>
            </w:pPr>
            <w:r>
              <w:rPr>
                <w:rFonts w:asciiTheme="minorEastAsia" w:eastAsiaTheme="minorEastAsia" w:hAnsiTheme="minorEastAsia"/>
                <w:color w:val="000000" w:themeColor="text1"/>
                <w:sz w:val="24"/>
              </w:rPr>
              <w:t>1.43</w:t>
            </w:r>
          </w:p>
        </w:tc>
      </w:tr>
      <w:tr w:rsidR="00D01D0F">
        <w:tc>
          <w:tcPr>
            <w:tcW w:w="0" w:type="auto"/>
            <w:vAlign w:val="center"/>
          </w:tcPr>
          <w:p w:rsidR="00D01D0F" w:rsidRDefault="0082384A">
            <w:pPr>
              <w:jc w:val="center"/>
            </w:pPr>
            <w:r>
              <w:rPr>
                <w:rFonts w:asciiTheme="minorEastAsia" w:eastAsiaTheme="minorEastAsia" w:hAnsiTheme="minorEastAsia"/>
                <w:color w:val="000000" w:themeColor="text1"/>
                <w:sz w:val="24"/>
              </w:rPr>
              <w:t>3</w:t>
            </w:r>
          </w:p>
        </w:tc>
        <w:tc>
          <w:tcPr>
            <w:tcW w:w="0" w:type="auto"/>
            <w:vAlign w:val="center"/>
          </w:tcPr>
          <w:p w:rsidR="00D01D0F" w:rsidRDefault="0082384A">
            <w:pPr>
              <w:jc w:val="center"/>
            </w:pPr>
            <w:r>
              <w:rPr>
                <w:rFonts w:asciiTheme="minorEastAsia" w:eastAsiaTheme="minorEastAsia" w:hAnsiTheme="minorEastAsia"/>
                <w:color w:val="000000" w:themeColor="text1"/>
                <w:sz w:val="24"/>
              </w:rPr>
              <w:t>190208</w:t>
            </w:r>
          </w:p>
        </w:tc>
        <w:tc>
          <w:tcPr>
            <w:tcW w:w="0" w:type="auto"/>
            <w:vAlign w:val="center"/>
          </w:tcPr>
          <w:p w:rsidR="00D01D0F" w:rsidRDefault="0082384A">
            <w:pPr>
              <w:jc w:val="center"/>
            </w:pPr>
            <w:r>
              <w:rPr>
                <w:rFonts w:asciiTheme="minorEastAsia" w:eastAsiaTheme="minorEastAsia" w:hAnsiTheme="minorEastAsia"/>
                <w:color w:val="000000" w:themeColor="text1"/>
                <w:sz w:val="24"/>
              </w:rPr>
              <w:t>19国开08</w:t>
            </w:r>
          </w:p>
        </w:tc>
        <w:tc>
          <w:tcPr>
            <w:tcW w:w="0" w:type="auto"/>
            <w:vAlign w:val="center"/>
          </w:tcPr>
          <w:p w:rsidR="00D01D0F" w:rsidRDefault="0082384A">
            <w:pPr>
              <w:jc w:val="right"/>
            </w:pPr>
            <w:r>
              <w:rPr>
                <w:rFonts w:asciiTheme="minorEastAsia" w:eastAsiaTheme="minorEastAsia" w:hAnsiTheme="minorEastAsia"/>
                <w:color w:val="000000" w:themeColor="text1"/>
                <w:sz w:val="24"/>
              </w:rPr>
              <w:t>1,100,000.00</w:t>
            </w:r>
          </w:p>
        </w:tc>
        <w:tc>
          <w:tcPr>
            <w:tcW w:w="0" w:type="auto"/>
            <w:vAlign w:val="center"/>
          </w:tcPr>
          <w:p w:rsidR="00D01D0F" w:rsidRDefault="0082384A">
            <w:pPr>
              <w:jc w:val="right"/>
            </w:pPr>
            <w:r>
              <w:rPr>
                <w:rFonts w:asciiTheme="minorEastAsia" w:eastAsiaTheme="minorEastAsia" w:hAnsiTheme="minorEastAsia"/>
                <w:color w:val="000000" w:themeColor="text1"/>
                <w:sz w:val="24"/>
              </w:rPr>
              <w:t>113,164,508.72</w:t>
            </w:r>
          </w:p>
        </w:tc>
        <w:tc>
          <w:tcPr>
            <w:tcW w:w="0" w:type="auto"/>
            <w:vAlign w:val="center"/>
          </w:tcPr>
          <w:p w:rsidR="00D01D0F" w:rsidRDefault="0082384A">
            <w:pPr>
              <w:jc w:val="right"/>
            </w:pPr>
            <w:r>
              <w:rPr>
                <w:rFonts w:asciiTheme="minorEastAsia" w:eastAsiaTheme="minorEastAsia" w:hAnsiTheme="minorEastAsia"/>
                <w:color w:val="000000" w:themeColor="text1"/>
                <w:sz w:val="24"/>
              </w:rPr>
              <w:t>1.05</w:t>
            </w:r>
          </w:p>
        </w:tc>
      </w:tr>
      <w:tr w:rsidR="00D01D0F">
        <w:tc>
          <w:tcPr>
            <w:tcW w:w="0" w:type="auto"/>
            <w:vAlign w:val="center"/>
          </w:tcPr>
          <w:p w:rsidR="00D01D0F" w:rsidRDefault="0082384A">
            <w:pPr>
              <w:jc w:val="center"/>
            </w:pPr>
            <w:r>
              <w:rPr>
                <w:rFonts w:asciiTheme="minorEastAsia" w:eastAsiaTheme="minorEastAsia" w:hAnsiTheme="minorEastAsia"/>
                <w:color w:val="000000" w:themeColor="text1"/>
                <w:sz w:val="24"/>
              </w:rPr>
              <w:t>4</w:t>
            </w:r>
          </w:p>
        </w:tc>
        <w:tc>
          <w:tcPr>
            <w:tcW w:w="0" w:type="auto"/>
            <w:vAlign w:val="center"/>
          </w:tcPr>
          <w:p w:rsidR="00D01D0F" w:rsidRDefault="0082384A">
            <w:pPr>
              <w:jc w:val="center"/>
            </w:pPr>
            <w:r>
              <w:rPr>
                <w:rFonts w:asciiTheme="minorEastAsia" w:eastAsiaTheme="minorEastAsia" w:hAnsiTheme="minorEastAsia"/>
                <w:color w:val="000000" w:themeColor="text1"/>
                <w:sz w:val="24"/>
              </w:rPr>
              <w:t>210207</w:t>
            </w:r>
          </w:p>
        </w:tc>
        <w:tc>
          <w:tcPr>
            <w:tcW w:w="0" w:type="auto"/>
            <w:vAlign w:val="center"/>
          </w:tcPr>
          <w:p w:rsidR="00D01D0F" w:rsidRDefault="0082384A">
            <w:pPr>
              <w:jc w:val="center"/>
            </w:pPr>
            <w:r>
              <w:rPr>
                <w:rFonts w:asciiTheme="minorEastAsia" w:eastAsiaTheme="minorEastAsia" w:hAnsiTheme="minorEastAsia"/>
                <w:color w:val="000000" w:themeColor="text1"/>
                <w:sz w:val="24"/>
              </w:rPr>
              <w:t>21国开07</w:t>
            </w:r>
          </w:p>
        </w:tc>
        <w:tc>
          <w:tcPr>
            <w:tcW w:w="0" w:type="auto"/>
            <w:vAlign w:val="center"/>
          </w:tcPr>
          <w:p w:rsidR="00D01D0F" w:rsidRDefault="0082384A">
            <w:pPr>
              <w:jc w:val="right"/>
            </w:pPr>
            <w:r>
              <w:rPr>
                <w:rFonts w:asciiTheme="minorEastAsia" w:eastAsiaTheme="minorEastAsia" w:hAnsiTheme="minorEastAsia"/>
                <w:color w:val="000000" w:themeColor="text1"/>
                <w:sz w:val="24"/>
              </w:rPr>
              <w:t>1,000,000.00</w:t>
            </w:r>
          </w:p>
        </w:tc>
        <w:tc>
          <w:tcPr>
            <w:tcW w:w="0" w:type="auto"/>
            <w:vAlign w:val="center"/>
          </w:tcPr>
          <w:p w:rsidR="00D01D0F" w:rsidRDefault="0082384A">
            <w:pPr>
              <w:jc w:val="right"/>
            </w:pPr>
            <w:r>
              <w:rPr>
                <w:rFonts w:asciiTheme="minorEastAsia" w:eastAsiaTheme="minorEastAsia" w:hAnsiTheme="minorEastAsia"/>
                <w:color w:val="000000" w:themeColor="text1"/>
                <w:sz w:val="24"/>
              </w:rPr>
              <w:t>102,525,205.38</w:t>
            </w:r>
          </w:p>
        </w:tc>
        <w:tc>
          <w:tcPr>
            <w:tcW w:w="0" w:type="auto"/>
            <w:vAlign w:val="center"/>
          </w:tcPr>
          <w:p w:rsidR="00D01D0F" w:rsidRDefault="0082384A">
            <w:pPr>
              <w:jc w:val="right"/>
            </w:pPr>
            <w:r>
              <w:rPr>
                <w:rFonts w:asciiTheme="minorEastAsia" w:eastAsiaTheme="minorEastAsia" w:hAnsiTheme="minorEastAsia"/>
                <w:color w:val="000000" w:themeColor="text1"/>
                <w:sz w:val="24"/>
              </w:rPr>
              <w:t>0.95</w:t>
            </w:r>
          </w:p>
        </w:tc>
      </w:tr>
      <w:tr w:rsidR="00D01D0F">
        <w:tc>
          <w:tcPr>
            <w:tcW w:w="0" w:type="auto"/>
            <w:vAlign w:val="center"/>
          </w:tcPr>
          <w:p w:rsidR="00D01D0F" w:rsidRDefault="0082384A">
            <w:pPr>
              <w:jc w:val="center"/>
            </w:pPr>
            <w:r>
              <w:rPr>
                <w:rFonts w:asciiTheme="minorEastAsia" w:eastAsiaTheme="minorEastAsia" w:hAnsiTheme="minorEastAsia"/>
                <w:color w:val="000000" w:themeColor="text1"/>
                <w:sz w:val="24"/>
              </w:rPr>
              <w:lastRenderedPageBreak/>
              <w:t>5</w:t>
            </w:r>
          </w:p>
        </w:tc>
        <w:tc>
          <w:tcPr>
            <w:tcW w:w="0" w:type="auto"/>
            <w:vAlign w:val="center"/>
          </w:tcPr>
          <w:p w:rsidR="00D01D0F" w:rsidRDefault="0082384A">
            <w:pPr>
              <w:jc w:val="center"/>
            </w:pPr>
            <w:r>
              <w:rPr>
                <w:rFonts w:asciiTheme="minorEastAsia" w:eastAsiaTheme="minorEastAsia" w:hAnsiTheme="minorEastAsia"/>
                <w:color w:val="000000" w:themeColor="text1"/>
                <w:sz w:val="24"/>
              </w:rPr>
              <w:t>012384123</w:t>
            </w:r>
          </w:p>
        </w:tc>
        <w:tc>
          <w:tcPr>
            <w:tcW w:w="0" w:type="auto"/>
            <w:vAlign w:val="center"/>
          </w:tcPr>
          <w:p w:rsidR="00D01D0F" w:rsidRDefault="0082384A">
            <w:pPr>
              <w:jc w:val="center"/>
            </w:pPr>
            <w:r>
              <w:rPr>
                <w:rFonts w:asciiTheme="minorEastAsia" w:eastAsiaTheme="minorEastAsia" w:hAnsiTheme="minorEastAsia"/>
                <w:color w:val="000000" w:themeColor="text1"/>
                <w:sz w:val="24"/>
              </w:rPr>
              <w:t>23中建材SCP002</w:t>
            </w:r>
          </w:p>
        </w:tc>
        <w:tc>
          <w:tcPr>
            <w:tcW w:w="0" w:type="auto"/>
            <w:vAlign w:val="center"/>
          </w:tcPr>
          <w:p w:rsidR="00D01D0F" w:rsidRDefault="0082384A">
            <w:pPr>
              <w:jc w:val="right"/>
            </w:pPr>
            <w:r>
              <w:rPr>
                <w:rFonts w:asciiTheme="minorEastAsia" w:eastAsiaTheme="minorEastAsia" w:hAnsiTheme="minorEastAsia"/>
                <w:color w:val="000000" w:themeColor="text1"/>
                <w:sz w:val="24"/>
              </w:rPr>
              <w:t>1,000,000.00</w:t>
            </w:r>
          </w:p>
        </w:tc>
        <w:tc>
          <w:tcPr>
            <w:tcW w:w="0" w:type="auto"/>
            <w:vAlign w:val="center"/>
          </w:tcPr>
          <w:p w:rsidR="00D01D0F" w:rsidRDefault="0082384A">
            <w:pPr>
              <w:jc w:val="right"/>
            </w:pPr>
            <w:r>
              <w:rPr>
                <w:rFonts w:asciiTheme="minorEastAsia" w:eastAsiaTheme="minorEastAsia" w:hAnsiTheme="minorEastAsia"/>
                <w:color w:val="000000" w:themeColor="text1"/>
                <w:sz w:val="24"/>
              </w:rPr>
              <w:t>100,898,507.25</w:t>
            </w:r>
          </w:p>
        </w:tc>
        <w:tc>
          <w:tcPr>
            <w:tcW w:w="0" w:type="auto"/>
            <w:vAlign w:val="center"/>
          </w:tcPr>
          <w:p w:rsidR="00D01D0F" w:rsidRDefault="0082384A">
            <w:pPr>
              <w:jc w:val="right"/>
            </w:pPr>
            <w:r>
              <w:rPr>
                <w:rFonts w:asciiTheme="minorEastAsia" w:eastAsiaTheme="minorEastAsia" w:hAnsiTheme="minorEastAsia"/>
                <w:color w:val="000000" w:themeColor="text1"/>
                <w:sz w:val="24"/>
              </w:rPr>
              <w:t>0.94</w:t>
            </w:r>
          </w:p>
        </w:tc>
      </w:tr>
      <w:tr w:rsidR="00D01D0F">
        <w:tc>
          <w:tcPr>
            <w:tcW w:w="0" w:type="auto"/>
            <w:vAlign w:val="center"/>
          </w:tcPr>
          <w:p w:rsidR="00D01D0F" w:rsidRDefault="0082384A">
            <w:pPr>
              <w:jc w:val="center"/>
            </w:pPr>
            <w:r>
              <w:rPr>
                <w:rFonts w:asciiTheme="minorEastAsia" w:eastAsiaTheme="minorEastAsia" w:hAnsiTheme="minorEastAsia"/>
                <w:color w:val="000000" w:themeColor="text1"/>
                <w:sz w:val="24"/>
              </w:rPr>
              <w:t>6</w:t>
            </w:r>
          </w:p>
        </w:tc>
        <w:tc>
          <w:tcPr>
            <w:tcW w:w="0" w:type="auto"/>
            <w:vAlign w:val="center"/>
          </w:tcPr>
          <w:p w:rsidR="00D01D0F" w:rsidRDefault="0082384A">
            <w:pPr>
              <w:jc w:val="center"/>
            </w:pPr>
            <w:r>
              <w:rPr>
                <w:rFonts w:asciiTheme="minorEastAsia" w:eastAsiaTheme="minorEastAsia" w:hAnsiTheme="minorEastAsia"/>
                <w:color w:val="000000" w:themeColor="text1"/>
                <w:sz w:val="24"/>
              </w:rPr>
              <w:t>012480504</w:t>
            </w:r>
          </w:p>
        </w:tc>
        <w:tc>
          <w:tcPr>
            <w:tcW w:w="0" w:type="auto"/>
            <w:vAlign w:val="center"/>
          </w:tcPr>
          <w:p w:rsidR="00D01D0F" w:rsidRDefault="0082384A">
            <w:pPr>
              <w:jc w:val="center"/>
            </w:pPr>
            <w:r>
              <w:rPr>
                <w:rFonts w:asciiTheme="minorEastAsia" w:eastAsiaTheme="minorEastAsia" w:hAnsiTheme="minorEastAsia"/>
                <w:color w:val="000000" w:themeColor="text1"/>
                <w:sz w:val="24"/>
              </w:rPr>
              <w:t>24苏交通SCP004</w:t>
            </w:r>
          </w:p>
        </w:tc>
        <w:tc>
          <w:tcPr>
            <w:tcW w:w="0" w:type="auto"/>
            <w:vAlign w:val="center"/>
          </w:tcPr>
          <w:p w:rsidR="00D01D0F" w:rsidRDefault="0082384A">
            <w:pPr>
              <w:jc w:val="right"/>
            </w:pPr>
            <w:r>
              <w:rPr>
                <w:rFonts w:asciiTheme="minorEastAsia" w:eastAsiaTheme="minorEastAsia" w:hAnsiTheme="minorEastAsia"/>
                <w:color w:val="000000" w:themeColor="text1"/>
                <w:sz w:val="24"/>
              </w:rPr>
              <w:t>1,000,000.00</w:t>
            </w:r>
          </w:p>
        </w:tc>
        <w:tc>
          <w:tcPr>
            <w:tcW w:w="0" w:type="auto"/>
            <w:vAlign w:val="center"/>
          </w:tcPr>
          <w:p w:rsidR="00D01D0F" w:rsidRDefault="0082384A">
            <w:pPr>
              <w:jc w:val="right"/>
            </w:pPr>
            <w:r>
              <w:rPr>
                <w:rFonts w:asciiTheme="minorEastAsia" w:eastAsiaTheme="minorEastAsia" w:hAnsiTheme="minorEastAsia"/>
                <w:color w:val="000000" w:themeColor="text1"/>
                <w:sz w:val="24"/>
              </w:rPr>
              <w:t>100,272,781.48</w:t>
            </w:r>
          </w:p>
        </w:tc>
        <w:tc>
          <w:tcPr>
            <w:tcW w:w="0" w:type="auto"/>
            <w:vAlign w:val="center"/>
          </w:tcPr>
          <w:p w:rsidR="00D01D0F" w:rsidRDefault="0082384A">
            <w:pPr>
              <w:jc w:val="right"/>
            </w:pPr>
            <w:r>
              <w:rPr>
                <w:rFonts w:asciiTheme="minorEastAsia" w:eastAsiaTheme="minorEastAsia" w:hAnsiTheme="minorEastAsia"/>
                <w:color w:val="000000" w:themeColor="text1"/>
                <w:sz w:val="24"/>
              </w:rPr>
              <w:t>0.93</w:t>
            </w:r>
          </w:p>
        </w:tc>
      </w:tr>
      <w:tr w:rsidR="00D01D0F">
        <w:tc>
          <w:tcPr>
            <w:tcW w:w="0" w:type="auto"/>
            <w:vAlign w:val="center"/>
          </w:tcPr>
          <w:p w:rsidR="00D01D0F" w:rsidRDefault="0082384A">
            <w:pPr>
              <w:jc w:val="center"/>
            </w:pPr>
            <w:r>
              <w:rPr>
                <w:rFonts w:asciiTheme="minorEastAsia" w:eastAsiaTheme="minorEastAsia" w:hAnsiTheme="minorEastAsia"/>
                <w:color w:val="000000" w:themeColor="text1"/>
                <w:sz w:val="24"/>
              </w:rPr>
              <w:t>7</w:t>
            </w:r>
          </w:p>
        </w:tc>
        <w:tc>
          <w:tcPr>
            <w:tcW w:w="0" w:type="auto"/>
            <w:vAlign w:val="center"/>
          </w:tcPr>
          <w:p w:rsidR="00D01D0F" w:rsidRDefault="0082384A">
            <w:pPr>
              <w:jc w:val="center"/>
            </w:pPr>
            <w:r>
              <w:rPr>
                <w:rFonts w:asciiTheme="minorEastAsia" w:eastAsiaTheme="minorEastAsia" w:hAnsiTheme="minorEastAsia"/>
                <w:color w:val="000000" w:themeColor="text1"/>
                <w:sz w:val="24"/>
              </w:rPr>
              <w:t>012480606</w:t>
            </w:r>
          </w:p>
        </w:tc>
        <w:tc>
          <w:tcPr>
            <w:tcW w:w="0" w:type="auto"/>
            <w:vAlign w:val="center"/>
          </w:tcPr>
          <w:p w:rsidR="00D01D0F" w:rsidRDefault="0082384A">
            <w:pPr>
              <w:jc w:val="center"/>
            </w:pPr>
            <w:r>
              <w:rPr>
                <w:rFonts w:asciiTheme="minorEastAsia" w:eastAsiaTheme="minorEastAsia" w:hAnsiTheme="minorEastAsia"/>
                <w:color w:val="000000" w:themeColor="text1"/>
                <w:sz w:val="24"/>
              </w:rPr>
              <w:t>24鲁金SCP002(科创票据)</w:t>
            </w:r>
          </w:p>
        </w:tc>
        <w:tc>
          <w:tcPr>
            <w:tcW w:w="0" w:type="auto"/>
            <w:vAlign w:val="center"/>
          </w:tcPr>
          <w:p w:rsidR="00D01D0F" w:rsidRDefault="0082384A">
            <w:pPr>
              <w:jc w:val="right"/>
            </w:pPr>
            <w:r>
              <w:rPr>
                <w:rFonts w:asciiTheme="minorEastAsia" w:eastAsiaTheme="minorEastAsia" w:hAnsiTheme="minorEastAsia"/>
                <w:color w:val="000000" w:themeColor="text1"/>
                <w:sz w:val="24"/>
              </w:rPr>
              <w:t>1,000,000.00</w:t>
            </w:r>
          </w:p>
        </w:tc>
        <w:tc>
          <w:tcPr>
            <w:tcW w:w="0" w:type="auto"/>
            <w:vAlign w:val="center"/>
          </w:tcPr>
          <w:p w:rsidR="00D01D0F" w:rsidRDefault="0082384A">
            <w:pPr>
              <w:jc w:val="right"/>
            </w:pPr>
            <w:r>
              <w:rPr>
                <w:rFonts w:asciiTheme="minorEastAsia" w:eastAsiaTheme="minorEastAsia" w:hAnsiTheme="minorEastAsia"/>
                <w:color w:val="000000" w:themeColor="text1"/>
                <w:sz w:val="24"/>
              </w:rPr>
              <w:t>100,000,819.70</w:t>
            </w:r>
          </w:p>
        </w:tc>
        <w:tc>
          <w:tcPr>
            <w:tcW w:w="0" w:type="auto"/>
            <w:vAlign w:val="center"/>
          </w:tcPr>
          <w:p w:rsidR="00D01D0F" w:rsidRDefault="0082384A">
            <w:pPr>
              <w:jc w:val="right"/>
            </w:pPr>
            <w:r>
              <w:rPr>
                <w:rFonts w:asciiTheme="minorEastAsia" w:eastAsiaTheme="minorEastAsia" w:hAnsiTheme="minorEastAsia"/>
                <w:color w:val="000000" w:themeColor="text1"/>
                <w:sz w:val="24"/>
              </w:rPr>
              <w:t>0.93</w:t>
            </w:r>
          </w:p>
        </w:tc>
      </w:tr>
      <w:tr w:rsidR="00D01D0F">
        <w:tc>
          <w:tcPr>
            <w:tcW w:w="0" w:type="auto"/>
            <w:vAlign w:val="center"/>
          </w:tcPr>
          <w:p w:rsidR="00D01D0F" w:rsidRDefault="0082384A">
            <w:pPr>
              <w:jc w:val="center"/>
            </w:pPr>
            <w:r>
              <w:rPr>
                <w:rFonts w:asciiTheme="minorEastAsia" w:eastAsiaTheme="minorEastAsia" w:hAnsiTheme="minorEastAsia"/>
                <w:color w:val="000000" w:themeColor="text1"/>
                <w:sz w:val="24"/>
              </w:rPr>
              <w:t>8</w:t>
            </w:r>
          </w:p>
        </w:tc>
        <w:tc>
          <w:tcPr>
            <w:tcW w:w="0" w:type="auto"/>
            <w:vAlign w:val="center"/>
          </w:tcPr>
          <w:p w:rsidR="00D01D0F" w:rsidRDefault="0082384A">
            <w:pPr>
              <w:jc w:val="center"/>
            </w:pPr>
            <w:r>
              <w:rPr>
                <w:rFonts w:asciiTheme="minorEastAsia" w:eastAsiaTheme="minorEastAsia" w:hAnsiTheme="minorEastAsia"/>
                <w:color w:val="000000" w:themeColor="text1"/>
                <w:sz w:val="24"/>
              </w:rPr>
              <w:t>112396915</w:t>
            </w:r>
          </w:p>
        </w:tc>
        <w:tc>
          <w:tcPr>
            <w:tcW w:w="0" w:type="auto"/>
            <w:vAlign w:val="center"/>
          </w:tcPr>
          <w:p w:rsidR="00D01D0F" w:rsidRDefault="0082384A">
            <w:pPr>
              <w:jc w:val="center"/>
            </w:pPr>
            <w:r>
              <w:rPr>
                <w:rFonts w:asciiTheme="minorEastAsia" w:eastAsiaTheme="minorEastAsia" w:hAnsiTheme="minorEastAsia"/>
                <w:color w:val="000000" w:themeColor="text1"/>
                <w:sz w:val="24"/>
              </w:rPr>
              <w:t>23厦门国际银行CD054</w:t>
            </w:r>
          </w:p>
        </w:tc>
        <w:tc>
          <w:tcPr>
            <w:tcW w:w="0" w:type="auto"/>
            <w:vAlign w:val="center"/>
          </w:tcPr>
          <w:p w:rsidR="00D01D0F" w:rsidRDefault="0082384A">
            <w:pPr>
              <w:jc w:val="right"/>
            </w:pPr>
            <w:r>
              <w:rPr>
                <w:rFonts w:asciiTheme="minorEastAsia" w:eastAsiaTheme="minorEastAsia" w:hAnsiTheme="minorEastAsia"/>
                <w:color w:val="000000" w:themeColor="text1"/>
                <w:sz w:val="24"/>
              </w:rPr>
              <w:t>1,000,000.00</w:t>
            </w:r>
          </w:p>
        </w:tc>
        <w:tc>
          <w:tcPr>
            <w:tcW w:w="0" w:type="auto"/>
            <w:vAlign w:val="center"/>
          </w:tcPr>
          <w:p w:rsidR="00D01D0F" w:rsidRDefault="0082384A">
            <w:pPr>
              <w:jc w:val="right"/>
            </w:pPr>
            <w:r>
              <w:rPr>
                <w:rFonts w:asciiTheme="minorEastAsia" w:eastAsiaTheme="minorEastAsia" w:hAnsiTheme="minorEastAsia"/>
                <w:color w:val="000000" w:themeColor="text1"/>
                <w:sz w:val="24"/>
              </w:rPr>
              <w:t>99,904,950.13</w:t>
            </w:r>
          </w:p>
        </w:tc>
        <w:tc>
          <w:tcPr>
            <w:tcW w:w="0" w:type="auto"/>
            <w:vAlign w:val="center"/>
          </w:tcPr>
          <w:p w:rsidR="00D01D0F" w:rsidRDefault="0082384A">
            <w:pPr>
              <w:jc w:val="right"/>
            </w:pPr>
            <w:r>
              <w:rPr>
                <w:rFonts w:asciiTheme="minorEastAsia" w:eastAsiaTheme="minorEastAsia" w:hAnsiTheme="minorEastAsia"/>
                <w:color w:val="000000" w:themeColor="text1"/>
                <w:sz w:val="24"/>
              </w:rPr>
              <w:t>0.93</w:t>
            </w:r>
          </w:p>
        </w:tc>
      </w:tr>
      <w:tr w:rsidR="00D01D0F">
        <w:tc>
          <w:tcPr>
            <w:tcW w:w="0" w:type="auto"/>
            <w:vAlign w:val="center"/>
          </w:tcPr>
          <w:p w:rsidR="00D01D0F" w:rsidRDefault="0082384A">
            <w:pPr>
              <w:jc w:val="center"/>
            </w:pPr>
            <w:r>
              <w:rPr>
                <w:rFonts w:asciiTheme="minorEastAsia" w:eastAsiaTheme="minorEastAsia" w:hAnsiTheme="minorEastAsia"/>
                <w:color w:val="000000" w:themeColor="text1"/>
                <w:sz w:val="24"/>
              </w:rPr>
              <w:t>9</w:t>
            </w:r>
          </w:p>
        </w:tc>
        <w:tc>
          <w:tcPr>
            <w:tcW w:w="0" w:type="auto"/>
            <w:vAlign w:val="center"/>
          </w:tcPr>
          <w:p w:rsidR="00D01D0F" w:rsidRDefault="0082384A">
            <w:pPr>
              <w:jc w:val="center"/>
            </w:pPr>
            <w:r>
              <w:rPr>
                <w:rFonts w:asciiTheme="minorEastAsia" w:eastAsiaTheme="minorEastAsia" w:hAnsiTheme="minorEastAsia"/>
                <w:color w:val="000000" w:themeColor="text1"/>
                <w:sz w:val="24"/>
              </w:rPr>
              <w:t>112370002</w:t>
            </w:r>
          </w:p>
        </w:tc>
        <w:tc>
          <w:tcPr>
            <w:tcW w:w="0" w:type="auto"/>
            <w:vAlign w:val="center"/>
          </w:tcPr>
          <w:p w:rsidR="00D01D0F" w:rsidRDefault="0082384A">
            <w:pPr>
              <w:jc w:val="center"/>
            </w:pPr>
            <w:r>
              <w:rPr>
                <w:rFonts w:asciiTheme="minorEastAsia" w:eastAsiaTheme="minorEastAsia" w:hAnsiTheme="minorEastAsia"/>
                <w:color w:val="000000" w:themeColor="text1"/>
                <w:sz w:val="24"/>
              </w:rPr>
              <w:t>23贵阳银行CD180</w:t>
            </w:r>
          </w:p>
        </w:tc>
        <w:tc>
          <w:tcPr>
            <w:tcW w:w="0" w:type="auto"/>
            <w:vAlign w:val="center"/>
          </w:tcPr>
          <w:p w:rsidR="00D01D0F" w:rsidRDefault="0082384A">
            <w:pPr>
              <w:jc w:val="right"/>
            </w:pPr>
            <w:r>
              <w:rPr>
                <w:rFonts w:asciiTheme="minorEastAsia" w:eastAsiaTheme="minorEastAsia" w:hAnsiTheme="minorEastAsia"/>
                <w:color w:val="000000" w:themeColor="text1"/>
                <w:sz w:val="24"/>
              </w:rPr>
              <w:t>1,000,000.00</w:t>
            </w:r>
          </w:p>
        </w:tc>
        <w:tc>
          <w:tcPr>
            <w:tcW w:w="0" w:type="auto"/>
            <w:vAlign w:val="center"/>
          </w:tcPr>
          <w:p w:rsidR="00D01D0F" w:rsidRDefault="0082384A">
            <w:pPr>
              <w:jc w:val="right"/>
            </w:pPr>
            <w:r>
              <w:rPr>
                <w:rFonts w:asciiTheme="minorEastAsia" w:eastAsiaTheme="minorEastAsia" w:hAnsiTheme="minorEastAsia"/>
                <w:color w:val="000000" w:themeColor="text1"/>
                <w:sz w:val="24"/>
              </w:rPr>
              <w:t>99,791,110.49</w:t>
            </w:r>
          </w:p>
        </w:tc>
        <w:tc>
          <w:tcPr>
            <w:tcW w:w="0" w:type="auto"/>
            <w:vAlign w:val="center"/>
          </w:tcPr>
          <w:p w:rsidR="00D01D0F" w:rsidRDefault="0082384A">
            <w:pPr>
              <w:jc w:val="right"/>
            </w:pPr>
            <w:r>
              <w:rPr>
                <w:rFonts w:asciiTheme="minorEastAsia" w:eastAsiaTheme="minorEastAsia" w:hAnsiTheme="minorEastAsia"/>
                <w:color w:val="000000" w:themeColor="text1"/>
                <w:sz w:val="24"/>
              </w:rPr>
              <w:t>0.93</w:t>
            </w:r>
          </w:p>
        </w:tc>
      </w:tr>
      <w:tr w:rsidR="00D01D0F">
        <w:tc>
          <w:tcPr>
            <w:tcW w:w="0" w:type="auto"/>
            <w:vAlign w:val="center"/>
          </w:tcPr>
          <w:p w:rsidR="00D01D0F" w:rsidRDefault="0082384A">
            <w:pPr>
              <w:jc w:val="center"/>
            </w:pPr>
            <w:r>
              <w:rPr>
                <w:rFonts w:asciiTheme="minorEastAsia" w:eastAsiaTheme="minorEastAsia" w:hAnsiTheme="minorEastAsia"/>
                <w:color w:val="000000" w:themeColor="text1"/>
                <w:sz w:val="24"/>
              </w:rPr>
              <w:t>10</w:t>
            </w:r>
          </w:p>
        </w:tc>
        <w:tc>
          <w:tcPr>
            <w:tcW w:w="0" w:type="auto"/>
            <w:vAlign w:val="center"/>
          </w:tcPr>
          <w:p w:rsidR="00D01D0F" w:rsidRDefault="0082384A">
            <w:pPr>
              <w:jc w:val="center"/>
            </w:pPr>
            <w:r>
              <w:rPr>
                <w:rFonts w:asciiTheme="minorEastAsia" w:eastAsiaTheme="minorEastAsia" w:hAnsiTheme="minorEastAsia"/>
                <w:color w:val="000000" w:themeColor="text1"/>
                <w:sz w:val="24"/>
              </w:rPr>
              <w:t>112306133</w:t>
            </w:r>
          </w:p>
        </w:tc>
        <w:tc>
          <w:tcPr>
            <w:tcW w:w="0" w:type="auto"/>
            <w:vAlign w:val="center"/>
          </w:tcPr>
          <w:p w:rsidR="00D01D0F" w:rsidRDefault="0082384A">
            <w:pPr>
              <w:jc w:val="center"/>
            </w:pPr>
            <w:r>
              <w:rPr>
                <w:rFonts w:asciiTheme="minorEastAsia" w:eastAsiaTheme="minorEastAsia" w:hAnsiTheme="minorEastAsia"/>
                <w:color w:val="000000" w:themeColor="text1"/>
                <w:sz w:val="24"/>
              </w:rPr>
              <w:t>23交通银行CD133</w:t>
            </w:r>
          </w:p>
        </w:tc>
        <w:tc>
          <w:tcPr>
            <w:tcW w:w="0" w:type="auto"/>
            <w:vAlign w:val="center"/>
          </w:tcPr>
          <w:p w:rsidR="00D01D0F" w:rsidRDefault="0082384A">
            <w:pPr>
              <w:jc w:val="right"/>
            </w:pPr>
            <w:r>
              <w:rPr>
                <w:rFonts w:asciiTheme="minorEastAsia" w:eastAsiaTheme="minorEastAsia" w:hAnsiTheme="minorEastAsia"/>
                <w:color w:val="000000" w:themeColor="text1"/>
                <w:sz w:val="24"/>
              </w:rPr>
              <w:t>1,000,000.00</w:t>
            </w:r>
          </w:p>
        </w:tc>
        <w:tc>
          <w:tcPr>
            <w:tcW w:w="0" w:type="auto"/>
            <w:vAlign w:val="center"/>
          </w:tcPr>
          <w:p w:rsidR="00D01D0F" w:rsidRDefault="0082384A">
            <w:pPr>
              <w:jc w:val="right"/>
            </w:pPr>
            <w:r>
              <w:rPr>
                <w:rFonts w:asciiTheme="minorEastAsia" w:eastAsiaTheme="minorEastAsia" w:hAnsiTheme="minorEastAsia"/>
                <w:color w:val="000000" w:themeColor="text1"/>
                <w:sz w:val="24"/>
              </w:rPr>
              <w:t>99,743,302.99</w:t>
            </w:r>
          </w:p>
        </w:tc>
        <w:tc>
          <w:tcPr>
            <w:tcW w:w="0" w:type="auto"/>
            <w:vAlign w:val="center"/>
          </w:tcPr>
          <w:p w:rsidR="00D01D0F" w:rsidRDefault="0082384A">
            <w:pPr>
              <w:jc w:val="right"/>
            </w:pPr>
            <w:r>
              <w:rPr>
                <w:rFonts w:asciiTheme="minorEastAsia" w:eastAsiaTheme="minorEastAsia" w:hAnsiTheme="minorEastAsia"/>
                <w:color w:val="000000" w:themeColor="text1"/>
                <w:sz w:val="24"/>
              </w:rPr>
              <w:t>0.93</w:t>
            </w:r>
          </w:p>
        </w:tc>
      </w:tr>
    </w:tbl>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5.7 </w:t>
      </w:r>
      <w:r>
        <w:rPr>
          <w:rFonts w:asciiTheme="minorEastAsia" w:eastAsiaTheme="minorEastAsia" w:hAnsiTheme="minorEastAsia" w:cs="Arial" w:hint="eastAsia"/>
          <w:b/>
          <w:color w:val="000000" w:themeColor="text1"/>
          <w:kern w:val="0"/>
          <w:sz w:val="24"/>
        </w:rPr>
        <w:t>“影子定价”与“摊余成本法”确定的基金资产净值的偏离</w:t>
      </w:r>
    </w:p>
    <w:tbl>
      <w:tblPr>
        <w:tblW w:w="0" w:type="auto"/>
        <w:tblInd w:w="108" w:type="dxa"/>
        <w:tblLayout w:type="fixed"/>
        <w:tblLook w:val="04A0" w:firstRow="1" w:lastRow="0" w:firstColumn="1" w:lastColumn="0" w:noHBand="0" w:noVBand="1"/>
      </w:tblPr>
      <w:tblGrid>
        <w:gridCol w:w="5812"/>
        <w:gridCol w:w="3382"/>
      </w:tblGrid>
      <w:tr w:rsidR="00DA315C">
        <w:tc>
          <w:tcPr>
            <w:tcW w:w="5812"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项目</w:t>
            </w:r>
          </w:p>
        </w:tc>
        <w:tc>
          <w:tcPr>
            <w:tcW w:w="3382"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偏离情况</w:t>
            </w:r>
          </w:p>
        </w:tc>
      </w:tr>
      <w:tr w:rsidR="00DA315C">
        <w:tc>
          <w:tcPr>
            <w:tcW w:w="5812"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报告期内偏离度的绝对值在</w:t>
            </w:r>
            <w:r>
              <w:rPr>
                <w:rFonts w:asciiTheme="minorEastAsia" w:eastAsiaTheme="minorEastAsia" w:hAnsiTheme="minorEastAsia" w:cs="Arial"/>
                <w:color w:val="000000" w:themeColor="text1"/>
                <w:kern w:val="0"/>
                <w:sz w:val="24"/>
              </w:rPr>
              <w:t>0.25(</w:t>
            </w:r>
            <w:r>
              <w:rPr>
                <w:rFonts w:asciiTheme="minorEastAsia" w:eastAsiaTheme="minorEastAsia" w:hAnsiTheme="minorEastAsia" w:cs="Arial" w:hint="eastAsia"/>
                <w:color w:val="000000" w:themeColor="text1"/>
                <w:kern w:val="0"/>
                <w:sz w:val="24"/>
              </w:rPr>
              <w:t>含</w:t>
            </w:r>
            <w:r>
              <w:rPr>
                <w:rFonts w:asciiTheme="minorEastAsia" w:eastAsiaTheme="minorEastAsia" w:hAnsiTheme="minorEastAsia" w:cs="Arial"/>
                <w:color w:val="000000" w:themeColor="text1"/>
                <w:kern w:val="0"/>
                <w:sz w:val="24"/>
              </w:rPr>
              <w:t>)-0.5%</w:t>
            </w:r>
            <w:r>
              <w:rPr>
                <w:rFonts w:asciiTheme="minorEastAsia" w:eastAsiaTheme="minorEastAsia" w:hAnsiTheme="minorEastAsia" w:cs="Arial" w:hint="eastAsia"/>
                <w:color w:val="000000" w:themeColor="text1"/>
                <w:kern w:val="0"/>
                <w:sz w:val="24"/>
              </w:rPr>
              <w:t>间的次数</w:t>
            </w:r>
          </w:p>
        </w:tc>
        <w:tc>
          <w:tcPr>
            <w:tcW w:w="3382" w:type="dxa"/>
            <w:tcBorders>
              <w:top w:val="single" w:sz="8" w:space="0" w:color="000000"/>
              <w:left w:val="single" w:sz="8" w:space="0" w:color="000000"/>
              <w:bottom w:val="single" w:sz="8" w:space="0" w:color="000000"/>
              <w:right w:val="single" w:sz="8" w:space="0" w:color="000000"/>
            </w:tcBorders>
            <w:vAlign w:val="bottom"/>
          </w:tcPr>
          <w:p w:rsidR="00DA315C" w:rsidRDefault="00CC2E83">
            <w:pPr>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0</w:t>
            </w:r>
            <w:r>
              <w:rPr>
                <w:rFonts w:asciiTheme="minorEastAsia" w:eastAsiaTheme="minorEastAsia" w:hAnsiTheme="minorEastAsia" w:hint="eastAsia"/>
                <w:color w:val="000000" w:themeColor="text1"/>
                <w:sz w:val="24"/>
              </w:rPr>
              <w:t>次</w:t>
            </w:r>
          </w:p>
        </w:tc>
      </w:tr>
      <w:tr w:rsidR="00DA315C">
        <w:tc>
          <w:tcPr>
            <w:tcW w:w="5812"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报告期内偏离度的最高值</w:t>
            </w:r>
          </w:p>
        </w:tc>
        <w:tc>
          <w:tcPr>
            <w:tcW w:w="3382" w:type="dxa"/>
            <w:tcBorders>
              <w:top w:val="single" w:sz="8" w:space="0" w:color="000000"/>
              <w:left w:val="single" w:sz="8" w:space="0" w:color="000000"/>
              <w:bottom w:val="single" w:sz="8" w:space="0" w:color="000000"/>
              <w:right w:val="single" w:sz="8" w:space="0" w:color="000000"/>
            </w:tcBorders>
            <w:vAlign w:val="bottom"/>
          </w:tcPr>
          <w:p w:rsidR="00DA315C" w:rsidRDefault="00CC2E83">
            <w:pPr>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0.0439%</w:t>
            </w:r>
          </w:p>
        </w:tc>
      </w:tr>
      <w:tr w:rsidR="00DA315C">
        <w:tc>
          <w:tcPr>
            <w:tcW w:w="5812"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报告期内偏离度的最低值</w:t>
            </w:r>
          </w:p>
        </w:tc>
        <w:tc>
          <w:tcPr>
            <w:tcW w:w="3382" w:type="dxa"/>
            <w:tcBorders>
              <w:top w:val="single" w:sz="8" w:space="0" w:color="000000"/>
              <w:left w:val="single" w:sz="8" w:space="0" w:color="000000"/>
              <w:bottom w:val="single" w:sz="8" w:space="0" w:color="000000"/>
              <w:right w:val="single" w:sz="8" w:space="0" w:color="000000"/>
            </w:tcBorders>
            <w:vAlign w:val="bottom"/>
          </w:tcPr>
          <w:p w:rsidR="00DA315C" w:rsidRDefault="00CC2E83">
            <w:pPr>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0.0110%</w:t>
            </w:r>
          </w:p>
        </w:tc>
      </w:tr>
      <w:tr w:rsidR="00DA315C">
        <w:tc>
          <w:tcPr>
            <w:tcW w:w="5812"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报告期内每个工作日偏离度的绝对值的简单平均值</w:t>
            </w:r>
          </w:p>
        </w:tc>
        <w:tc>
          <w:tcPr>
            <w:tcW w:w="3382" w:type="dxa"/>
            <w:tcBorders>
              <w:top w:val="single" w:sz="8" w:space="0" w:color="000000"/>
              <w:left w:val="single" w:sz="8" w:space="0" w:color="000000"/>
              <w:bottom w:val="single" w:sz="8" w:space="0" w:color="000000"/>
              <w:right w:val="single" w:sz="8" w:space="0" w:color="000000"/>
            </w:tcBorders>
            <w:vAlign w:val="bottom"/>
          </w:tcPr>
          <w:p w:rsidR="00DA315C" w:rsidRDefault="00CC2E83">
            <w:pPr>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0.0245%</w:t>
            </w:r>
          </w:p>
        </w:tc>
      </w:tr>
    </w:tbl>
    <w:p w:rsidR="00DA315C" w:rsidRPr="0017387C" w:rsidRDefault="00CC2E83" w:rsidP="0017387C">
      <w:pPr>
        <w:spacing w:beforeLines="100" w:before="240" w:line="360" w:lineRule="auto"/>
        <w:rPr>
          <w:rFonts w:asciiTheme="minorEastAsia" w:eastAsiaTheme="minorEastAsia" w:hAnsiTheme="minorEastAsia" w:cs="Arial"/>
          <w:b/>
          <w:color w:val="000000" w:themeColor="text1"/>
          <w:kern w:val="0"/>
          <w:sz w:val="24"/>
        </w:rPr>
      </w:pPr>
      <w:r w:rsidRPr="0017387C">
        <w:rPr>
          <w:rFonts w:asciiTheme="minorEastAsia" w:eastAsiaTheme="minorEastAsia" w:hAnsiTheme="minorEastAsia" w:cs="Arial"/>
          <w:b/>
          <w:color w:val="000000" w:themeColor="text1"/>
          <w:kern w:val="0"/>
          <w:sz w:val="24"/>
        </w:rPr>
        <w:t>报告期内负偏离度的绝对值达到0.25%情况说明</w:t>
      </w:r>
    </w:p>
    <w:p w:rsidR="00DA315C" w:rsidRDefault="00CC2E83" w:rsidP="001B75F9">
      <w:pPr>
        <w:autoSpaceDE w:val="0"/>
        <w:autoSpaceDN w:val="0"/>
        <w:adjustRightInd w:val="0"/>
        <w:spacing w:beforeLines="50" w:before="120" w:line="360" w:lineRule="auto"/>
        <w:ind w:firstLineChars="200" w:firstLine="480"/>
        <w:jc w:val="left"/>
        <w:rPr>
          <w:color w:val="000000"/>
          <w:sz w:val="24"/>
        </w:rPr>
      </w:pPr>
      <w:r>
        <w:rPr>
          <w:color w:val="000000"/>
          <w:sz w:val="24"/>
        </w:rPr>
        <w:t>本报告期未发生负偏离度的绝对值达到</w:t>
      </w:r>
      <w:r>
        <w:rPr>
          <w:color w:val="000000"/>
          <w:sz w:val="24"/>
        </w:rPr>
        <w:t>0.25%</w:t>
      </w:r>
      <w:r>
        <w:rPr>
          <w:color w:val="000000"/>
          <w:sz w:val="24"/>
        </w:rPr>
        <w:t>的情况。</w:t>
      </w:r>
    </w:p>
    <w:p w:rsidR="00DA315C" w:rsidRPr="0017387C" w:rsidRDefault="00CC2E83" w:rsidP="0017387C">
      <w:pPr>
        <w:spacing w:beforeLines="100" w:before="240" w:line="360" w:lineRule="auto"/>
        <w:rPr>
          <w:rFonts w:asciiTheme="minorEastAsia" w:eastAsiaTheme="minorEastAsia" w:hAnsiTheme="minorEastAsia" w:cs="Arial"/>
          <w:b/>
          <w:color w:val="000000" w:themeColor="text1"/>
          <w:kern w:val="0"/>
          <w:sz w:val="24"/>
        </w:rPr>
      </w:pPr>
      <w:r w:rsidRPr="0017387C">
        <w:rPr>
          <w:rFonts w:asciiTheme="minorEastAsia" w:eastAsiaTheme="minorEastAsia" w:hAnsiTheme="minorEastAsia" w:cs="Arial"/>
          <w:b/>
          <w:color w:val="000000" w:themeColor="text1"/>
          <w:kern w:val="0"/>
          <w:sz w:val="24"/>
        </w:rPr>
        <w:t>报告期内正偏离度的绝对值达到0.5%情况说明</w:t>
      </w:r>
    </w:p>
    <w:p w:rsidR="00DA315C" w:rsidRDefault="00CC2E83" w:rsidP="001B75F9">
      <w:pPr>
        <w:autoSpaceDE w:val="0"/>
        <w:autoSpaceDN w:val="0"/>
        <w:adjustRightInd w:val="0"/>
        <w:spacing w:beforeLines="50" w:before="120" w:line="360" w:lineRule="auto"/>
        <w:ind w:firstLineChars="200" w:firstLine="480"/>
        <w:jc w:val="left"/>
        <w:rPr>
          <w:rFonts w:asciiTheme="minorEastAsia" w:eastAsiaTheme="minorEastAsia" w:hAnsiTheme="minorEastAsia" w:cs="Arial"/>
          <w:color w:val="000000" w:themeColor="text1"/>
          <w:kern w:val="0"/>
          <w:sz w:val="24"/>
        </w:rPr>
      </w:pPr>
      <w:r>
        <w:rPr>
          <w:color w:val="000000"/>
          <w:sz w:val="24"/>
        </w:rPr>
        <w:t>本报告期未发生正偏离度的绝对值达到</w:t>
      </w:r>
      <w:r>
        <w:rPr>
          <w:color w:val="000000"/>
          <w:sz w:val="24"/>
        </w:rPr>
        <w:t>0.5%</w:t>
      </w:r>
      <w:r>
        <w:rPr>
          <w:color w:val="000000"/>
          <w:sz w:val="24"/>
        </w:rPr>
        <w:t>的情况。</w:t>
      </w:r>
    </w:p>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5.8 </w:t>
      </w:r>
      <w:r>
        <w:rPr>
          <w:rFonts w:asciiTheme="minorEastAsia" w:eastAsiaTheme="minorEastAsia" w:hAnsiTheme="minorEastAsia" w:cs="Arial" w:hint="eastAsia"/>
          <w:b/>
          <w:color w:val="000000" w:themeColor="text1"/>
          <w:kern w:val="0"/>
          <w:sz w:val="24"/>
        </w:rPr>
        <w:t>报告期末按摊余成本占基金资产净值比例大小排名的前十名资产支持证券投资明细</w:t>
      </w:r>
    </w:p>
    <w:p w:rsidR="00DA315C" w:rsidRDefault="00CC2E83" w:rsidP="001B75F9">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本基金本报告期末未持有资产支持证券。</w:t>
      </w:r>
    </w:p>
    <w:p w:rsidR="00DA315C" w:rsidRDefault="00CC2E83" w:rsidP="000515FA">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w:t>
      </w:r>
      <w:r>
        <w:rPr>
          <w:rFonts w:asciiTheme="minorEastAsia" w:eastAsiaTheme="minorEastAsia" w:hAnsiTheme="minorEastAsia" w:cs="Arial"/>
          <w:b/>
          <w:color w:val="000000" w:themeColor="text1"/>
          <w:kern w:val="0"/>
          <w:sz w:val="24"/>
        </w:rPr>
        <w:t>.</w:t>
      </w:r>
      <w:r>
        <w:rPr>
          <w:rFonts w:asciiTheme="minorEastAsia" w:eastAsiaTheme="minorEastAsia" w:hAnsiTheme="minorEastAsia" w:cs="Arial" w:hint="eastAsia"/>
          <w:b/>
          <w:color w:val="000000" w:themeColor="text1"/>
          <w:kern w:val="0"/>
          <w:sz w:val="24"/>
        </w:rPr>
        <w:t>9</w:t>
      </w:r>
      <w:r>
        <w:rPr>
          <w:rFonts w:asciiTheme="minorEastAsia" w:eastAsiaTheme="minorEastAsia" w:hAnsiTheme="minorEastAsia" w:cs="Arial"/>
          <w:b/>
          <w:color w:val="000000" w:themeColor="text1"/>
          <w:kern w:val="0"/>
          <w:sz w:val="24"/>
        </w:rPr>
        <w:t xml:space="preserve"> </w:t>
      </w:r>
      <w:r>
        <w:rPr>
          <w:rFonts w:asciiTheme="minorEastAsia" w:eastAsiaTheme="minorEastAsia" w:hAnsiTheme="minorEastAsia" w:cs="Arial" w:hint="eastAsia"/>
          <w:b/>
          <w:color w:val="000000" w:themeColor="text1"/>
          <w:kern w:val="0"/>
          <w:sz w:val="24"/>
        </w:rPr>
        <w:t>投资组合报告附注</w:t>
      </w:r>
    </w:p>
    <w:p w:rsidR="00DA315C" w:rsidRDefault="00CC2E83">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5</w:t>
      </w:r>
      <w:r>
        <w:rPr>
          <w:rFonts w:asciiTheme="minorEastAsia" w:eastAsiaTheme="minorEastAsia" w:hAnsiTheme="minorEastAsia"/>
          <w:b/>
          <w:color w:val="000000" w:themeColor="text1"/>
          <w:sz w:val="24"/>
        </w:rPr>
        <w:t>.</w:t>
      </w:r>
      <w:r>
        <w:rPr>
          <w:rFonts w:asciiTheme="minorEastAsia" w:eastAsiaTheme="minorEastAsia" w:hAnsiTheme="minorEastAsia" w:hint="eastAsia"/>
          <w:b/>
          <w:color w:val="000000" w:themeColor="text1"/>
          <w:sz w:val="24"/>
        </w:rPr>
        <w:t>9</w:t>
      </w:r>
      <w:r>
        <w:rPr>
          <w:rFonts w:asciiTheme="minorEastAsia" w:eastAsiaTheme="minorEastAsia" w:hAnsiTheme="minorEastAsia"/>
          <w:b/>
          <w:color w:val="000000" w:themeColor="text1"/>
          <w:sz w:val="24"/>
        </w:rPr>
        <w:t>.</w:t>
      </w:r>
      <w:r>
        <w:rPr>
          <w:rFonts w:asciiTheme="minorEastAsia" w:eastAsiaTheme="minorEastAsia" w:hAnsiTheme="minorEastAsia" w:hint="eastAsia"/>
          <w:b/>
          <w:color w:val="000000" w:themeColor="text1"/>
          <w:sz w:val="24"/>
        </w:rPr>
        <w:t>1</w:t>
      </w:r>
      <w:r>
        <w:rPr>
          <w:rFonts w:asciiTheme="minorEastAsia" w:eastAsiaTheme="minorEastAsia" w:hAnsiTheme="minorEastAsia"/>
          <w:b/>
          <w:color w:val="000000" w:themeColor="text1"/>
          <w:sz w:val="24"/>
        </w:rPr>
        <w:t xml:space="preserve"> </w:t>
      </w:r>
      <w:r>
        <w:rPr>
          <w:rFonts w:asciiTheme="minorEastAsia" w:eastAsiaTheme="minorEastAsia" w:hAnsiTheme="minorEastAsia" w:hint="eastAsia"/>
          <w:b/>
          <w:color w:val="000000" w:themeColor="text1"/>
          <w:sz w:val="24"/>
        </w:rPr>
        <w:t>基金计价方法说明</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估值采用摊余成本法，即估值对象以买入成本列示，按票面利率或商定利率并考虑其买入时的溢价与折价，在其剩余期限内按实际利率法摊销，每日计提收益。本基金不采用市场利率和上市交易的债券和票据的市价计算基金资产净值。</w:t>
      </w:r>
    </w:p>
    <w:p w:rsidR="00DA315C" w:rsidRDefault="00CC2E83" w:rsidP="00DE0807">
      <w:pPr>
        <w:widowControl/>
        <w:spacing w:line="360" w:lineRule="auto"/>
        <w:rPr>
          <w:rFonts w:asciiTheme="minorEastAsia" w:eastAsiaTheme="minorEastAsia" w:hAnsiTheme="minorEastAsia"/>
          <w:color w:val="000000" w:themeColor="text1"/>
          <w:sz w:val="24"/>
        </w:rPr>
      </w:pPr>
      <w:r>
        <w:rPr>
          <w:rFonts w:asciiTheme="minorEastAsia" w:eastAsiaTheme="minorEastAsia" w:hAnsiTheme="minorEastAsia"/>
          <w:b/>
          <w:color w:val="000000" w:themeColor="text1"/>
          <w:sz w:val="24"/>
        </w:rPr>
        <w:lastRenderedPageBreak/>
        <w:t xml:space="preserve">5.9.2 </w:t>
      </w:r>
      <w:r>
        <w:rPr>
          <w:rFonts w:asciiTheme="minorEastAsia" w:eastAsiaTheme="minorEastAsia" w:hAnsiTheme="minorEastAsia"/>
          <w:color w:val="000000" w:themeColor="text1"/>
          <w:sz w:val="24"/>
        </w:rPr>
        <w:t>本基金投资的前十名证券的发行主体中，中国民生银行股份有限公司在报告编制日前一年内曾受到国家金融监督管理总局的处罚。厦门国际银行股份有限公司在报告编制日前一年内曾受到国家金融监督管理总局厦门监管局、国家外汇管理局厦门市分局、厦门银保监局的处罚。</w:t>
      </w:r>
    </w:p>
    <w:p w:rsidR="00D01D0F" w:rsidRDefault="0082384A">
      <w:pPr>
        <w:widowControl/>
        <w:spacing w:line="360" w:lineRule="auto"/>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本基金对上述主体所发行证券的投资决策程序符合相关法律法规、基金合同及公司投资制度的要求。</w:t>
      </w:r>
    </w:p>
    <w:p w:rsidR="00D01D0F" w:rsidRDefault="0082384A">
      <w:pPr>
        <w:widowControl/>
        <w:spacing w:line="360" w:lineRule="auto"/>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除上述主体外，本基金投资的其余前十名证券的发行主体本期未出现被监管部门立案调查，或在报告编制日前一年内受到公开谴责、处罚的情形。</w:t>
      </w:r>
    </w:p>
    <w:p w:rsidR="00DA315C" w:rsidRPr="000515FA" w:rsidRDefault="00CC2E83" w:rsidP="000515FA">
      <w:pPr>
        <w:spacing w:beforeLines="100" w:before="240" w:line="360" w:lineRule="auto"/>
        <w:rPr>
          <w:rFonts w:asciiTheme="minorEastAsia" w:eastAsiaTheme="minorEastAsia" w:hAnsiTheme="minorEastAsia" w:cs="Arial"/>
          <w:b/>
          <w:color w:val="000000" w:themeColor="text1"/>
          <w:kern w:val="0"/>
          <w:sz w:val="24"/>
        </w:rPr>
      </w:pPr>
      <w:r w:rsidRPr="000515FA">
        <w:rPr>
          <w:rFonts w:asciiTheme="minorEastAsia" w:eastAsiaTheme="minorEastAsia" w:hAnsiTheme="minorEastAsia" w:cs="Arial" w:hint="eastAsia"/>
          <w:b/>
          <w:color w:val="000000" w:themeColor="text1"/>
          <w:kern w:val="0"/>
          <w:sz w:val="24"/>
        </w:rPr>
        <w:t>5</w:t>
      </w:r>
      <w:r w:rsidRPr="000515FA">
        <w:rPr>
          <w:rFonts w:asciiTheme="minorEastAsia" w:eastAsiaTheme="minorEastAsia" w:hAnsiTheme="minorEastAsia" w:cs="Arial"/>
          <w:b/>
          <w:color w:val="000000" w:themeColor="text1"/>
          <w:kern w:val="0"/>
          <w:sz w:val="24"/>
        </w:rPr>
        <w:t>.</w:t>
      </w:r>
      <w:r w:rsidRPr="000515FA">
        <w:rPr>
          <w:rFonts w:asciiTheme="minorEastAsia" w:eastAsiaTheme="minorEastAsia" w:hAnsiTheme="minorEastAsia" w:cs="Arial" w:hint="eastAsia"/>
          <w:b/>
          <w:color w:val="000000" w:themeColor="text1"/>
          <w:kern w:val="0"/>
          <w:sz w:val="24"/>
        </w:rPr>
        <w:t>9</w:t>
      </w:r>
      <w:r w:rsidRPr="000515FA">
        <w:rPr>
          <w:rFonts w:asciiTheme="minorEastAsia" w:eastAsiaTheme="minorEastAsia" w:hAnsiTheme="minorEastAsia" w:cs="Arial"/>
          <w:b/>
          <w:color w:val="000000" w:themeColor="text1"/>
          <w:kern w:val="0"/>
          <w:sz w:val="24"/>
        </w:rPr>
        <w:t>.</w:t>
      </w:r>
      <w:r w:rsidRPr="000515FA">
        <w:rPr>
          <w:rFonts w:asciiTheme="minorEastAsia" w:eastAsiaTheme="minorEastAsia" w:hAnsiTheme="minorEastAsia" w:cs="Arial" w:hint="eastAsia"/>
          <w:b/>
          <w:color w:val="000000" w:themeColor="text1"/>
          <w:kern w:val="0"/>
          <w:sz w:val="24"/>
        </w:rPr>
        <w:t>3</w:t>
      </w:r>
      <w:r w:rsidRPr="000515FA">
        <w:rPr>
          <w:rFonts w:asciiTheme="minorEastAsia" w:eastAsiaTheme="minorEastAsia" w:hAnsiTheme="minorEastAsia" w:cs="Arial"/>
          <w:b/>
          <w:color w:val="000000" w:themeColor="text1"/>
          <w:kern w:val="0"/>
          <w:sz w:val="24"/>
        </w:rPr>
        <w:t xml:space="preserve"> </w:t>
      </w:r>
      <w:r w:rsidRPr="000515FA">
        <w:rPr>
          <w:rFonts w:asciiTheme="minorEastAsia" w:eastAsiaTheme="minorEastAsia" w:hAnsiTheme="minorEastAsia" w:cs="Arial" w:hint="eastAsia"/>
          <w:b/>
          <w:color w:val="000000" w:themeColor="text1"/>
          <w:kern w:val="0"/>
          <w:sz w:val="24"/>
        </w:rPr>
        <w:t>其他资产构成</w:t>
      </w:r>
    </w:p>
    <w:tbl>
      <w:tblPr>
        <w:tblStyle w:val="af2"/>
        <w:tblW w:w="0" w:type="auto"/>
        <w:tblInd w:w="17" w:type="dxa"/>
        <w:tblLayout w:type="fixed"/>
        <w:tblLook w:val="04A0" w:firstRow="1" w:lastRow="0" w:firstColumn="1" w:lastColumn="0" w:noHBand="0" w:noVBand="1"/>
      </w:tblPr>
      <w:tblGrid>
        <w:gridCol w:w="942"/>
        <w:gridCol w:w="3535"/>
        <w:gridCol w:w="4808"/>
      </w:tblGrid>
      <w:tr w:rsidR="00DA315C">
        <w:tc>
          <w:tcPr>
            <w:tcW w:w="942" w:type="dxa"/>
            <w:vAlign w:val="center"/>
          </w:tcPr>
          <w:p w:rsidR="00DA315C" w:rsidRDefault="00CC2E83">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序号</w:t>
            </w:r>
          </w:p>
        </w:tc>
        <w:tc>
          <w:tcPr>
            <w:tcW w:w="3535" w:type="dxa"/>
            <w:vAlign w:val="center"/>
          </w:tcPr>
          <w:p w:rsidR="00DA315C" w:rsidRDefault="00CC2E83">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名称</w:t>
            </w:r>
          </w:p>
        </w:tc>
        <w:tc>
          <w:tcPr>
            <w:tcW w:w="4808" w:type="dxa"/>
            <w:vAlign w:val="center"/>
          </w:tcPr>
          <w:p w:rsidR="00DA315C" w:rsidRDefault="00CC2E83">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金额(元)</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sz w:val="24"/>
              </w:rPr>
              <w:t>1</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存出保证金</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14,477.34</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应收证券清算款</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66,030.82</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应收利息</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应收申购款</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16,766,688.16</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其他应收款</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待摊费用</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7</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其他</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8</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合计</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16,847,196.32</w:t>
            </w:r>
          </w:p>
        </w:tc>
      </w:tr>
    </w:tbl>
    <w:p w:rsidR="00DA315C" w:rsidRPr="000515FA" w:rsidRDefault="00CC2E83" w:rsidP="000515FA">
      <w:pPr>
        <w:spacing w:beforeLines="100" w:before="240" w:line="360" w:lineRule="auto"/>
        <w:rPr>
          <w:rFonts w:asciiTheme="minorEastAsia" w:eastAsiaTheme="minorEastAsia" w:hAnsiTheme="minorEastAsia" w:cs="Arial"/>
          <w:b/>
          <w:color w:val="000000" w:themeColor="text1"/>
          <w:kern w:val="0"/>
          <w:sz w:val="24"/>
        </w:rPr>
      </w:pPr>
      <w:r w:rsidRPr="000515FA">
        <w:rPr>
          <w:rFonts w:asciiTheme="minorEastAsia" w:eastAsiaTheme="minorEastAsia" w:hAnsiTheme="minorEastAsia" w:cs="Arial" w:hint="eastAsia"/>
          <w:b/>
          <w:color w:val="000000" w:themeColor="text1"/>
          <w:kern w:val="0"/>
          <w:sz w:val="24"/>
        </w:rPr>
        <w:t>5</w:t>
      </w:r>
      <w:r w:rsidRPr="000515FA">
        <w:rPr>
          <w:rFonts w:asciiTheme="minorEastAsia" w:eastAsiaTheme="minorEastAsia" w:hAnsiTheme="minorEastAsia" w:cs="Arial"/>
          <w:b/>
          <w:color w:val="000000" w:themeColor="text1"/>
          <w:kern w:val="0"/>
          <w:sz w:val="24"/>
        </w:rPr>
        <w:t>.</w:t>
      </w:r>
      <w:r w:rsidRPr="000515FA">
        <w:rPr>
          <w:rFonts w:asciiTheme="minorEastAsia" w:eastAsiaTheme="minorEastAsia" w:hAnsiTheme="minorEastAsia" w:cs="Arial" w:hint="eastAsia"/>
          <w:b/>
          <w:color w:val="000000" w:themeColor="text1"/>
          <w:kern w:val="0"/>
          <w:sz w:val="24"/>
        </w:rPr>
        <w:t>9</w:t>
      </w:r>
      <w:r w:rsidRPr="000515FA">
        <w:rPr>
          <w:rFonts w:asciiTheme="minorEastAsia" w:eastAsiaTheme="minorEastAsia" w:hAnsiTheme="minorEastAsia" w:cs="Arial"/>
          <w:b/>
          <w:color w:val="000000" w:themeColor="text1"/>
          <w:kern w:val="0"/>
          <w:sz w:val="24"/>
        </w:rPr>
        <w:t>.</w:t>
      </w:r>
      <w:r w:rsidRPr="000515FA">
        <w:rPr>
          <w:rFonts w:asciiTheme="minorEastAsia" w:eastAsiaTheme="minorEastAsia" w:hAnsiTheme="minorEastAsia" w:cs="Arial" w:hint="eastAsia"/>
          <w:b/>
          <w:color w:val="000000" w:themeColor="text1"/>
          <w:kern w:val="0"/>
          <w:sz w:val="24"/>
        </w:rPr>
        <w:t>4</w:t>
      </w:r>
      <w:r w:rsidRPr="000515FA">
        <w:rPr>
          <w:rFonts w:asciiTheme="minorEastAsia" w:eastAsiaTheme="minorEastAsia" w:hAnsiTheme="minorEastAsia" w:cs="Arial"/>
          <w:b/>
          <w:color w:val="000000" w:themeColor="text1"/>
          <w:kern w:val="0"/>
          <w:sz w:val="24"/>
        </w:rPr>
        <w:t xml:space="preserve"> </w:t>
      </w:r>
      <w:r w:rsidRPr="000515FA">
        <w:rPr>
          <w:rFonts w:asciiTheme="minorEastAsia" w:eastAsiaTheme="minorEastAsia" w:hAnsiTheme="minorEastAsia" w:cs="Arial" w:hint="eastAsia"/>
          <w:b/>
          <w:color w:val="000000" w:themeColor="text1"/>
          <w:kern w:val="0"/>
          <w:sz w:val="24"/>
        </w:rPr>
        <w:t>投资组合报告附注的其他文字描述部分</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因四舍五入原因，投资组合报告中分项之和与合计可能存在尾差。</w:t>
      </w:r>
    </w:p>
    <w:p w:rsidR="00DA315C" w:rsidRDefault="00CC2E83" w:rsidP="00EF5D52">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6  </w:t>
      </w:r>
      <w:r>
        <w:rPr>
          <w:rFonts w:asciiTheme="minorEastAsia" w:eastAsiaTheme="minorEastAsia" w:hAnsiTheme="minorEastAsia" w:cs="Arial" w:hint="eastAsia"/>
          <w:color w:val="000000" w:themeColor="text1"/>
          <w:kern w:val="0"/>
          <w:sz w:val="24"/>
          <w:szCs w:val="24"/>
        </w:rPr>
        <w:t>开放式基金份额变动</w:t>
      </w:r>
    </w:p>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单位：份</w:t>
      </w:r>
    </w:p>
    <w:tbl>
      <w:tblPr>
        <w:tblStyle w:val="af2"/>
        <w:tblW w:w="0" w:type="auto"/>
        <w:tblLayout w:type="fixed"/>
        <w:tblLook w:val="04A0" w:firstRow="1" w:lastRow="0" w:firstColumn="1" w:lastColumn="0" w:noHBand="0" w:noVBand="1"/>
      </w:tblPr>
      <w:tblGrid>
        <w:gridCol w:w="1860"/>
        <w:gridCol w:w="1860"/>
        <w:gridCol w:w="1860"/>
        <w:gridCol w:w="1861"/>
        <w:gridCol w:w="1861"/>
      </w:tblGrid>
      <w:tr w:rsidR="00DA315C">
        <w:tc>
          <w:tcPr>
            <w:tcW w:w="1860" w:type="dxa"/>
          </w:tcPr>
          <w:p w:rsidR="00DA315C" w:rsidRDefault="00CC2E83">
            <w:pPr>
              <w:autoSpaceDE w:val="0"/>
              <w:autoSpaceDN w:val="0"/>
              <w:adjustRightInd w:val="0"/>
              <w:spacing w:before="29" w:line="360" w:lineRule="auto"/>
              <w:ind w:left="15"/>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hint="eastAsia"/>
                <w:color w:val="000000" w:themeColor="text1"/>
                <w:kern w:val="0"/>
                <w:sz w:val="24"/>
              </w:rPr>
              <w:t>项目</w:t>
            </w:r>
          </w:p>
        </w:tc>
        <w:tc>
          <w:tcPr>
            <w:tcW w:w="1860" w:type="dxa"/>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sz w:val="24"/>
              </w:rPr>
              <w:t>摩根天添盈货币A类</w:t>
            </w:r>
          </w:p>
        </w:tc>
        <w:tc>
          <w:tcPr>
            <w:tcW w:w="1860" w:type="dxa"/>
          </w:tcPr>
          <w:p w:rsidR="00DA315C" w:rsidRDefault="00050540">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sz w:val="24"/>
              </w:rPr>
              <w:t>摩根天添盈货币B类</w:t>
            </w:r>
          </w:p>
        </w:tc>
        <w:tc>
          <w:tcPr>
            <w:tcW w:w="1861" w:type="dxa"/>
          </w:tcPr>
          <w:p w:rsidR="00DA315C" w:rsidRDefault="00050540">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sz w:val="24"/>
              </w:rPr>
              <w:t>摩根天添盈货币E类</w:t>
            </w:r>
          </w:p>
        </w:tc>
        <w:tc>
          <w:tcPr>
            <w:tcW w:w="1861" w:type="dxa"/>
          </w:tcPr>
          <w:p w:rsidR="00DA315C" w:rsidRDefault="00050540" w:rsidP="0047722E">
            <w:pPr>
              <w:autoSpaceDE w:val="0"/>
              <w:autoSpaceDN w:val="0"/>
              <w:adjustRightInd w:val="0"/>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摩根天添盈货币C类</w:t>
            </w:r>
          </w:p>
        </w:tc>
      </w:tr>
      <w:tr w:rsidR="00DA315C" w:rsidTr="0047722E">
        <w:tc>
          <w:tcPr>
            <w:tcW w:w="1860" w:type="dxa"/>
            <w:vAlign w:val="center"/>
          </w:tcPr>
          <w:p w:rsidR="00DA315C" w:rsidRDefault="00CC2E83">
            <w:pPr>
              <w:autoSpaceDE w:val="0"/>
              <w:autoSpaceDN w:val="0"/>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lastRenderedPageBreak/>
              <w:t>报告期期初基金份额总额</w:t>
            </w:r>
          </w:p>
        </w:tc>
        <w:tc>
          <w:tcPr>
            <w:tcW w:w="1860" w:type="dxa"/>
            <w:vAlign w:val="center"/>
          </w:tcPr>
          <w:p w:rsidR="00DA315C" w:rsidRDefault="00CC2E83">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5,125,221,168.83</w:t>
            </w:r>
          </w:p>
        </w:tc>
        <w:tc>
          <w:tcPr>
            <w:tcW w:w="1860"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61"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3,621,554,949.34</w:t>
            </w:r>
          </w:p>
        </w:tc>
        <w:tc>
          <w:tcPr>
            <w:tcW w:w="1861" w:type="dxa"/>
            <w:vAlign w:val="center"/>
          </w:tcPr>
          <w:p w:rsidR="00DA315C" w:rsidRDefault="00050540" w:rsidP="0047722E">
            <w:pPr>
              <w:autoSpaceDE w:val="0"/>
              <w:autoSpaceDN w:val="0"/>
              <w:adjustRightInd w:val="0"/>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270,671.82</w:t>
            </w:r>
          </w:p>
        </w:tc>
      </w:tr>
      <w:tr w:rsidR="00DA315C" w:rsidTr="0047722E">
        <w:tc>
          <w:tcPr>
            <w:tcW w:w="1860" w:type="dxa"/>
          </w:tcPr>
          <w:p w:rsidR="00DA315C" w:rsidRDefault="00CC2E83">
            <w:pPr>
              <w:adjustRightInd w:val="0"/>
              <w:snapToGrid w:val="0"/>
              <w:spacing w:line="340" w:lineRule="exact"/>
              <w:rPr>
                <w:rFonts w:ascii="宋体" w:hAnsi="宋体"/>
                <w:color w:val="000000" w:themeColor="text1"/>
                <w:sz w:val="24"/>
              </w:rPr>
            </w:pPr>
            <w:r>
              <w:rPr>
                <w:rFonts w:asciiTheme="minorEastAsia" w:eastAsiaTheme="minorEastAsia" w:hAnsiTheme="minorEastAsia" w:cs="宋体"/>
                <w:color w:val="000000" w:themeColor="text1"/>
                <w:kern w:val="0"/>
                <w:sz w:val="24"/>
              </w:rPr>
              <w:t>报告期期间</w:t>
            </w:r>
            <w:r>
              <w:rPr>
                <w:rFonts w:ascii="宋体" w:hAnsi="宋体" w:hint="eastAsia"/>
                <w:color w:val="000000" w:themeColor="text1"/>
                <w:sz w:val="24"/>
              </w:rPr>
              <w:t>基金总申购份额</w:t>
            </w:r>
          </w:p>
        </w:tc>
        <w:tc>
          <w:tcPr>
            <w:tcW w:w="1860" w:type="dxa"/>
            <w:vAlign w:val="center"/>
          </w:tcPr>
          <w:p w:rsidR="00DA315C" w:rsidRDefault="00CC2E83">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457,692,079.58</w:t>
            </w:r>
          </w:p>
        </w:tc>
        <w:tc>
          <w:tcPr>
            <w:tcW w:w="1860"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61"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4,325,738,430.41</w:t>
            </w:r>
          </w:p>
        </w:tc>
        <w:tc>
          <w:tcPr>
            <w:tcW w:w="1861" w:type="dxa"/>
            <w:vAlign w:val="center"/>
          </w:tcPr>
          <w:p w:rsidR="00DA315C" w:rsidRDefault="00050540" w:rsidP="0047722E">
            <w:pPr>
              <w:autoSpaceDE w:val="0"/>
              <w:autoSpaceDN w:val="0"/>
              <w:adjustRightInd w:val="0"/>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4,330,775,909.86</w:t>
            </w:r>
          </w:p>
        </w:tc>
      </w:tr>
      <w:tr w:rsidR="00DA315C" w:rsidTr="0047722E">
        <w:tc>
          <w:tcPr>
            <w:tcW w:w="1860" w:type="dxa"/>
          </w:tcPr>
          <w:p w:rsidR="00DA315C" w:rsidRDefault="00CC2E83">
            <w:pPr>
              <w:adjustRightInd w:val="0"/>
              <w:snapToGrid w:val="0"/>
              <w:spacing w:line="340" w:lineRule="exact"/>
              <w:rPr>
                <w:rFonts w:ascii="宋体" w:hAnsi="宋体"/>
                <w:color w:val="000000" w:themeColor="text1"/>
                <w:sz w:val="24"/>
              </w:rPr>
            </w:pPr>
            <w:r>
              <w:rPr>
                <w:rFonts w:asciiTheme="minorEastAsia" w:eastAsiaTheme="minorEastAsia" w:hAnsiTheme="minorEastAsia" w:cs="宋体"/>
                <w:color w:val="000000" w:themeColor="text1"/>
                <w:kern w:val="0"/>
                <w:sz w:val="24"/>
              </w:rPr>
              <w:t>报告期期间</w:t>
            </w:r>
            <w:r>
              <w:rPr>
                <w:rFonts w:ascii="宋体" w:hAnsi="宋体" w:hint="eastAsia"/>
                <w:color w:val="000000" w:themeColor="text1"/>
                <w:sz w:val="24"/>
              </w:rPr>
              <w:t>基金总赎回份额</w:t>
            </w:r>
          </w:p>
        </w:tc>
        <w:tc>
          <w:tcPr>
            <w:tcW w:w="1860" w:type="dxa"/>
            <w:vAlign w:val="center"/>
          </w:tcPr>
          <w:p w:rsidR="00DA315C" w:rsidRDefault="00CC2E83">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542,713,278.62</w:t>
            </w:r>
          </w:p>
        </w:tc>
        <w:tc>
          <w:tcPr>
            <w:tcW w:w="1860"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61"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3,589,099,762.50</w:t>
            </w:r>
          </w:p>
        </w:tc>
        <w:tc>
          <w:tcPr>
            <w:tcW w:w="1861" w:type="dxa"/>
            <w:vAlign w:val="center"/>
          </w:tcPr>
          <w:p w:rsidR="00DA315C" w:rsidRDefault="00050540" w:rsidP="0047722E">
            <w:pPr>
              <w:autoSpaceDE w:val="0"/>
              <w:autoSpaceDN w:val="0"/>
              <w:adjustRightInd w:val="0"/>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2,991,578,028.30</w:t>
            </w:r>
          </w:p>
        </w:tc>
      </w:tr>
      <w:tr w:rsidR="00DA315C" w:rsidTr="0047722E">
        <w:tc>
          <w:tcPr>
            <w:tcW w:w="1860" w:type="dxa"/>
          </w:tcPr>
          <w:p w:rsidR="00DA315C" w:rsidRDefault="00CC2E83">
            <w:pPr>
              <w:adjustRightInd w:val="0"/>
              <w:snapToGrid w:val="0"/>
              <w:spacing w:line="340" w:lineRule="exact"/>
              <w:rPr>
                <w:rFonts w:ascii="宋体" w:hAnsi="宋体"/>
                <w:color w:val="000000" w:themeColor="text1"/>
                <w:sz w:val="24"/>
              </w:rPr>
            </w:pPr>
            <w:r>
              <w:rPr>
                <w:rFonts w:ascii="宋体" w:hAnsi="宋体" w:hint="eastAsia"/>
                <w:color w:val="000000" w:themeColor="text1"/>
                <w:sz w:val="24"/>
              </w:rPr>
              <w:t>报告期期末基金份额总额</w:t>
            </w:r>
          </w:p>
        </w:tc>
        <w:tc>
          <w:tcPr>
            <w:tcW w:w="1860" w:type="dxa"/>
            <w:vAlign w:val="center"/>
          </w:tcPr>
          <w:p w:rsidR="00DA315C" w:rsidRDefault="00CC2E83">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5,040,199,969.79</w:t>
            </w:r>
          </w:p>
        </w:tc>
        <w:tc>
          <w:tcPr>
            <w:tcW w:w="1860"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61"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4,358,193,617.25</w:t>
            </w:r>
          </w:p>
        </w:tc>
        <w:tc>
          <w:tcPr>
            <w:tcW w:w="1861" w:type="dxa"/>
            <w:vAlign w:val="center"/>
          </w:tcPr>
          <w:p w:rsidR="00DA315C" w:rsidRDefault="00050540" w:rsidP="0047722E">
            <w:pPr>
              <w:autoSpaceDE w:val="0"/>
              <w:autoSpaceDN w:val="0"/>
              <w:adjustRightInd w:val="0"/>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1,339,468,553.38</w:t>
            </w:r>
          </w:p>
        </w:tc>
      </w:tr>
    </w:tbl>
    <w:p w:rsidR="00DA315C" w:rsidRDefault="00CC2E83" w:rsidP="00FC703D">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§7  基金管理人运用固有资金投资本基金交易明细</w:t>
      </w:r>
    </w:p>
    <w:p w:rsidR="00DA315C" w:rsidRDefault="00CC2E83" w:rsidP="001B75F9">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无。</w:t>
      </w:r>
    </w:p>
    <w:p w:rsidR="00DA315C" w:rsidRDefault="00CC2E83" w:rsidP="00EF5D52">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§8</w:t>
      </w:r>
      <w:r>
        <w:rPr>
          <w:rFonts w:asciiTheme="minorEastAsia" w:eastAsiaTheme="minorEastAsia" w:hAnsiTheme="minorEastAsia" w:cs="Arial"/>
          <w:color w:val="000000" w:themeColor="text1"/>
          <w:kern w:val="0"/>
          <w:sz w:val="24"/>
          <w:szCs w:val="24"/>
        </w:rPr>
        <w:t>备查文件目录</w:t>
      </w:r>
    </w:p>
    <w:p w:rsidR="00DA315C" w:rsidRDefault="00CC2E83" w:rsidP="009E6F6D">
      <w:pPr>
        <w:autoSpaceDE w:val="0"/>
        <w:autoSpaceDN w:val="0"/>
        <w:adjustRightInd w:val="0"/>
        <w:spacing w:beforeLines="50" w:before="120" w:line="360" w:lineRule="auto"/>
        <w:jc w:val="left"/>
        <w:rPr>
          <w:rFonts w:asciiTheme="minorEastAsia" w:eastAsiaTheme="minorEastAsia" w:hAnsiTheme="minorEastAsia"/>
          <w:b/>
          <w:bCs/>
          <w:color w:val="000000" w:themeColor="text1"/>
          <w:kern w:val="0"/>
          <w:sz w:val="24"/>
        </w:rPr>
      </w:pPr>
      <w:r w:rsidRPr="00922237">
        <w:rPr>
          <w:rFonts w:eastAsiaTheme="minorEastAsia"/>
          <w:b/>
          <w:color w:val="000000" w:themeColor="text1"/>
          <w:kern w:val="0"/>
          <w:sz w:val="24"/>
        </w:rPr>
        <w:t>8</w:t>
      </w:r>
      <w:r w:rsidRPr="00922237">
        <w:rPr>
          <w:rFonts w:eastAsiaTheme="minorEastAsia"/>
          <w:b/>
          <w:bCs/>
          <w:color w:val="000000" w:themeColor="text1"/>
          <w:kern w:val="0"/>
          <w:sz w:val="24"/>
        </w:rPr>
        <w:t>.1</w:t>
      </w:r>
      <w:r>
        <w:rPr>
          <w:rFonts w:asciiTheme="minorEastAsia" w:eastAsiaTheme="minorEastAsia" w:hAnsiTheme="minorEastAsia" w:hint="eastAsia"/>
          <w:b/>
          <w:bCs/>
          <w:color w:val="000000" w:themeColor="text1"/>
          <w:kern w:val="0"/>
          <w:sz w:val="24"/>
        </w:rPr>
        <w:t>备查文件目录</w:t>
      </w:r>
    </w:p>
    <w:p w:rsidR="00D01D0F" w:rsidRDefault="0082384A">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(一) 中国证监会批准本基金募集的文件</w:t>
      </w:r>
    </w:p>
    <w:p w:rsidR="00D01D0F" w:rsidRDefault="0082384A">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(二)  摩根天添盈货币市场基金基金合同</w:t>
      </w:r>
    </w:p>
    <w:p w:rsidR="00D01D0F" w:rsidRDefault="0082384A">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(三) 摩根天添盈货币市场基金托管协议</w:t>
      </w:r>
    </w:p>
    <w:p w:rsidR="00D01D0F" w:rsidRDefault="0082384A">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(四) 法律意见书</w:t>
      </w:r>
    </w:p>
    <w:p w:rsidR="00D01D0F" w:rsidRDefault="0082384A">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(五) 基金管理人业务资格批件、营业执照</w:t>
      </w:r>
    </w:p>
    <w:p w:rsidR="00D01D0F" w:rsidRDefault="0082384A">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(六) 基金托管人业务资格批件、营业执照</w:t>
      </w:r>
    </w:p>
    <w:p w:rsidR="00D01D0F" w:rsidRDefault="0082384A">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(七) 摩根基金管理（中国）有限公司开放式基金业务规则</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(八) 中国证监会要求的其他文件</w:t>
      </w:r>
    </w:p>
    <w:p w:rsidR="00DA315C" w:rsidRPr="00922237" w:rsidRDefault="00CC2E83" w:rsidP="00922237">
      <w:pPr>
        <w:autoSpaceDE w:val="0"/>
        <w:autoSpaceDN w:val="0"/>
        <w:adjustRightInd w:val="0"/>
        <w:spacing w:beforeLines="100" w:before="240" w:line="360" w:lineRule="auto"/>
        <w:jc w:val="left"/>
        <w:rPr>
          <w:rFonts w:eastAsiaTheme="minorEastAsia"/>
          <w:b/>
          <w:color w:val="000000" w:themeColor="text1"/>
          <w:kern w:val="0"/>
          <w:sz w:val="24"/>
        </w:rPr>
      </w:pPr>
      <w:r w:rsidRPr="00922237">
        <w:rPr>
          <w:rFonts w:eastAsiaTheme="minorEastAsia" w:hint="eastAsia"/>
          <w:b/>
          <w:color w:val="000000" w:themeColor="text1"/>
          <w:kern w:val="0"/>
          <w:sz w:val="24"/>
        </w:rPr>
        <w:t>8</w:t>
      </w:r>
      <w:r w:rsidRPr="00922237">
        <w:rPr>
          <w:rFonts w:eastAsiaTheme="minorEastAsia"/>
          <w:b/>
          <w:color w:val="000000" w:themeColor="text1"/>
          <w:kern w:val="0"/>
          <w:sz w:val="24"/>
        </w:rPr>
        <w:t>.2</w:t>
      </w:r>
      <w:r w:rsidRPr="00922237">
        <w:rPr>
          <w:rFonts w:eastAsiaTheme="minorEastAsia" w:hint="eastAsia"/>
          <w:b/>
          <w:color w:val="000000" w:themeColor="text1"/>
          <w:kern w:val="0"/>
          <w:sz w:val="24"/>
        </w:rPr>
        <w:t>存放地点</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基金管理人或基金托管人处。</w:t>
      </w:r>
    </w:p>
    <w:p w:rsidR="00DA315C" w:rsidRPr="00922237" w:rsidRDefault="00CC2E83" w:rsidP="00922237">
      <w:pPr>
        <w:autoSpaceDE w:val="0"/>
        <w:autoSpaceDN w:val="0"/>
        <w:adjustRightInd w:val="0"/>
        <w:spacing w:beforeLines="100" w:before="240" w:line="360" w:lineRule="auto"/>
        <w:jc w:val="left"/>
        <w:rPr>
          <w:rFonts w:eastAsiaTheme="minorEastAsia"/>
          <w:b/>
          <w:color w:val="000000" w:themeColor="text1"/>
          <w:kern w:val="0"/>
          <w:sz w:val="24"/>
        </w:rPr>
      </w:pPr>
      <w:r w:rsidRPr="00922237">
        <w:rPr>
          <w:rFonts w:eastAsiaTheme="minorEastAsia" w:hint="eastAsia"/>
          <w:b/>
          <w:color w:val="000000" w:themeColor="text1"/>
          <w:kern w:val="0"/>
          <w:sz w:val="24"/>
        </w:rPr>
        <w:t>8</w:t>
      </w:r>
      <w:r w:rsidRPr="00922237">
        <w:rPr>
          <w:rFonts w:eastAsiaTheme="minorEastAsia"/>
          <w:b/>
          <w:color w:val="000000" w:themeColor="text1"/>
          <w:kern w:val="0"/>
          <w:sz w:val="24"/>
        </w:rPr>
        <w:t>.3</w:t>
      </w:r>
      <w:r w:rsidRPr="00922237">
        <w:rPr>
          <w:rFonts w:eastAsiaTheme="minorEastAsia" w:hint="eastAsia"/>
          <w:b/>
          <w:color w:val="000000" w:themeColor="text1"/>
          <w:kern w:val="0"/>
          <w:sz w:val="24"/>
        </w:rPr>
        <w:t>查阅方式</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投资者可在营业时间免费查阅，也可按工本费购买复印件。</w:t>
      </w:r>
    </w:p>
    <w:p w:rsidR="00922237" w:rsidRDefault="00922237">
      <w:pPr>
        <w:spacing w:line="360" w:lineRule="auto"/>
        <w:jc w:val="right"/>
        <w:rPr>
          <w:rFonts w:asciiTheme="minorEastAsia" w:eastAsiaTheme="minorEastAsia" w:hAnsiTheme="minorEastAsia"/>
          <w:b/>
          <w:bCs/>
          <w:color w:val="000000" w:themeColor="text1"/>
          <w:sz w:val="24"/>
        </w:rPr>
      </w:pPr>
    </w:p>
    <w:p w:rsidR="00922237" w:rsidRDefault="00922237">
      <w:pPr>
        <w:spacing w:line="360" w:lineRule="auto"/>
        <w:jc w:val="right"/>
        <w:rPr>
          <w:rFonts w:asciiTheme="minorEastAsia" w:eastAsiaTheme="minorEastAsia" w:hAnsiTheme="minorEastAsia"/>
          <w:b/>
          <w:bCs/>
          <w:color w:val="000000" w:themeColor="text1"/>
          <w:sz w:val="24"/>
        </w:rPr>
      </w:pPr>
    </w:p>
    <w:p w:rsidR="00922237" w:rsidRDefault="00922237">
      <w:pPr>
        <w:spacing w:line="360" w:lineRule="auto"/>
        <w:jc w:val="right"/>
        <w:rPr>
          <w:rFonts w:asciiTheme="minorEastAsia" w:eastAsiaTheme="minorEastAsia" w:hAnsiTheme="minorEastAsia"/>
          <w:b/>
          <w:bCs/>
          <w:color w:val="000000" w:themeColor="text1"/>
          <w:sz w:val="24"/>
        </w:rPr>
      </w:pPr>
    </w:p>
    <w:p w:rsidR="00DA315C" w:rsidRDefault="00CC2E83">
      <w:pPr>
        <w:spacing w:line="360" w:lineRule="auto"/>
        <w:jc w:val="right"/>
        <w:rPr>
          <w:rFonts w:asciiTheme="minorEastAsia" w:eastAsiaTheme="minorEastAsia" w:hAnsiTheme="minorEastAsia"/>
          <w:b/>
          <w:bCs/>
          <w:color w:val="000000" w:themeColor="text1"/>
          <w:sz w:val="24"/>
        </w:rPr>
      </w:pPr>
      <w:r>
        <w:rPr>
          <w:rFonts w:asciiTheme="minorEastAsia" w:eastAsiaTheme="minorEastAsia" w:hAnsiTheme="minorEastAsia"/>
          <w:b/>
          <w:bCs/>
          <w:color w:val="000000" w:themeColor="text1"/>
          <w:sz w:val="24"/>
        </w:rPr>
        <w:t>摩根基金管理（中国）有限公司</w:t>
      </w:r>
    </w:p>
    <w:p w:rsidR="00DA315C" w:rsidRDefault="00CC2E83">
      <w:pPr>
        <w:spacing w:line="360" w:lineRule="auto"/>
        <w:jc w:val="right"/>
        <w:rPr>
          <w:rFonts w:asciiTheme="minorEastAsia" w:eastAsiaTheme="minorEastAsia" w:hAnsiTheme="minorEastAsia"/>
          <w:b/>
          <w:bCs/>
          <w:color w:val="000000" w:themeColor="text1"/>
          <w:sz w:val="24"/>
        </w:rPr>
      </w:pPr>
      <w:r>
        <w:rPr>
          <w:rFonts w:asciiTheme="minorEastAsia" w:eastAsiaTheme="minorEastAsia" w:hAnsiTheme="minorEastAsia"/>
          <w:b/>
          <w:bCs/>
          <w:color w:val="000000" w:themeColor="text1"/>
          <w:sz w:val="24"/>
        </w:rPr>
        <w:t>二〇二四年四月二十二日</w:t>
      </w:r>
    </w:p>
    <w:sectPr w:rsidR="00DA315C">
      <w:pgSz w:w="11926" w:h="15840"/>
      <w:pgMar w:top="1420" w:right="1420" w:bottom="852" w:left="142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DC9" w:rsidRDefault="007C4DC9">
      <w:r>
        <w:separator/>
      </w:r>
    </w:p>
  </w:endnote>
  <w:endnote w:type="continuationSeparator" w:id="0">
    <w:p w:rsidR="007C4DC9" w:rsidRDefault="007C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E9" w:rsidRPr="00453C41" w:rsidRDefault="007753E9" w:rsidP="00453C41">
    <w:pPr>
      <w:pStyle w:val="ab"/>
      <w:jc w:val="center"/>
      <w:rPr>
        <w:caps/>
        <w:color w:val="000000" w:themeColor="text1"/>
      </w:rPr>
    </w:pPr>
    <w:r w:rsidRPr="00453C41">
      <w:rPr>
        <w:caps/>
        <w:color w:val="000000" w:themeColor="text1"/>
      </w:rPr>
      <w:fldChar w:fldCharType="begin"/>
    </w:r>
    <w:r w:rsidRPr="00453C41">
      <w:rPr>
        <w:caps/>
        <w:color w:val="000000" w:themeColor="text1"/>
      </w:rPr>
      <w:instrText>PAGE   \* MERGEFORMAT</w:instrText>
    </w:r>
    <w:r w:rsidRPr="00453C41">
      <w:rPr>
        <w:caps/>
        <w:color w:val="000000" w:themeColor="text1"/>
      </w:rPr>
      <w:fldChar w:fldCharType="separate"/>
    </w:r>
    <w:r w:rsidR="00977C1D" w:rsidRPr="00977C1D">
      <w:rPr>
        <w:caps/>
        <w:noProof/>
        <w:color w:val="000000" w:themeColor="text1"/>
        <w:lang w:val="zh-CN"/>
      </w:rPr>
      <w:t>18</w:t>
    </w:r>
    <w:r w:rsidRPr="00453C41">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DC9" w:rsidRDefault="007C4DC9">
      <w:r>
        <w:separator/>
      </w:r>
    </w:p>
  </w:footnote>
  <w:footnote w:type="continuationSeparator" w:id="0">
    <w:p w:rsidR="007C4DC9" w:rsidRDefault="007C4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E9" w:rsidRDefault="007753E9">
    <w:pPr>
      <w:pStyle w:val="ad"/>
      <w:pBdr>
        <w:bottom w:val="single" w:sz="6" w:space="0" w:color="auto"/>
      </w:pBdr>
      <w:jc w:val="right"/>
    </w:pPr>
    <w:r>
      <w:rPr>
        <w:sz w:val="21"/>
        <w:szCs w:val="21"/>
      </w:rPr>
      <w:t>摩根天添盈货币市场基金</w:t>
    </w:r>
    <w:r>
      <w:rPr>
        <w:sz w:val="21"/>
        <w:szCs w:val="21"/>
      </w:rPr>
      <w:t>2024</w:t>
    </w:r>
    <w:r>
      <w:rPr>
        <w:sz w:val="21"/>
        <w:szCs w:val="21"/>
      </w:rPr>
      <w:t>年第</w:t>
    </w:r>
    <w:r>
      <w:rPr>
        <w:sz w:val="21"/>
        <w:szCs w:val="21"/>
      </w:rPr>
      <w:t>1</w:t>
    </w:r>
    <w:r>
      <w:rPr>
        <w:sz w:val="21"/>
        <w:szCs w:val="21"/>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2B9"/>
    <w:rsid w:val="000028CE"/>
    <w:rsid w:val="00004DE7"/>
    <w:rsid w:val="00005433"/>
    <w:rsid w:val="0001552D"/>
    <w:rsid w:val="0001566B"/>
    <w:rsid w:val="0002085F"/>
    <w:rsid w:val="00025C5D"/>
    <w:rsid w:val="00035596"/>
    <w:rsid w:val="000417E0"/>
    <w:rsid w:val="0004414C"/>
    <w:rsid w:val="00044724"/>
    <w:rsid w:val="00050540"/>
    <w:rsid w:val="000515FA"/>
    <w:rsid w:val="00052CA4"/>
    <w:rsid w:val="00054470"/>
    <w:rsid w:val="0005518A"/>
    <w:rsid w:val="000570EB"/>
    <w:rsid w:val="00057115"/>
    <w:rsid w:val="00057D26"/>
    <w:rsid w:val="00063BA4"/>
    <w:rsid w:val="0006697D"/>
    <w:rsid w:val="00070092"/>
    <w:rsid w:val="00070319"/>
    <w:rsid w:val="0007109E"/>
    <w:rsid w:val="00072602"/>
    <w:rsid w:val="00075BBB"/>
    <w:rsid w:val="00075CA2"/>
    <w:rsid w:val="00076834"/>
    <w:rsid w:val="0007770D"/>
    <w:rsid w:val="00087DFE"/>
    <w:rsid w:val="000A0C86"/>
    <w:rsid w:val="000A225E"/>
    <w:rsid w:val="000A39AB"/>
    <w:rsid w:val="000A466F"/>
    <w:rsid w:val="000B2044"/>
    <w:rsid w:val="000B2266"/>
    <w:rsid w:val="000C469F"/>
    <w:rsid w:val="000D0F44"/>
    <w:rsid w:val="000D6294"/>
    <w:rsid w:val="000E0F6E"/>
    <w:rsid w:val="000E5D62"/>
    <w:rsid w:val="000E6158"/>
    <w:rsid w:val="000F3C21"/>
    <w:rsid w:val="000F4826"/>
    <w:rsid w:val="000F5947"/>
    <w:rsid w:val="00101278"/>
    <w:rsid w:val="00102307"/>
    <w:rsid w:val="001038EF"/>
    <w:rsid w:val="00103B93"/>
    <w:rsid w:val="001074D6"/>
    <w:rsid w:val="00113777"/>
    <w:rsid w:val="00114C97"/>
    <w:rsid w:val="00117063"/>
    <w:rsid w:val="00123E37"/>
    <w:rsid w:val="001302DB"/>
    <w:rsid w:val="00136502"/>
    <w:rsid w:val="00157B55"/>
    <w:rsid w:val="00162222"/>
    <w:rsid w:val="001635C7"/>
    <w:rsid w:val="00166734"/>
    <w:rsid w:val="001669F2"/>
    <w:rsid w:val="001705A7"/>
    <w:rsid w:val="0017387C"/>
    <w:rsid w:val="001822D3"/>
    <w:rsid w:val="0018401C"/>
    <w:rsid w:val="00185622"/>
    <w:rsid w:val="00186667"/>
    <w:rsid w:val="00191B28"/>
    <w:rsid w:val="00193BCF"/>
    <w:rsid w:val="00195C6F"/>
    <w:rsid w:val="00196812"/>
    <w:rsid w:val="00197ED0"/>
    <w:rsid w:val="001A2524"/>
    <w:rsid w:val="001A784C"/>
    <w:rsid w:val="001B42BE"/>
    <w:rsid w:val="001B43B0"/>
    <w:rsid w:val="001B72D6"/>
    <w:rsid w:val="001B75F9"/>
    <w:rsid w:val="001B7CC6"/>
    <w:rsid w:val="001C5D80"/>
    <w:rsid w:val="001D0D4C"/>
    <w:rsid w:val="001D0DB0"/>
    <w:rsid w:val="001D3FAC"/>
    <w:rsid w:val="001D65C8"/>
    <w:rsid w:val="001D6ECD"/>
    <w:rsid w:val="001D75D9"/>
    <w:rsid w:val="001E0DDA"/>
    <w:rsid w:val="001F0286"/>
    <w:rsid w:val="0020640F"/>
    <w:rsid w:val="0021251E"/>
    <w:rsid w:val="00220437"/>
    <w:rsid w:val="00222C78"/>
    <w:rsid w:val="00232095"/>
    <w:rsid w:val="00233014"/>
    <w:rsid w:val="002331D9"/>
    <w:rsid w:val="0024424F"/>
    <w:rsid w:val="002507FE"/>
    <w:rsid w:val="002525C7"/>
    <w:rsid w:val="002611C3"/>
    <w:rsid w:val="002622E8"/>
    <w:rsid w:val="00267283"/>
    <w:rsid w:val="0027189B"/>
    <w:rsid w:val="00274FAC"/>
    <w:rsid w:val="00275552"/>
    <w:rsid w:val="002A4B7F"/>
    <w:rsid w:val="002B45A4"/>
    <w:rsid w:val="002C5792"/>
    <w:rsid w:val="002D3ADF"/>
    <w:rsid w:val="002E040C"/>
    <w:rsid w:val="002E0F4A"/>
    <w:rsid w:val="002F0E9D"/>
    <w:rsid w:val="002F1496"/>
    <w:rsid w:val="002F6539"/>
    <w:rsid w:val="00307062"/>
    <w:rsid w:val="003111AC"/>
    <w:rsid w:val="00311ADA"/>
    <w:rsid w:val="00311AEB"/>
    <w:rsid w:val="00320893"/>
    <w:rsid w:val="00322B07"/>
    <w:rsid w:val="0032323A"/>
    <w:rsid w:val="00323377"/>
    <w:rsid w:val="00327FB0"/>
    <w:rsid w:val="0033599F"/>
    <w:rsid w:val="00340292"/>
    <w:rsid w:val="00340456"/>
    <w:rsid w:val="00340C3A"/>
    <w:rsid w:val="00341CFF"/>
    <w:rsid w:val="00343648"/>
    <w:rsid w:val="00343AF0"/>
    <w:rsid w:val="00346359"/>
    <w:rsid w:val="00346B82"/>
    <w:rsid w:val="0035022C"/>
    <w:rsid w:val="0035215C"/>
    <w:rsid w:val="00362E2A"/>
    <w:rsid w:val="00371E26"/>
    <w:rsid w:val="00373AAB"/>
    <w:rsid w:val="0038256C"/>
    <w:rsid w:val="00383631"/>
    <w:rsid w:val="00384942"/>
    <w:rsid w:val="00394455"/>
    <w:rsid w:val="00394BC1"/>
    <w:rsid w:val="003A0EC1"/>
    <w:rsid w:val="003A1E1E"/>
    <w:rsid w:val="003A2922"/>
    <w:rsid w:val="003B36B4"/>
    <w:rsid w:val="003B6DC6"/>
    <w:rsid w:val="003C0E8C"/>
    <w:rsid w:val="003C1137"/>
    <w:rsid w:val="003C3FA7"/>
    <w:rsid w:val="003C495A"/>
    <w:rsid w:val="003D1ECF"/>
    <w:rsid w:val="003D21F4"/>
    <w:rsid w:val="003D6A07"/>
    <w:rsid w:val="003E14FE"/>
    <w:rsid w:val="003E565B"/>
    <w:rsid w:val="003F43EB"/>
    <w:rsid w:val="003F5616"/>
    <w:rsid w:val="00402654"/>
    <w:rsid w:val="00403ED2"/>
    <w:rsid w:val="00413748"/>
    <w:rsid w:val="004250C5"/>
    <w:rsid w:val="00425438"/>
    <w:rsid w:val="00433C1E"/>
    <w:rsid w:val="004369B0"/>
    <w:rsid w:val="00440828"/>
    <w:rsid w:val="004417A1"/>
    <w:rsid w:val="0044257C"/>
    <w:rsid w:val="00446474"/>
    <w:rsid w:val="00446F8F"/>
    <w:rsid w:val="004527E3"/>
    <w:rsid w:val="00452D31"/>
    <w:rsid w:val="00453C41"/>
    <w:rsid w:val="00455AA7"/>
    <w:rsid w:val="00460000"/>
    <w:rsid w:val="004600C4"/>
    <w:rsid w:val="00461A70"/>
    <w:rsid w:val="004664C1"/>
    <w:rsid w:val="004702DF"/>
    <w:rsid w:val="00470F55"/>
    <w:rsid w:val="00471444"/>
    <w:rsid w:val="00473E10"/>
    <w:rsid w:val="00473EC9"/>
    <w:rsid w:val="00474563"/>
    <w:rsid w:val="00474896"/>
    <w:rsid w:val="004771B9"/>
    <w:rsid w:val="0047722E"/>
    <w:rsid w:val="0048754A"/>
    <w:rsid w:val="004950A3"/>
    <w:rsid w:val="0049568D"/>
    <w:rsid w:val="00496B2E"/>
    <w:rsid w:val="004A0C6B"/>
    <w:rsid w:val="004A2432"/>
    <w:rsid w:val="004A2C47"/>
    <w:rsid w:val="004A357E"/>
    <w:rsid w:val="004A40AA"/>
    <w:rsid w:val="004A46A0"/>
    <w:rsid w:val="004A5B68"/>
    <w:rsid w:val="004B1C09"/>
    <w:rsid w:val="004C5B7C"/>
    <w:rsid w:val="004D22E1"/>
    <w:rsid w:val="004D51CC"/>
    <w:rsid w:val="004D72C7"/>
    <w:rsid w:val="004E041A"/>
    <w:rsid w:val="004E3452"/>
    <w:rsid w:val="004E4E63"/>
    <w:rsid w:val="004F02D6"/>
    <w:rsid w:val="00500487"/>
    <w:rsid w:val="005065A0"/>
    <w:rsid w:val="00506EF6"/>
    <w:rsid w:val="005141F5"/>
    <w:rsid w:val="0051505A"/>
    <w:rsid w:val="00515166"/>
    <w:rsid w:val="0051578D"/>
    <w:rsid w:val="005212AE"/>
    <w:rsid w:val="00525B26"/>
    <w:rsid w:val="00532457"/>
    <w:rsid w:val="00533490"/>
    <w:rsid w:val="00543561"/>
    <w:rsid w:val="0054464B"/>
    <w:rsid w:val="00546747"/>
    <w:rsid w:val="0054785C"/>
    <w:rsid w:val="00551447"/>
    <w:rsid w:val="00555883"/>
    <w:rsid w:val="00560F94"/>
    <w:rsid w:val="00562319"/>
    <w:rsid w:val="005633AD"/>
    <w:rsid w:val="00564C24"/>
    <w:rsid w:val="00570F8C"/>
    <w:rsid w:val="00575970"/>
    <w:rsid w:val="00582960"/>
    <w:rsid w:val="0059170A"/>
    <w:rsid w:val="00591BF0"/>
    <w:rsid w:val="00592D0A"/>
    <w:rsid w:val="00594DCA"/>
    <w:rsid w:val="00595285"/>
    <w:rsid w:val="005A60B7"/>
    <w:rsid w:val="005B238D"/>
    <w:rsid w:val="005B527B"/>
    <w:rsid w:val="005C251D"/>
    <w:rsid w:val="005D1BAF"/>
    <w:rsid w:val="005D596C"/>
    <w:rsid w:val="005D6807"/>
    <w:rsid w:val="005E05CC"/>
    <w:rsid w:val="005E2087"/>
    <w:rsid w:val="005E2D8C"/>
    <w:rsid w:val="005E6FA5"/>
    <w:rsid w:val="005F17EC"/>
    <w:rsid w:val="005F41D2"/>
    <w:rsid w:val="005F668B"/>
    <w:rsid w:val="005F6B28"/>
    <w:rsid w:val="00607204"/>
    <w:rsid w:val="00613327"/>
    <w:rsid w:val="00614726"/>
    <w:rsid w:val="00614961"/>
    <w:rsid w:val="006214E4"/>
    <w:rsid w:val="006254A5"/>
    <w:rsid w:val="0062678E"/>
    <w:rsid w:val="006317E8"/>
    <w:rsid w:val="00632417"/>
    <w:rsid w:val="0063302E"/>
    <w:rsid w:val="00633177"/>
    <w:rsid w:val="006331F2"/>
    <w:rsid w:val="00636261"/>
    <w:rsid w:val="00636B17"/>
    <w:rsid w:val="0064191E"/>
    <w:rsid w:val="006452E9"/>
    <w:rsid w:val="00664834"/>
    <w:rsid w:val="00672BEF"/>
    <w:rsid w:val="00673BA5"/>
    <w:rsid w:val="006911A1"/>
    <w:rsid w:val="00694FDC"/>
    <w:rsid w:val="006A1E40"/>
    <w:rsid w:val="006A2D00"/>
    <w:rsid w:val="006B4965"/>
    <w:rsid w:val="006B4C67"/>
    <w:rsid w:val="006B56E1"/>
    <w:rsid w:val="006B69FA"/>
    <w:rsid w:val="006D27DD"/>
    <w:rsid w:val="006D4647"/>
    <w:rsid w:val="006D4C22"/>
    <w:rsid w:val="006E4EB5"/>
    <w:rsid w:val="006F1C55"/>
    <w:rsid w:val="006F3CEE"/>
    <w:rsid w:val="006F622C"/>
    <w:rsid w:val="00707CB2"/>
    <w:rsid w:val="00710487"/>
    <w:rsid w:val="00714B3D"/>
    <w:rsid w:val="00714FD1"/>
    <w:rsid w:val="007254F2"/>
    <w:rsid w:val="007277D1"/>
    <w:rsid w:val="00727EA0"/>
    <w:rsid w:val="0073105A"/>
    <w:rsid w:val="00734B8E"/>
    <w:rsid w:val="00737060"/>
    <w:rsid w:val="00741288"/>
    <w:rsid w:val="0074455F"/>
    <w:rsid w:val="007521F9"/>
    <w:rsid w:val="00756489"/>
    <w:rsid w:val="00756EA2"/>
    <w:rsid w:val="00757F37"/>
    <w:rsid w:val="007600BC"/>
    <w:rsid w:val="00762326"/>
    <w:rsid w:val="00762E87"/>
    <w:rsid w:val="00764CF7"/>
    <w:rsid w:val="0077198B"/>
    <w:rsid w:val="007723FD"/>
    <w:rsid w:val="00772687"/>
    <w:rsid w:val="00774E1E"/>
    <w:rsid w:val="007753E9"/>
    <w:rsid w:val="00780252"/>
    <w:rsid w:val="007806BE"/>
    <w:rsid w:val="00782061"/>
    <w:rsid w:val="00785897"/>
    <w:rsid w:val="00785C32"/>
    <w:rsid w:val="007A1708"/>
    <w:rsid w:val="007B082A"/>
    <w:rsid w:val="007B1C3E"/>
    <w:rsid w:val="007C42E5"/>
    <w:rsid w:val="007C4DC9"/>
    <w:rsid w:val="007E0C02"/>
    <w:rsid w:val="007E5ADE"/>
    <w:rsid w:val="007F1DE3"/>
    <w:rsid w:val="007F7BD7"/>
    <w:rsid w:val="008056FA"/>
    <w:rsid w:val="008115B6"/>
    <w:rsid w:val="00813897"/>
    <w:rsid w:val="00814461"/>
    <w:rsid w:val="0082384A"/>
    <w:rsid w:val="00824D84"/>
    <w:rsid w:val="00825EA5"/>
    <w:rsid w:val="00827710"/>
    <w:rsid w:val="00830EA7"/>
    <w:rsid w:val="00833555"/>
    <w:rsid w:val="008347B3"/>
    <w:rsid w:val="00834D9F"/>
    <w:rsid w:val="00835BDD"/>
    <w:rsid w:val="008379E2"/>
    <w:rsid w:val="00852119"/>
    <w:rsid w:val="0085498E"/>
    <w:rsid w:val="0086245E"/>
    <w:rsid w:val="00877329"/>
    <w:rsid w:val="00880EE6"/>
    <w:rsid w:val="00881BFD"/>
    <w:rsid w:val="00882323"/>
    <w:rsid w:val="00893021"/>
    <w:rsid w:val="0089560B"/>
    <w:rsid w:val="008B21BE"/>
    <w:rsid w:val="008B23BD"/>
    <w:rsid w:val="008C579A"/>
    <w:rsid w:val="008D0A39"/>
    <w:rsid w:val="008D55F2"/>
    <w:rsid w:val="008E3053"/>
    <w:rsid w:val="008E4638"/>
    <w:rsid w:val="008E6CBC"/>
    <w:rsid w:val="008E71D2"/>
    <w:rsid w:val="008F44F3"/>
    <w:rsid w:val="009004F7"/>
    <w:rsid w:val="009018CC"/>
    <w:rsid w:val="00902E3F"/>
    <w:rsid w:val="00903E98"/>
    <w:rsid w:val="009043CD"/>
    <w:rsid w:val="00904D59"/>
    <w:rsid w:val="00906C9B"/>
    <w:rsid w:val="00910FB5"/>
    <w:rsid w:val="00911C0E"/>
    <w:rsid w:val="009153D7"/>
    <w:rsid w:val="00922237"/>
    <w:rsid w:val="009223B5"/>
    <w:rsid w:val="00924D28"/>
    <w:rsid w:val="0094213C"/>
    <w:rsid w:val="0094236C"/>
    <w:rsid w:val="00943AFD"/>
    <w:rsid w:val="0096196D"/>
    <w:rsid w:val="00967986"/>
    <w:rsid w:val="0097021E"/>
    <w:rsid w:val="00971C19"/>
    <w:rsid w:val="00971D35"/>
    <w:rsid w:val="009720BF"/>
    <w:rsid w:val="00976A1A"/>
    <w:rsid w:val="00977C1D"/>
    <w:rsid w:val="00984794"/>
    <w:rsid w:val="0099296A"/>
    <w:rsid w:val="009965A5"/>
    <w:rsid w:val="009A56D7"/>
    <w:rsid w:val="009A755D"/>
    <w:rsid w:val="009B15FD"/>
    <w:rsid w:val="009B2693"/>
    <w:rsid w:val="009B3C3F"/>
    <w:rsid w:val="009B73A7"/>
    <w:rsid w:val="009B7B0C"/>
    <w:rsid w:val="009C1A42"/>
    <w:rsid w:val="009D067E"/>
    <w:rsid w:val="009D19C1"/>
    <w:rsid w:val="009D5CC1"/>
    <w:rsid w:val="009D60EB"/>
    <w:rsid w:val="009D74FC"/>
    <w:rsid w:val="009E07F4"/>
    <w:rsid w:val="009E2527"/>
    <w:rsid w:val="009E2BAA"/>
    <w:rsid w:val="009E3E0B"/>
    <w:rsid w:val="009E6F6D"/>
    <w:rsid w:val="009F14B0"/>
    <w:rsid w:val="009F480F"/>
    <w:rsid w:val="009F6951"/>
    <w:rsid w:val="00A01505"/>
    <w:rsid w:val="00A01DDC"/>
    <w:rsid w:val="00A1530B"/>
    <w:rsid w:val="00A16747"/>
    <w:rsid w:val="00A167A7"/>
    <w:rsid w:val="00A1694D"/>
    <w:rsid w:val="00A16D78"/>
    <w:rsid w:val="00A24DC0"/>
    <w:rsid w:val="00A42A96"/>
    <w:rsid w:val="00A455A0"/>
    <w:rsid w:val="00A45C1D"/>
    <w:rsid w:val="00A470D2"/>
    <w:rsid w:val="00A50D92"/>
    <w:rsid w:val="00A53D1D"/>
    <w:rsid w:val="00A62DD4"/>
    <w:rsid w:val="00A65A66"/>
    <w:rsid w:val="00A7219D"/>
    <w:rsid w:val="00A73E86"/>
    <w:rsid w:val="00A7669A"/>
    <w:rsid w:val="00A805BC"/>
    <w:rsid w:val="00A80F9F"/>
    <w:rsid w:val="00A81075"/>
    <w:rsid w:val="00A87550"/>
    <w:rsid w:val="00A95FA9"/>
    <w:rsid w:val="00AA34F4"/>
    <w:rsid w:val="00AA5B03"/>
    <w:rsid w:val="00AA68D4"/>
    <w:rsid w:val="00AB24CA"/>
    <w:rsid w:val="00AB373C"/>
    <w:rsid w:val="00AB5159"/>
    <w:rsid w:val="00AB5E54"/>
    <w:rsid w:val="00AC2B47"/>
    <w:rsid w:val="00AC3D9E"/>
    <w:rsid w:val="00AC6C3D"/>
    <w:rsid w:val="00AD1ADB"/>
    <w:rsid w:val="00AD2473"/>
    <w:rsid w:val="00AD2589"/>
    <w:rsid w:val="00AE17F1"/>
    <w:rsid w:val="00AE2FB9"/>
    <w:rsid w:val="00AE342F"/>
    <w:rsid w:val="00AE4F96"/>
    <w:rsid w:val="00AE6D9A"/>
    <w:rsid w:val="00AE7435"/>
    <w:rsid w:val="00AF2397"/>
    <w:rsid w:val="00AF27F9"/>
    <w:rsid w:val="00AF3D19"/>
    <w:rsid w:val="00B03B0B"/>
    <w:rsid w:val="00B040BC"/>
    <w:rsid w:val="00B0441A"/>
    <w:rsid w:val="00B044FC"/>
    <w:rsid w:val="00B06458"/>
    <w:rsid w:val="00B071B6"/>
    <w:rsid w:val="00B13B79"/>
    <w:rsid w:val="00B202AD"/>
    <w:rsid w:val="00B213AC"/>
    <w:rsid w:val="00B25119"/>
    <w:rsid w:val="00B27004"/>
    <w:rsid w:val="00B33F45"/>
    <w:rsid w:val="00B33FA5"/>
    <w:rsid w:val="00B415B8"/>
    <w:rsid w:val="00B420AC"/>
    <w:rsid w:val="00B4354A"/>
    <w:rsid w:val="00B54CC5"/>
    <w:rsid w:val="00B60E27"/>
    <w:rsid w:val="00B634E4"/>
    <w:rsid w:val="00B64D62"/>
    <w:rsid w:val="00B77C54"/>
    <w:rsid w:val="00B821DD"/>
    <w:rsid w:val="00B83944"/>
    <w:rsid w:val="00B94B49"/>
    <w:rsid w:val="00BA7AF1"/>
    <w:rsid w:val="00BB03CC"/>
    <w:rsid w:val="00BB252C"/>
    <w:rsid w:val="00BB5126"/>
    <w:rsid w:val="00BB7518"/>
    <w:rsid w:val="00BC0205"/>
    <w:rsid w:val="00BC14F5"/>
    <w:rsid w:val="00BC2146"/>
    <w:rsid w:val="00BD260A"/>
    <w:rsid w:val="00BD6918"/>
    <w:rsid w:val="00BE1FC8"/>
    <w:rsid w:val="00BE439F"/>
    <w:rsid w:val="00BE5584"/>
    <w:rsid w:val="00BF1111"/>
    <w:rsid w:val="00BF3886"/>
    <w:rsid w:val="00C009AF"/>
    <w:rsid w:val="00C2005E"/>
    <w:rsid w:val="00C205E4"/>
    <w:rsid w:val="00C2782D"/>
    <w:rsid w:val="00C3040F"/>
    <w:rsid w:val="00C31708"/>
    <w:rsid w:val="00C3368F"/>
    <w:rsid w:val="00C36C15"/>
    <w:rsid w:val="00C4213A"/>
    <w:rsid w:val="00C4371A"/>
    <w:rsid w:val="00C448EE"/>
    <w:rsid w:val="00C4568B"/>
    <w:rsid w:val="00C4627A"/>
    <w:rsid w:val="00C637D1"/>
    <w:rsid w:val="00C640B8"/>
    <w:rsid w:val="00C6722B"/>
    <w:rsid w:val="00C7033B"/>
    <w:rsid w:val="00C75870"/>
    <w:rsid w:val="00C83157"/>
    <w:rsid w:val="00C927D5"/>
    <w:rsid w:val="00C93BC9"/>
    <w:rsid w:val="00CA0730"/>
    <w:rsid w:val="00CA1C04"/>
    <w:rsid w:val="00CA3808"/>
    <w:rsid w:val="00CA55E0"/>
    <w:rsid w:val="00CA592F"/>
    <w:rsid w:val="00CA5BEB"/>
    <w:rsid w:val="00CA65DD"/>
    <w:rsid w:val="00CB0E8A"/>
    <w:rsid w:val="00CB2E1E"/>
    <w:rsid w:val="00CC05B9"/>
    <w:rsid w:val="00CC2E83"/>
    <w:rsid w:val="00CC3F83"/>
    <w:rsid w:val="00CC57FC"/>
    <w:rsid w:val="00CC712D"/>
    <w:rsid w:val="00CC7DB0"/>
    <w:rsid w:val="00CD5F24"/>
    <w:rsid w:val="00CE0E18"/>
    <w:rsid w:val="00CE193A"/>
    <w:rsid w:val="00CE5ABB"/>
    <w:rsid w:val="00CE6A71"/>
    <w:rsid w:val="00CF6DF0"/>
    <w:rsid w:val="00CF7E28"/>
    <w:rsid w:val="00D01D0F"/>
    <w:rsid w:val="00D02B35"/>
    <w:rsid w:val="00D06255"/>
    <w:rsid w:val="00D15D82"/>
    <w:rsid w:val="00D1705E"/>
    <w:rsid w:val="00D20E97"/>
    <w:rsid w:val="00D25602"/>
    <w:rsid w:val="00D27CF6"/>
    <w:rsid w:val="00D30BD3"/>
    <w:rsid w:val="00D33791"/>
    <w:rsid w:val="00D33BA8"/>
    <w:rsid w:val="00D33C76"/>
    <w:rsid w:val="00D364EB"/>
    <w:rsid w:val="00D36BE8"/>
    <w:rsid w:val="00D40363"/>
    <w:rsid w:val="00D451BC"/>
    <w:rsid w:val="00D51E96"/>
    <w:rsid w:val="00D568BB"/>
    <w:rsid w:val="00D63B9E"/>
    <w:rsid w:val="00D65D90"/>
    <w:rsid w:val="00D66016"/>
    <w:rsid w:val="00D769BA"/>
    <w:rsid w:val="00D8034F"/>
    <w:rsid w:val="00D81755"/>
    <w:rsid w:val="00D8617C"/>
    <w:rsid w:val="00D87D00"/>
    <w:rsid w:val="00D87E22"/>
    <w:rsid w:val="00D94E23"/>
    <w:rsid w:val="00DA1983"/>
    <w:rsid w:val="00DA2F1E"/>
    <w:rsid w:val="00DA315C"/>
    <w:rsid w:val="00DA5831"/>
    <w:rsid w:val="00DB2873"/>
    <w:rsid w:val="00DC4482"/>
    <w:rsid w:val="00DD5028"/>
    <w:rsid w:val="00DE0807"/>
    <w:rsid w:val="00DE6E8E"/>
    <w:rsid w:val="00DF1198"/>
    <w:rsid w:val="00E009CD"/>
    <w:rsid w:val="00E12082"/>
    <w:rsid w:val="00E17870"/>
    <w:rsid w:val="00E21589"/>
    <w:rsid w:val="00E24D9E"/>
    <w:rsid w:val="00E257C8"/>
    <w:rsid w:val="00E26581"/>
    <w:rsid w:val="00E2722E"/>
    <w:rsid w:val="00E31AA7"/>
    <w:rsid w:val="00E3447D"/>
    <w:rsid w:val="00E431CE"/>
    <w:rsid w:val="00E445F8"/>
    <w:rsid w:val="00E503E4"/>
    <w:rsid w:val="00E557D2"/>
    <w:rsid w:val="00E55E02"/>
    <w:rsid w:val="00E571C4"/>
    <w:rsid w:val="00E63B3D"/>
    <w:rsid w:val="00E64479"/>
    <w:rsid w:val="00E67D99"/>
    <w:rsid w:val="00E75556"/>
    <w:rsid w:val="00E75EFA"/>
    <w:rsid w:val="00E76F1F"/>
    <w:rsid w:val="00E80BE2"/>
    <w:rsid w:val="00E8309D"/>
    <w:rsid w:val="00E90A9C"/>
    <w:rsid w:val="00E93036"/>
    <w:rsid w:val="00E95356"/>
    <w:rsid w:val="00E966E5"/>
    <w:rsid w:val="00EA3D96"/>
    <w:rsid w:val="00EA6B69"/>
    <w:rsid w:val="00EA6B7B"/>
    <w:rsid w:val="00EB02DE"/>
    <w:rsid w:val="00EB19ED"/>
    <w:rsid w:val="00EB25E4"/>
    <w:rsid w:val="00EB3D8B"/>
    <w:rsid w:val="00EC08E7"/>
    <w:rsid w:val="00ED1B77"/>
    <w:rsid w:val="00ED5511"/>
    <w:rsid w:val="00ED57D1"/>
    <w:rsid w:val="00EE2837"/>
    <w:rsid w:val="00EF3B7C"/>
    <w:rsid w:val="00EF56FA"/>
    <w:rsid w:val="00EF5D52"/>
    <w:rsid w:val="00EF6216"/>
    <w:rsid w:val="00EF6E42"/>
    <w:rsid w:val="00F0613C"/>
    <w:rsid w:val="00F11244"/>
    <w:rsid w:val="00F1270F"/>
    <w:rsid w:val="00F14A7B"/>
    <w:rsid w:val="00F1658B"/>
    <w:rsid w:val="00F2540D"/>
    <w:rsid w:val="00F26602"/>
    <w:rsid w:val="00F31380"/>
    <w:rsid w:val="00F333BF"/>
    <w:rsid w:val="00F34499"/>
    <w:rsid w:val="00F406E3"/>
    <w:rsid w:val="00F40C82"/>
    <w:rsid w:val="00F42AD5"/>
    <w:rsid w:val="00F5114E"/>
    <w:rsid w:val="00F53B1A"/>
    <w:rsid w:val="00F54568"/>
    <w:rsid w:val="00F57249"/>
    <w:rsid w:val="00F62DE3"/>
    <w:rsid w:val="00F77131"/>
    <w:rsid w:val="00F82A7C"/>
    <w:rsid w:val="00F85D7E"/>
    <w:rsid w:val="00FA155C"/>
    <w:rsid w:val="00FA4C13"/>
    <w:rsid w:val="00FB0F77"/>
    <w:rsid w:val="00FB345F"/>
    <w:rsid w:val="00FB4DA5"/>
    <w:rsid w:val="00FB56E0"/>
    <w:rsid w:val="00FB6FB2"/>
    <w:rsid w:val="00FC57A1"/>
    <w:rsid w:val="00FC6D26"/>
    <w:rsid w:val="00FC703D"/>
    <w:rsid w:val="00FC77AA"/>
    <w:rsid w:val="00FD2A60"/>
    <w:rsid w:val="00FD3820"/>
    <w:rsid w:val="00FD3AE6"/>
    <w:rsid w:val="00FE6E6D"/>
    <w:rsid w:val="00FF0DAE"/>
    <w:rsid w:val="00FF3092"/>
    <w:rsid w:val="00FF4B06"/>
    <w:rsid w:val="0BD00F5F"/>
    <w:rsid w:val="430540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A2A7A989-CD6E-491D-BDA3-2ABCE683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qFormat="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a4">
    <w:name w:val="Document Map"/>
    <w:basedOn w:val="a"/>
    <w:semiHidden/>
    <w:qFormat/>
    <w:pPr>
      <w:shd w:val="clear" w:color="auto" w:fill="000080"/>
    </w:pPr>
  </w:style>
  <w:style w:type="paragraph" w:styleId="a5">
    <w:name w:val="Plain Text"/>
    <w:basedOn w:val="a"/>
    <w:link w:val="a6"/>
    <w:uiPriority w:val="99"/>
    <w:qFormat/>
    <w:rPr>
      <w:rFonts w:ascii="宋体" w:hAnsi="Courier New"/>
      <w:szCs w:val="21"/>
    </w:rPr>
  </w:style>
  <w:style w:type="paragraph" w:styleId="a7">
    <w:name w:val="Date"/>
    <w:basedOn w:val="a"/>
    <w:next w:val="a"/>
    <w:link w:val="a8"/>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9">
    <w:name w:val="Balloon Text"/>
    <w:basedOn w:val="a"/>
    <w:link w:val="aa"/>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sz w:val="18"/>
      <w:szCs w:val="18"/>
    </w:rPr>
  </w:style>
  <w:style w:type="paragraph" w:styleId="af">
    <w:name w:val="footnote text"/>
    <w:basedOn w:val="a"/>
    <w:link w:val="af0"/>
    <w:qFormat/>
    <w:pPr>
      <w:snapToGrid w:val="0"/>
      <w:jc w:val="left"/>
    </w:pPr>
    <w:rPr>
      <w:sz w:val="18"/>
      <w:szCs w:val="18"/>
    </w:rPr>
  </w:style>
  <w:style w:type="paragraph" w:styleId="3">
    <w:name w:val="Body Text Indent 3"/>
    <w:basedOn w:val="a"/>
    <w:qFormat/>
    <w:pPr>
      <w:spacing w:after="120"/>
      <w:ind w:leftChars="200" w:left="420"/>
    </w:pPr>
    <w:rPr>
      <w:sz w:val="16"/>
      <w:szCs w:val="16"/>
    </w:rPr>
  </w:style>
  <w:style w:type="paragraph" w:styleId="af1">
    <w:name w:val="Normal (Web)"/>
    <w:basedOn w:val="a"/>
    <w:qFormat/>
    <w:pPr>
      <w:widowControl/>
      <w:spacing w:before="100" w:beforeAutospacing="1" w:after="100" w:afterAutospacing="1"/>
    </w:pPr>
    <w:rPr>
      <w:rFonts w:ascii="宋体" w:hAnsi="宋体"/>
      <w:kern w:val="0"/>
      <w:sz w:val="24"/>
      <w:szCs w:val="20"/>
    </w:rPr>
  </w:style>
  <w:style w:type="table" w:styleId="af2">
    <w:name w:val="Table Grid"/>
    <w:basedOn w:val="a2"/>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Strong"/>
    <w:basedOn w:val="a1"/>
    <w:uiPriority w:val="22"/>
    <w:qFormat/>
    <w:rPr>
      <w:b/>
      <w:bCs/>
    </w:rPr>
  </w:style>
  <w:style w:type="character" w:styleId="af4">
    <w:name w:val="footnote reference"/>
    <w:qFormat/>
    <w:rPr>
      <w:vertAlign w:val="superscript"/>
    </w:rPr>
  </w:style>
  <w:style w:type="paragraph" w:customStyle="1" w:styleId="Char">
    <w:name w:val="Char"/>
    <w:basedOn w:val="a"/>
    <w:qFormat/>
  </w:style>
  <w:style w:type="character" w:customStyle="1" w:styleId="a6">
    <w:name w:val="纯文本 字符"/>
    <w:link w:val="a5"/>
    <w:uiPriority w:val="99"/>
    <w:qFormat/>
    <w:rPr>
      <w:rFonts w:ascii="宋体" w:hAnsi="Courier New"/>
      <w:kern w:val="2"/>
      <w:sz w:val="21"/>
      <w:szCs w:val="21"/>
    </w:rPr>
  </w:style>
  <w:style w:type="character" w:customStyle="1" w:styleId="aa">
    <w:name w:val="批注框文本 字符"/>
    <w:basedOn w:val="a1"/>
    <w:link w:val="a9"/>
    <w:qFormat/>
    <w:rPr>
      <w:kern w:val="2"/>
      <w:sz w:val="18"/>
      <w:szCs w:val="18"/>
    </w:rPr>
  </w:style>
  <w:style w:type="paragraph" w:styleId="af5">
    <w:name w:val="List Paragraph"/>
    <w:basedOn w:val="a"/>
    <w:uiPriority w:val="34"/>
    <w:qFormat/>
    <w:pPr>
      <w:ind w:firstLineChars="200" w:firstLine="420"/>
    </w:pPr>
  </w:style>
  <w:style w:type="character" w:customStyle="1" w:styleId="ae">
    <w:name w:val="页眉 字符"/>
    <w:basedOn w:val="a1"/>
    <w:link w:val="ad"/>
    <w:uiPriority w:val="99"/>
    <w:qFormat/>
    <w:rPr>
      <w:kern w:val="2"/>
      <w:sz w:val="18"/>
      <w:szCs w:val="18"/>
    </w:rPr>
  </w:style>
  <w:style w:type="character" w:customStyle="1" w:styleId="10">
    <w:name w:val="标题 1 字符"/>
    <w:basedOn w:val="a1"/>
    <w:link w:val="1"/>
    <w:qFormat/>
    <w:rPr>
      <w:b/>
      <w:bCs/>
      <w:kern w:val="44"/>
      <w:sz w:val="44"/>
      <w:szCs w:val="44"/>
    </w:rPr>
  </w:style>
  <w:style w:type="character" w:customStyle="1" w:styleId="a8">
    <w:name w:val="日期 字符"/>
    <w:basedOn w:val="a1"/>
    <w:link w:val="a7"/>
    <w:qFormat/>
    <w:rPr>
      <w:kern w:val="2"/>
      <w:sz w:val="24"/>
    </w:rPr>
  </w:style>
  <w:style w:type="character" w:customStyle="1" w:styleId="af0">
    <w:name w:val="脚注文本 字符"/>
    <w:basedOn w:val="a1"/>
    <w:link w:val="af"/>
    <w:qFormat/>
    <w:rPr>
      <w:kern w:val="2"/>
      <w:sz w:val="18"/>
      <w:szCs w:val="18"/>
    </w:rPr>
  </w:style>
  <w:style w:type="character" w:customStyle="1" w:styleId="ac">
    <w:name w:val="页脚 字符"/>
    <w:basedOn w:val="a1"/>
    <w:link w:val="ab"/>
    <w:uiPriority w:val="99"/>
    <w:rsid w:val="00A73E8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19</Pages>
  <Words>1476</Words>
  <Characters>8418</Characters>
  <Application>Microsoft Office Word</Application>
  <DocSecurity>0</DocSecurity>
  <Lines>70</Lines>
  <Paragraphs>19</Paragraphs>
  <ScaleCrop>false</ScaleCrop>
  <Company>jysld</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132</cp:revision>
  <cp:lastPrinted>2009-01-22T10:11:00Z</cp:lastPrinted>
  <dcterms:created xsi:type="dcterms:W3CDTF">2013-12-25T02:47:00Z</dcterms:created>
  <dcterms:modified xsi:type="dcterms:W3CDTF">2024-04-19T02:57:00Z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