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4F2D0" w14:textId="77777777" w:rsidR="00DA315C" w:rsidRDefault="00DA315C">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2B13CCC9" w14:textId="77777777" w:rsidR="00DA315C" w:rsidRDefault="00DA315C">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31A40FD7" w14:textId="77777777" w:rsidR="00DA315C" w:rsidRDefault="00DA315C">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7E007641" w14:textId="77777777" w:rsidR="00DA315C" w:rsidRDefault="00DA315C">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72C5A2EE" w14:textId="77777777" w:rsidR="00DA315C" w:rsidRDefault="00CC2E83">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摩根天添盈货币市场基金</w:t>
      </w:r>
    </w:p>
    <w:p w14:paraId="23088677" w14:textId="77777777" w:rsidR="00DA315C" w:rsidRDefault="00CC2E83">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2024年第2季度报告</w:t>
      </w:r>
    </w:p>
    <w:p w14:paraId="191B3C67" w14:textId="77777777" w:rsidR="00DA315C" w:rsidRPr="004F02D6" w:rsidRDefault="00CC2E83">
      <w:pPr>
        <w:spacing w:line="360" w:lineRule="auto"/>
        <w:jc w:val="center"/>
        <w:rPr>
          <w:rFonts w:asciiTheme="minorEastAsia" w:eastAsiaTheme="minorEastAsia" w:hAnsiTheme="minorEastAsia"/>
          <w:b/>
          <w:color w:val="000000" w:themeColor="text1"/>
          <w:sz w:val="36"/>
          <w:szCs w:val="36"/>
        </w:rPr>
      </w:pPr>
      <w:r w:rsidRPr="004F02D6">
        <w:rPr>
          <w:rFonts w:asciiTheme="minorEastAsia" w:eastAsiaTheme="minorEastAsia" w:hAnsiTheme="minorEastAsia"/>
          <w:b/>
          <w:color w:val="000000" w:themeColor="text1"/>
          <w:sz w:val="36"/>
          <w:szCs w:val="36"/>
        </w:rPr>
        <w:t>2024年6月30日</w:t>
      </w:r>
    </w:p>
    <w:p w14:paraId="44E90599" w14:textId="77777777" w:rsidR="00DA315C" w:rsidRDefault="00DA315C">
      <w:pPr>
        <w:spacing w:line="360" w:lineRule="auto"/>
        <w:jc w:val="center"/>
        <w:rPr>
          <w:rFonts w:asciiTheme="minorEastAsia" w:eastAsiaTheme="minorEastAsia" w:hAnsiTheme="minorEastAsia"/>
          <w:b/>
          <w:color w:val="000000" w:themeColor="text1"/>
          <w:sz w:val="24"/>
        </w:rPr>
      </w:pPr>
    </w:p>
    <w:p w14:paraId="3A8891AE" w14:textId="77777777" w:rsidR="00DA315C" w:rsidRDefault="00DA315C">
      <w:pPr>
        <w:spacing w:line="360" w:lineRule="auto"/>
        <w:jc w:val="center"/>
        <w:rPr>
          <w:rFonts w:asciiTheme="minorEastAsia" w:eastAsiaTheme="minorEastAsia" w:hAnsiTheme="minorEastAsia"/>
          <w:b/>
          <w:color w:val="000000" w:themeColor="text1"/>
          <w:sz w:val="24"/>
        </w:rPr>
      </w:pPr>
    </w:p>
    <w:p w14:paraId="2449848C" w14:textId="77777777" w:rsidR="00DA315C" w:rsidRDefault="00DA315C">
      <w:pPr>
        <w:spacing w:line="360" w:lineRule="auto"/>
        <w:jc w:val="center"/>
        <w:rPr>
          <w:rFonts w:asciiTheme="minorEastAsia" w:eastAsiaTheme="minorEastAsia" w:hAnsiTheme="minorEastAsia"/>
          <w:b/>
          <w:color w:val="000000" w:themeColor="text1"/>
          <w:sz w:val="24"/>
        </w:rPr>
      </w:pPr>
    </w:p>
    <w:p w14:paraId="336EBB83" w14:textId="77777777" w:rsidR="00DA315C" w:rsidRDefault="00DA315C">
      <w:pPr>
        <w:spacing w:line="360" w:lineRule="auto"/>
        <w:jc w:val="center"/>
        <w:rPr>
          <w:rFonts w:asciiTheme="minorEastAsia" w:eastAsiaTheme="minorEastAsia" w:hAnsiTheme="minorEastAsia"/>
          <w:b/>
          <w:color w:val="000000" w:themeColor="text1"/>
          <w:sz w:val="24"/>
        </w:rPr>
      </w:pPr>
    </w:p>
    <w:p w14:paraId="3A1C6376" w14:textId="77777777" w:rsidR="00DA315C" w:rsidRDefault="00DA315C">
      <w:pPr>
        <w:spacing w:line="360" w:lineRule="auto"/>
        <w:jc w:val="center"/>
        <w:rPr>
          <w:rFonts w:asciiTheme="minorEastAsia" w:eastAsiaTheme="minorEastAsia" w:hAnsiTheme="minorEastAsia"/>
          <w:b/>
          <w:color w:val="000000" w:themeColor="text1"/>
          <w:sz w:val="24"/>
        </w:rPr>
      </w:pPr>
    </w:p>
    <w:p w14:paraId="6E207BA8" w14:textId="77777777" w:rsidR="00DA315C" w:rsidRDefault="00DA315C">
      <w:pPr>
        <w:spacing w:line="360" w:lineRule="auto"/>
        <w:jc w:val="center"/>
        <w:rPr>
          <w:rFonts w:asciiTheme="minorEastAsia" w:eastAsiaTheme="minorEastAsia" w:hAnsiTheme="minorEastAsia"/>
          <w:b/>
          <w:color w:val="000000" w:themeColor="text1"/>
          <w:sz w:val="24"/>
        </w:rPr>
      </w:pPr>
    </w:p>
    <w:p w14:paraId="6F34DB68" w14:textId="77777777" w:rsidR="00DA315C" w:rsidRDefault="00DA315C">
      <w:pPr>
        <w:spacing w:line="360" w:lineRule="auto"/>
        <w:jc w:val="center"/>
        <w:rPr>
          <w:rFonts w:asciiTheme="minorEastAsia" w:eastAsiaTheme="minorEastAsia" w:hAnsiTheme="minorEastAsia"/>
          <w:b/>
          <w:color w:val="000000" w:themeColor="text1"/>
          <w:sz w:val="24"/>
        </w:rPr>
      </w:pPr>
    </w:p>
    <w:p w14:paraId="59D21CE4" w14:textId="77777777" w:rsidR="00DA315C" w:rsidRDefault="00DA315C">
      <w:pPr>
        <w:spacing w:line="360" w:lineRule="auto"/>
        <w:jc w:val="center"/>
        <w:rPr>
          <w:rFonts w:asciiTheme="minorEastAsia" w:eastAsiaTheme="minorEastAsia" w:hAnsiTheme="minorEastAsia"/>
          <w:b/>
          <w:color w:val="000000" w:themeColor="text1"/>
          <w:sz w:val="24"/>
        </w:rPr>
      </w:pPr>
    </w:p>
    <w:p w14:paraId="6CAB3742" w14:textId="77777777" w:rsidR="00DA315C" w:rsidRDefault="00DA315C">
      <w:pPr>
        <w:spacing w:line="360" w:lineRule="auto"/>
        <w:jc w:val="center"/>
        <w:rPr>
          <w:rFonts w:asciiTheme="minorEastAsia" w:eastAsiaTheme="minorEastAsia" w:hAnsiTheme="minorEastAsia"/>
          <w:b/>
          <w:color w:val="000000" w:themeColor="text1"/>
          <w:sz w:val="24"/>
        </w:rPr>
      </w:pPr>
    </w:p>
    <w:p w14:paraId="7F73D669" w14:textId="77777777" w:rsidR="00DA315C" w:rsidRDefault="00DA315C">
      <w:pPr>
        <w:spacing w:line="360" w:lineRule="auto"/>
        <w:jc w:val="center"/>
        <w:rPr>
          <w:rFonts w:asciiTheme="minorEastAsia" w:eastAsiaTheme="minorEastAsia" w:hAnsiTheme="minorEastAsia"/>
          <w:b/>
          <w:color w:val="000000" w:themeColor="text1"/>
          <w:sz w:val="24"/>
        </w:rPr>
      </w:pPr>
    </w:p>
    <w:p w14:paraId="19F568AB" w14:textId="77777777" w:rsidR="00DA315C" w:rsidRDefault="00DA315C">
      <w:pPr>
        <w:spacing w:line="360" w:lineRule="auto"/>
        <w:jc w:val="center"/>
        <w:rPr>
          <w:rFonts w:asciiTheme="minorEastAsia" w:eastAsiaTheme="minorEastAsia" w:hAnsiTheme="minorEastAsia"/>
          <w:b/>
          <w:color w:val="000000" w:themeColor="text1"/>
          <w:sz w:val="24"/>
        </w:rPr>
      </w:pPr>
    </w:p>
    <w:p w14:paraId="76BD1899" w14:textId="77777777" w:rsidR="00DA315C" w:rsidRDefault="00DA315C">
      <w:pPr>
        <w:spacing w:line="360" w:lineRule="auto"/>
        <w:jc w:val="center"/>
        <w:rPr>
          <w:rFonts w:asciiTheme="minorEastAsia" w:eastAsiaTheme="minorEastAsia" w:hAnsiTheme="minorEastAsia"/>
          <w:b/>
          <w:color w:val="000000" w:themeColor="text1"/>
          <w:sz w:val="24"/>
        </w:rPr>
      </w:pPr>
    </w:p>
    <w:p w14:paraId="4F65936D" w14:textId="77777777" w:rsidR="00DA315C" w:rsidRDefault="00DA315C">
      <w:pPr>
        <w:spacing w:line="360" w:lineRule="auto"/>
        <w:jc w:val="center"/>
        <w:rPr>
          <w:rFonts w:asciiTheme="minorEastAsia" w:eastAsiaTheme="minorEastAsia" w:hAnsiTheme="minorEastAsia"/>
          <w:b/>
          <w:color w:val="000000" w:themeColor="text1"/>
          <w:sz w:val="24"/>
        </w:rPr>
      </w:pPr>
    </w:p>
    <w:p w14:paraId="06D5A188" w14:textId="77777777" w:rsidR="00DA315C" w:rsidRDefault="00DA315C">
      <w:pPr>
        <w:spacing w:line="360" w:lineRule="auto"/>
        <w:rPr>
          <w:rFonts w:asciiTheme="minorEastAsia" w:eastAsiaTheme="minorEastAsia" w:hAnsiTheme="minorEastAsia"/>
          <w:b/>
          <w:color w:val="000000" w:themeColor="text1"/>
          <w:sz w:val="24"/>
        </w:rPr>
      </w:pPr>
    </w:p>
    <w:p w14:paraId="4CA28538" w14:textId="77777777" w:rsidR="00DA315C" w:rsidRDefault="00CC2E83">
      <w:pPr>
        <w:spacing w:line="360" w:lineRule="auto"/>
        <w:ind w:firstLineChars="900" w:firstLine="2168"/>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基金管理人：</w:t>
      </w:r>
      <w:r>
        <w:rPr>
          <w:rFonts w:asciiTheme="minorEastAsia" w:eastAsiaTheme="minorEastAsia" w:hAnsiTheme="minorEastAsia"/>
          <w:b/>
          <w:color w:val="000000" w:themeColor="text1"/>
          <w:sz w:val="24"/>
        </w:rPr>
        <w:t>摩根基金管理（中国）有限公司</w:t>
      </w:r>
    </w:p>
    <w:p w14:paraId="11DD92A2" w14:textId="77777777" w:rsidR="00DA315C" w:rsidRDefault="00CC2E83">
      <w:pPr>
        <w:spacing w:line="360" w:lineRule="auto"/>
        <w:ind w:firstLineChars="900" w:firstLine="2168"/>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基金托管人：</w:t>
      </w:r>
      <w:r>
        <w:rPr>
          <w:rFonts w:asciiTheme="minorEastAsia" w:eastAsiaTheme="minorEastAsia" w:hAnsiTheme="minorEastAsia"/>
          <w:b/>
          <w:color w:val="000000" w:themeColor="text1"/>
          <w:sz w:val="24"/>
        </w:rPr>
        <w:t>中信银行股份有限公司</w:t>
      </w:r>
    </w:p>
    <w:p w14:paraId="7C4F09CB" w14:textId="77777777" w:rsidR="00DA315C" w:rsidRDefault="00CC2E83">
      <w:pPr>
        <w:spacing w:line="360" w:lineRule="auto"/>
        <w:ind w:firstLineChars="900" w:firstLine="2168"/>
        <w:rPr>
          <w:rFonts w:asciiTheme="minorEastAsia" w:eastAsiaTheme="minorEastAsia" w:hAnsiTheme="minorEastAsia"/>
          <w:b/>
          <w:color w:val="000000" w:themeColor="text1"/>
          <w:sz w:val="24"/>
        </w:rPr>
        <w:sectPr w:rsidR="00DA315C">
          <w:headerReference w:type="default" r:id="rId7"/>
          <w:footerReference w:type="default" r:id="rId8"/>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rPr>
        <w:t>报告送出日期：</w:t>
      </w:r>
      <w:r>
        <w:rPr>
          <w:rFonts w:asciiTheme="minorEastAsia" w:eastAsiaTheme="minorEastAsia" w:hAnsiTheme="minorEastAsia"/>
          <w:b/>
          <w:color w:val="000000" w:themeColor="text1"/>
          <w:sz w:val="24"/>
        </w:rPr>
        <w:t>二〇二四年七月十九日</w:t>
      </w:r>
    </w:p>
    <w:p w14:paraId="7F37B2BE"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b w:val="0"/>
          <w:color w:val="000000" w:themeColor="text1"/>
          <w:kern w:val="0"/>
          <w:sz w:val="24"/>
          <w:szCs w:val="24"/>
        </w:rPr>
      </w:pPr>
      <w:r>
        <w:rPr>
          <w:rFonts w:asciiTheme="minorEastAsia" w:eastAsiaTheme="minorEastAsia" w:hAnsiTheme="minorEastAsia" w:cs="Arial" w:hint="eastAsia"/>
          <w:color w:val="000000" w:themeColor="text1"/>
          <w:kern w:val="0"/>
          <w:sz w:val="24"/>
          <w:szCs w:val="24"/>
        </w:rPr>
        <w:lastRenderedPageBreak/>
        <w:t>§</w:t>
      </w:r>
      <w:r>
        <w:rPr>
          <w:rFonts w:asciiTheme="minorEastAsia" w:eastAsiaTheme="minorEastAsia" w:hAnsiTheme="minorEastAsia" w:cs="Arial"/>
          <w:color w:val="000000" w:themeColor="text1"/>
          <w:kern w:val="0"/>
          <w:sz w:val="24"/>
          <w:szCs w:val="24"/>
        </w:rPr>
        <w:t xml:space="preserve">1  </w:t>
      </w:r>
      <w:r>
        <w:rPr>
          <w:rFonts w:asciiTheme="minorEastAsia" w:eastAsiaTheme="minorEastAsia" w:hAnsiTheme="minorEastAsia" w:cs="Arial" w:hint="eastAsia"/>
          <w:color w:val="000000" w:themeColor="text1"/>
          <w:kern w:val="0"/>
          <w:sz w:val="24"/>
          <w:szCs w:val="24"/>
        </w:rPr>
        <w:t>重要提示</w:t>
      </w:r>
    </w:p>
    <w:p w14:paraId="16D128EC" w14:textId="77777777" w:rsidR="00C83121" w:rsidRDefault="004763DD">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sz w:val="24"/>
        </w:rPr>
        <w:t xml:space="preserve"> </w:t>
      </w:r>
    </w:p>
    <w:p w14:paraId="711BAFFC" w14:textId="77777777" w:rsidR="00C83121" w:rsidRDefault="004763DD">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基金托管人中信银行股份有限公司根据本基金合同规定，于</w:t>
      </w:r>
      <w:r>
        <w:rPr>
          <w:rFonts w:asciiTheme="minorEastAsia" w:eastAsiaTheme="minorEastAsia" w:hAnsiTheme="minorEastAsia"/>
          <w:color w:val="000000" w:themeColor="text1"/>
          <w:sz w:val="24"/>
        </w:rPr>
        <w:t>2024</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7</w:t>
      </w:r>
      <w:r>
        <w:rPr>
          <w:rFonts w:asciiTheme="minorEastAsia" w:eastAsiaTheme="minorEastAsia" w:hAnsiTheme="minorEastAsia"/>
          <w:color w:val="000000" w:themeColor="text1"/>
          <w:sz w:val="24"/>
        </w:rPr>
        <w:t>月</w:t>
      </w:r>
      <w:r>
        <w:rPr>
          <w:rFonts w:asciiTheme="minorEastAsia" w:eastAsiaTheme="minorEastAsia" w:hAnsiTheme="minorEastAsia"/>
          <w:color w:val="000000" w:themeColor="text1"/>
          <w:sz w:val="24"/>
        </w:rPr>
        <w:t>18</w:t>
      </w:r>
      <w:r>
        <w:rPr>
          <w:rFonts w:asciiTheme="minorEastAsia" w:eastAsiaTheme="minorEastAsia" w:hAnsiTheme="minorEastAsia"/>
          <w:color w:val="000000" w:themeColor="text1"/>
          <w:sz w:val="24"/>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sz w:val="24"/>
        </w:rPr>
        <w:t xml:space="preserve"> </w:t>
      </w:r>
    </w:p>
    <w:p w14:paraId="4E3B56F9" w14:textId="77777777" w:rsidR="00C83121" w:rsidRDefault="004763DD">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基金管理人承诺以诚实信用、勤勉尽责的原则管理和运用基金资产，但不保证基金一定盈利。</w:t>
      </w:r>
      <w:r>
        <w:rPr>
          <w:rFonts w:asciiTheme="minorEastAsia" w:eastAsiaTheme="minorEastAsia" w:hAnsiTheme="minorEastAsia"/>
          <w:color w:val="000000" w:themeColor="text1"/>
          <w:sz w:val="24"/>
        </w:rPr>
        <w:t xml:space="preserve"> </w:t>
      </w:r>
    </w:p>
    <w:p w14:paraId="5584752F" w14:textId="77777777" w:rsidR="00C83121" w:rsidRDefault="004763DD">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sz w:val="24"/>
        </w:rPr>
        <w:t xml:space="preserve"> </w:t>
      </w:r>
    </w:p>
    <w:p w14:paraId="55906709" w14:textId="77777777" w:rsidR="00C83121" w:rsidRDefault="004763DD">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本报告中财务资料未经审计。</w:t>
      </w:r>
    </w:p>
    <w:p w14:paraId="1FCDB1BE" w14:textId="77777777" w:rsidR="00DA315C" w:rsidRDefault="00CC2E8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本报告期自2024年4月1日起至6月30日止。</w:t>
      </w:r>
    </w:p>
    <w:p w14:paraId="312887F6"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2  </w:t>
      </w:r>
      <w:r>
        <w:rPr>
          <w:rFonts w:asciiTheme="minorEastAsia" w:eastAsiaTheme="minorEastAsia" w:hAnsiTheme="minorEastAsia" w:cs="Arial" w:hint="eastAsia"/>
          <w:color w:val="000000" w:themeColor="text1"/>
          <w:kern w:val="0"/>
          <w:sz w:val="24"/>
          <w:szCs w:val="24"/>
        </w:rPr>
        <w:t>基金产品概况</w:t>
      </w:r>
    </w:p>
    <w:tbl>
      <w:tblPr>
        <w:tblStyle w:val="af2"/>
        <w:tblW w:w="5000" w:type="pct"/>
        <w:tblLayout w:type="fixed"/>
        <w:tblLook w:val="04A0" w:firstRow="1" w:lastRow="0" w:firstColumn="1" w:lastColumn="0" w:noHBand="0" w:noVBand="1"/>
      </w:tblPr>
      <w:tblGrid>
        <w:gridCol w:w="2658"/>
        <w:gridCol w:w="1561"/>
        <w:gridCol w:w="1559"/>
        <w:gridCol w:w="1838"/>
        <w:gridCol w:w="1686"/>
      </w:tblGrid>
      <w:tr w:rsidR="00DA315C" w14:paraId="0BEC1263" w14:textId="77777777">
        <w:tc>
          <w:tcPr>
            <w:tcW w:w="1429" w:type="pct"/>
          </w:tcPr>
          <w:p w14:paraId="7AF4BC35" w14:textId="77777777" w:rsidR="00DA315C" w:rsidRDefault="00CC2E83">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基金简称</w:t>
            </w:r>
          </w:p>
        </w:tc>
        <w:tc>
          <w:tcPr>
            <w:tcW w:w="3571" w:type="pct"/>
            <w:gridSpan w:val="4"/>
          </w:tcPr>
          <w:p w14:paraId="19E54746" w14:textId="77777777" w:rsidR="00DA315C" w:rsidRDefault="00CC2E83">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摩根天添盈货币</w:t>
            </w:r>
          </w:p>
        </w:tc>
      </w:tr>
      <w:tr w:rsidR="00DA315C" w14:paraId="4C3C6409" w14:textId="77777777">
        <w:tc>
          <w:tcPr>
            <w:tcW w:w="1429" w:type="pct"/>
          </w:tcPr>
          <w:p w14:paraId="7A8A1E27" w14:textId="77777777" w:rsidR="00DA315C" w:rsidRDefault="00CC2E83">
            <w:pPr>
              <w:adjustRightInd w:val="0"/>
              <w:spacing w:before="29" w:line="360" w:lineRule="auto"/>
              <w:ind w:left="17"/>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基金主代码</w:t>
            </w:r>
          </w:p>
        </w:tc>
        <w:tc>
          <w:tcPr>
            <w:tcW w:w="3571" w:type="pct"/>
            <w:gridSpan w:val="4"/>
          </w:tcPr>
          <w:p w14:paraId="1FB3B53B" w14:textId="77777777" w:rsidR="00DA315C" w:rsidRDefault="00CC2E83">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000855</w:t>
            </w:r>
          </w:p>
        </w:tc>
      </w:tr>
      <w:tr w:rsidR="00DA315C" w14:paraId="11B0A072" w14:textId="77777777">
        <w:tc>
          <w:tcPr>
            <w:tcW w:w="1429" w:type="pct"/>
          </w:tcPr>
          <w:p w14:paraId="43D691AC"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基金运作方式</w:t>
            </w:r>
          </w:p>
        </w:tc>
        <w:tc>
          <w:tcPr>
            <w:tcW w:w="3571" w:type="pct"/>
            <w:gridSpan w:val="4"/>
          </w:tcPr>
          <w:p w14:paraId="199F5C9D"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契约型开放式</w:t>
            </w:r>
          </w:p>
        </w:tc>
      </w:tr>
      <w:tr w:rsidR="00DA315C" w14:paraId="078A73BD" w14:textId="77777777">
        <w:tc>
          <w:tcPr>
            <w:tcW w:w="1429" w:type="pct"/>
          </w:tcPr>
          <w:p w14:paraId="4007EBBD"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基金合同生效日</w:t>
            </w:r>
          </w:p>
        </w:tc>
        <w:tc>
          <w:tcPr>
            <w:tcW w:w="3571" w:type="pct"/>
            <w:gridSpan w:val="4"/>
          </w:tcPr>
          <w:p w14:paraId="0AEB7F97"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2014年11月25日</w:t>
            </w:r>
          </w:p>
        </w:tc>
      </w:tr>
      <w:tr w:rsidR="00DA315C" w14:paraId="61DBEE87" w14:textId="77777777">
        <w:tc>
          <w:tcPr>
            <w:tcW w:w="1429" w:type="pct"/>
          </w:tcPr>
          <w:p w14:paraId="6586CFC2"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报告期末基金份额总额</w:t>
            </w:r>
          </w:p>
        </w:tc>
        <w:tc>
          <w:tcPr>
            <w:tcW w:w="3571" w:type="pct"/>
            <w:gridSpan w:val="4"/>
          </w:tcPr>
          <w:p w14:paraId="7FDD24DB"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11,716,726,852.88</w:t>
            </w:r>
            <w:r>
              <w:rPr>
                <w:rFonts w:asciiTheme="minorEastAsia" w:eastAsiaTheme="minorEastAsia" w:hAnsiTheme="minorEastAsia" w:hint="eastAsia"/>
                <w:color w:val="000000" w:themeColor="text1"/>
                <w:kern w:val="0"/>
                <w:sz w:val="24"/>
              </w:rPr>
              <w:t>份</w:t>
            </w:r>
          </w:p>
        </w:tc>
      </w:tr>
      <w:tr w:rsidR="00DA315C" w14:paraId="1092B823" w14:textId="77777777">
        <w:tc>
          <w:tcPr>
            <w:tcW w:w="1429" w:type="pct"/>
          </w:tcPr>
          <w:p w14:paraId="4D5A8C61"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投资目标</w:t>
            </w:r>
          </w:p>
        </w:tc>
        <w:tc>
          <w:tcPr>
            <w:tcW w:w="3571" w:type="pct"/>
            <w:gridSpan w:val="4"/>
          </w:tcPr>
          <w:p w14:paraId="25C84F30"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 xml:space="preserve">在有效控制投资风险和保持较高流动性的前提下，为投资者提供资金的流动性储备，进一步优化现金管理，并力求获得高于业绩比较基准的稳定回报。 </w:t>
            </w:r>
          </w:p>
        </w:tc>
      </w:tr>
      <w:tr w:rsidR="00DA315C" w14:paraId="278B3B68" w14:textId="77777777">
        <w:tc>
          <w:tcPr>
            <w:tcW w:w="1429" w:type="pct"/>
          </w:tcPr>
          <w:p w14:paraId="67AEC611"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投资策略</w:t>
            </w:r>
          </w:p>
        </w:tc>
        <w:tc>
          <w:tcPr>
            <w:tcW w:w="3571" w:type="pct"/>
            <w:gridSpan w:val="4"/>
          </w:tcPr>
          <w:p w14:paraId="36F17296" w14:textId="77777777" w:rsidR="00C83121" w:rsidRDefault="004763DD">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本基金将综合考虑各类可投资品种的收益性、流动性及风险性特征，对各类资产进行合理的配置和选择。在保证基金资产的安全性和流动性基础上，力争为投资者创造稳定的投资收益。</w:t>
            </w:r>
            <w:r>
              <w:rPr>
                <w:rFonts w:asciiTheme="minorEastAsia" w:eastAsiaTheme="minorEastAsia" w:hAnsiTheme="minorEastAsia"/>
                <w:color w:val="000000" w:themeColor="text1"/>
                <w:kern w:val="0"/>
                <w:sz w:val="24"/>
              </w:rPr>
              <w:lastRenderedPageBreak/>
              <w:t>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w:t>
            </w:r>
            <w:r>
              <w:rPr>
                <w:rFonts w:asciiTheme="minorEastAsia" w:eastAsiaTheme="minorEastAsia" w:hAnsiTheme="minorEastAsia"/>
                <w:color w:val="000000" w:themeColor="text1"/>
                <w:kern w:val="0"/>
                <w:sz w:val="24"/>
              </w:rPr>
              <w:t>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p w14:paraId="67C5BA5C"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其他投资策略：包括收益率曲线策略、流动性管理策略、息差策略、套利策略。</w:t>
            </w:r>
          </w:p>
        </w:tc>
      </w:tr>
      <w:tr w:rsidR="00DA315C" w14:paraId="762C4E88" w14:textId="77777777">
        <w:tc>
          <w:tcPr>
            <w:tcW w:w="1429" w:type="pct"/>
          </w:tcPr>
          <w:p w14:paraId="2372D269"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lastRenderedPageBreak/>
              <w:t>业绩比较基准</w:t>
            </w:r>
          </w:p>
        </w:tc>
        <w:tc>
          <w:tcPr>
            <w:tcW w:w="3571" w:type="pct"/>
            <w:gridSpan w:val="4"/>
          </w:tcPr>
          <w:p w14:paraId="06FEC084"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同期七天通知存款利率（税后）</w:t>
            </w:r>
          </w:p>
        </w:tc>
      </w:tr>
      <w:tr w:rsidR="00DA315C" w14:paraId="6397067C" w14:textId="77777777">
        <w:tc>
          <w:tcPr>
            <w:tcW w:w="1429" w:type="pct"/>
          </w:tcPr>
          <w:p w14:paraId="1CCDBBA8" w14:textId="77777777" w:rsidR="00DA315C" w:rsidRDefault="00CC2E83">
            <w:pPr>
              <w:adjustRightInd w:val="0"/>
              <w:spacing w:before="29" w:line="360" w:lineRule="auto"/>
              <w:ind w:left="17"/>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风险收益特征</w:t>
            </w:r>
          </w:p>
        </w:tc>
        <w:tc>
          <w:tcPr>
            <w:tcW w:w="3571" w:type="pct"/>
            <w:gridSpan w:val="4"/>
          </w:tcPr>
          <w:p w14:paraId="1BA4E670" w14:textId="77777777" w:rsidR="00C83121" w:rsidRDefault="004763DD">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本基金为货币市场基金，是证券投资基金中的低风险品种。本基金的风险和预期收益低于股票型基金、混合型基金和债券型基金。</w:t>
            </w:r>
          </w:p>
          <w:p w14:paraId="20291854" w14:textId="77777777" w:rsidR="00DA315C" w:rsidRDefault="00CC2E83">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A315C" w14:paraId="13EB81BB" w14:textId="77777777">
        <w:tc>
          <w:tcPr>
            <w:tcW w:w="1429" w:type="pct"/>
          </w:tcPr>
          <w:p w14:paraId="33E0B730"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基金管理人</w:t>
            </w:r>
          </w:p>
        </w:tc>
        <w:tc>
          <w:tcPr>
            <w:tcW w:w="3571" w:type="pct"/>
            <w:gridSpan w:val="4"/>
          </w:tcPr>
          <w:p w14:paraId="4EE074BE"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摩根基金管理（中国）有限公司</w:t>
            </w:r>
          </w:p>
        </w:tc>
      </w:tr>
      <w:tr w:rsidR="00DA315C" w14:paraId="6103A351" w14:textId="77777777">
        <w:tc>
          <w:tcPr>
            <w:tcW w:w="1429" w:type="pct"/>
          </w:tcPr>
          <w:p w14:paraId="4CDC9B34"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基金托管人</w:t>
            </w:r>
          </w:p>
        </w:tc>
        <w:tc>
          <w:tcPr>
            <w:tcW w:w="3571" w:type="pct"/>
            <w:gridSpan w:val="4"/>
          </w:tcPr>
          <w:p w14:paraId="463B038A"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中信银行股份有限公司</w:t>
            </w:r>
          </w:p>
        </w:tc>
      </w:tr>
      <w:tr w:rsidR="00DA315C" w14:paraId="7C687E98" w14:textId="77777777">
        <w:tc>
          <w:tcPr>
            <w:tcW w:w="1429" w:type="pct"/>
          </w:tcPr>
          <w:p w14:paraId="639D40A0" w14:textId="77777777" w:rsidR="00DA315C" w:rsidRDefault="00CC2E83">
            <w:pPr>
              <w:adjustRightInd w:val="0"/>
              <w:spacing w:before="29" w:line="360" w:lineRule="auto"/>
              <w:ind w:left="17"/>
              <w:jc w:val="left"/>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sz w:val="24"/>
              </w:rPr>
              <w:t>下属四级基金的基金简</w:t>
            </w:r>
            <w:r>
              <w:rPr>
                <w:rFonts w:asciiTheme="minorEastAsia" w:eastAsiaTheme="minorEastAsia" w:hAnsiTheme="minorEastAsia" w:hint="eastAsia"/>
                <w:color w:val="000000" w:themeColor="text1"/>
                <w:sz w:val="24"/>
              </w:rPr>
              <w:lastRenderedPageBreak/>
              <w:t>称</w:t>
            </w:r>
          </w:p>
        </w:tc>
        <w:tc>
          <w:tcPr>
            <w:tcW w:w="839" w:type="pct"/>
            <w:vAlign w:val="center"/>
          </w:tcPr>
          <w:p w14:paraId="22C5310A" w14:textId="77777777" w:rsidR="00DA315C" w:rsidRDefault="00CC2E83">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color w:val="000000" w:themeColor="text1"/>
                <w:sz w:val="24"/>
              </w:rPr>
              <w:lastRenderedPageBreak/>
              <w:t>摩根天添盈</w:t>
            </w:r>
            <w:r>
              <w:rPr>
                <w:rFonts w:asciiTheme="minorEastAsia" w:eastAsiaTheme="minorEastAsia" w:hAnsiTheme="minorEastAsia"/>
                <w:color w:val="000000" w:themeColor="text1"/>
                <w:sz w:val="24"/>
              </w:rPr>
              <w:lastRenderedPageBreak/>
              <w:t>货币A类</w:t>
            </w:r>
          </w:p>
        </w:tc>
        <w:tc>
          <w:tcPr>
            <w:tcW w:w="838" w:type="pct"/>
            <w:vAlign w:val="center"/>
          </w:tcPr>
          <w:p w14:paraId="01F70A3A"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lastRenderedPageBreak/>
              <w:t>摩根天添盈</w:t>
            </w:r>
            <w:r>
              <w:rPr>
                <w:rFonts w:asciiTheme="minorEastAsia" w:eastAsiaTheme="minorEastAsia" w:hAnsiTheme="minorEastAsia" w:hint="eastAsia"/>
                <w:color w:val="000000" w:themeColor="text1"/>
                <w:sz w:val="24"/>
              </w:rPr>
              <w:lastRenderedPageBreak/>
              <w:t>货币B类</w:t>
            </w:r>
          </w:p>
        </w:tc>
        <w:tc>
          <w:tcPr>
            <w:tcW w:w="988" w:type="pct"/>
            <w:vAlign w:val="center"/>
          </w:tcPr>
          <w:p w14:paraId="7D501262"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lastRenderedPageBreak/>
              <w:t>摩根天添盈货</w:t>
            </w:r>
            <w:r>
              <w:rPr>
                <w:rFonts w:asciiTheme="minorEastAsia" w:eastAsiaTheme="minorEastAsia" w:hAnsiTheme="minorEastAsia" w:hint="eastAsia"/>
                <w:color w:val="000000" w:themeColor="text1"/>
                <w:sz w:val="24"/>
              </w:rPr>
              <w:lastRenderedPageBreak/>
              <w:t>币E类</w:t>
            </w:r>
          </w:p>
        </w:tc>
        <w:tc>
          <w:tcPr>
            <w:tcW w:w="906" w:type="pct"/>
            <w:vAlign w:val="center"/>
          </w:tcPr>
          <w:p w14:paraId="03DE261B"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lastRenderedPageBreak/>
              <w:t>摩根天添盈货</w:t>
            </w:r>
            <w:r>
              <w:rPr>
                <w:rFonts w:asciiTheme="minorEastAsia" w:eastAsiaTheme="minorEastAsia" w:hAnsiTheme="minorEastAsia" w:hint="eastAsia"/>
                <w:color w:val="000000" w:themeColor="text1"/>
                <w:sz w:val="24"/>
              </w:rPr>
              <w:lastRenderedPageBreak/>
              <w:t>币C类</w:t>
            </w:r>
          </w:p>
        </w:tc>
      </w:tr>
      <w:tr w:rsidR="00DA315C" w14:paraId="291FB4D7" w14:textId="77777777">
        <w:tc>
          <w:tcPr>
            <w:tcW w:w="1429" w:type="pct"/>
          </w:tcPr>
          <w:p w14:paraId="4FCD948A"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下属四级基金的交易代码</w:t>
            </w:r>
          </w:p>
        </w:tc>
        <w:tc>
          <w:tcPr>
            <w:tcW w:w="839" w:type="pct"/>
            <w:vAlign w:val="center"/>
          </w:tcPr>
          <w:p w14:paraId="1CC84DC6" w14:textId="77777777" w:rsidR="00DA315C" w:rsidRDefault="00CC2E83">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000855</w:t>
            </w:r>
          </w:p>
        </w:tc>
        <w:tc>
          <w:tcPr>
            <w:tcW w:w="838" w:type="pct"/>
            <w:vAlign w:val="center"/>
          </w:tcPr>
          <w:p w14:paraId="4B5C5E06"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000856</w:t>
            </w:r>
          </w:p>
        </w:tc>
        <w:tc>
          <w:tcPr>
            <w:tcW w:w="988" w:type="pct"/>
            <w:vAlign w:val="center"/>
          </w:tcPr>
          <w:p w14:paraId="318FF5C1"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000857</w:t>
            </w:r>
          </w:p>
        </w:tc>
        <w:tc>
          <w:tcPr>
            <w:tcW w:w="906" w:type="pct"/>
            <w:vAlign w:val="center"/>
          </w:tcPr>
          <w:p w14:paraId="7AD3C454"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017010</w:t>
            </w:r>
          </w:p>
        </w:tc>
      </w:tr>
      <w:tr w:rsidR="00DA315C" w14:paraId="5AF66A05" w14:textId="77777777">
        <w:tc>
          <w:tcPr>
            <w:tcW w:w="1429" w:type="pct"/>
          </w:tcPr>
          <w:p w14:paraId="40696C5B"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报告期末下属四级基金的份额总额</w:t>
            </w:r>
          </w:p>
        </w:tc>
        <w:tc>
          <w:tcPr>
            <w:tcW w:w="839" w:type="pct"/>
            <w:vAlign w:val="center"/>
          </w:tcPr>
          <w:p w14:paraId="276EA724" w14:textId="77777777" w:rsidR="00DA315C" w:rsidRDefault="00CC2E83">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color w:val="000000" w:themeColor="text1"/>
                <w:sz w:val="24"/>
              </w:rPr>
              <w:t>4,909,979,288.52</w:t>
            </w:r>
            <w:r>
              <w:rPr>
                <w:rFonts w:asciiTheme="minorEastAsia" w:eastAsiaTheme="minorEastAsia" w:hAnsiTheme="minorEastAsia" w:hint="eastAsia"/>
                <w:color w:val="000000" w:themeColor="text1"/>
                <w:sz w:val="24"/>
              </w:rPr>
              <w:t>份</w:t>
            </w:r>
          </w:p>
        </w:tc>
        <w:tc>
          <w:tcPr>
            <w:tcW w:w="838" w:type="pct"/>
            <w:vAlign w:val="center"/>
          </w:tcPr>
          <w:p w14:paraId="5B0EDFE0"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w:t>
            </w:r>
            <w:r w:rsidR="00CC2E83">
              <w:rPr>
                <w:rFonts w:asciiTheme="minorEastAsia" w:eastAsiaTheme="minorEastAsia" w:hAnsiTheme="minorEastAsia" w:hint="eastAsia"/>
                <w:color w:val="000000" w:themeColor="text1"/>
                <w:sz w:val="24"/>
              </w:rPr>
              <w:t>份</w:t>
            </w:r>
          </w:p>
        </w:tc>
        <w:tc>
          <w:tcPr>
            <w:tcW w:w="988" w:type="pct"/>
            <w:vAlign w:val="center"/>
          </w:tcPr>
          <w:p w14:paraId="64AF7F5F"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4,534,078,867.12</w:t>
            </w:r>
            <w:r w:rsidR="00CC2E83">
              <w:rPr>
                <w:rFonts w:asciiTheme="minorEastAsia" w:eastAsiaTheme="minorEastAsia" w:hAnsiTheme="minorEastAsia" w:hint="eastAsia"/>
                <w:color w:val="000000" w:themeColor="text1"/>
                <w:sz w:val="24"/>
              </w:rPr>
              <w:t>份</w:t>
            </w:r>
          </w:p>
        </w:tc>
        <w:tc>
          <w:tcPr>
            <w:tcW w:w="906" w:type="pct"/>
            <w:vAlign w:val="center"/>
          </w:tcPr>
          <w:p w14:paraId="3BB6480A"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2,272,668,697.24</w:t>
            </w:r>
            <w:r w:rsidR="00CC2E83">
              <w:rPr>
                <w:rFonts w:asciiTheme="minorEastAsia" w:eastAsiaTheme="minorEastAsia" w:hAnsiTheme="minorEastAsia" w:hint="eastAsia"/>
                <w:color w:val="000000" w:themeColor="text1"/>
                <w:sz w:val="24"/>
              </w:rPr>
              <w:t>份</w:t>
            </w:r>
          </w:p>
        </w:tc>
      </w:tr>
    </w:tbl>
    <w:p w14:paraId="3A4E191C"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3  </w:t>
      </w:r>
      <w:r>
        <w:rPr>
          <w:rFonts w:asciiTheme="minorEastAsia" w:eastAsiaTheme="minorEastAsia" w:hAnsiTheme="minorEastAsia" w:cs="Arial" w:hint="eastAsia"/>
          <w:color w:val="000000" w:themeColor="text1"/>
          <w:kern w:val="0"/>
          <w:sz w:val="24"/>
          <w:szCs w:val="24"/>
        </w:rPr>
        <w:t>主要财务指标和基金净值表现</w:t>
      </w:r>
    </w:p>
    <w:p w14:paraId="61261219" w14:textId="77777777" w:rsidR="00DA315C" w:rsidRDefault="00CC2E83" w:rsidP="00FC703D">
      <w:pPr>
        <w:spacing w:beforeLines="50" w:before="12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3.1 </w:t>
      </w:r>
      <w:r>
        <w:rPr>
          <w:rFonts w:asciiTheme="minorEastAsia" w:eastAsiaTheme="minorEastAsia" w:hAnsiTheme="minorEastAsia" w:cs="Arial" w:hint="eastAsia"/>
          <w:b/>
          <w:color w:val="000000" w:themeColor="text1"/>
          <w:kern w:val="0"/>
          <w:sz w:val="24"/>
        </w:rPr>
        <w:t>主要财务指标</w:t>
      </w:r>
    </w:p>
    <w:p w14:paraId="0C913B80"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单位：人民币元</w:t>
      </w:r>
    </w:p>
    <w:tbl>
      <w:tblPr>
        <w:tblStyle w:val="af2"/>
        <w:tblW w:w="0" w:type="auto"/>
        <w:tblLayout w:type="fixed"/>
        <w:tblLook w:val="04A0" w:firstRow="1" w:lastRow="0" w:firstColumn="1" w:lastColumn="0" w:noHBand="0" w:noVBand="1"/>
      </w:tblPr>
      <w:tblGrid>
        <w:gridCol w:w="2235"/>
        <w:gridCol w:w="1701"/>
        <w:gridCol w:w="1701"/>
        <w:gridCol w:w="1804"/>
        <w:gridCol w:w="1861"/>
      </w:tblGrid>
      <w:tr w:rsidR="00DA315C" w14:paraId="0A960CB8" w14:textId="77777777" w:rsidTr="000E6158">
        <w:tc>
          <w:tcPr>
            <w:tcW w:w="2235" w:type="dxa"/>
            <w:vMerge w:val="restart"/>
          </w:tcPr>
          <w:p w14:paraId="3AA45EFD" w14:textId="77777777" w:rsidR="00DA315C" w:rsidRDefault="00CC2E83">
            <w:pPr>
              <w:autoSpaceDE w:val="0"/>
              <w:autoSpaceDN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主要财务指标</w:t>
            </w:r>
          </w:p>
        </w:tc>
        <w:tc>
          <w:tcPr>
            <w:tcW w:w="7067" w:type="dxa"/>
            <w:gridSpan w:val="4"/>
          </w:tcPr>
          <w:p w14:paraId="4EDCE04F" w14:textId="77777777" w:rsidR="00DA315C" w:rsidRDefault="00CC2E83">
            <w:pPr>
              <w:autoSpaceDE w:val="0"/>
              <w:autoSpaceDN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报告期(</w:t>
            </w:r>
            <w:r>
              <w:rPr>
                <w:rFonts w:asciiTheme="minorEastAsia" w:eastAsiaTheme="minorEastAsia" w:hAnsiTheme="minorEastAsia" w:cs="宋体"/>
                <w:color w:val="000000" w:themeColor="text1"/>
                <w:sz w:val="24"/>
              </w:rPr>
              <w:t>2024年4月1日-2024年6月30日</w:t>
            </w:r>
            <w:r>
              <w:rPr>
                <w:rFonts w:asciiTheme="minorEastAsia" w:eastAsiaTheme="minorEastAsia" w:hAnsiTheme="minorEastAsia" w:cs="宋体" w:hint="eastAsia"/>
                <w:color w:val="000000" w:themeColor="text1"/>
                <w:sz w:val="24"/>
              </w:rPr>
              <w:t>)</w:t>
            </w:r>
          </w:p>
        </w:tc>
      </w:tr>
      <w:tr w:rsidR="00DA315C" w14:paraId="2E324A0F" w14:textId="77777777" w:rsidTr="00CB2E1E">
        <w:tc>
          <w:tcPr>
            <w:tcW w:w="2235" w:type="dxa"/>
            <w:vMerge/>
          </w:tcPr>
          <w:p w14:paraId="3972B667" w14:textId="77777777" w:rsidR="00DA315C" w:rsidRDefault="00DA315C">
            <w:pPr>
              <w:autoSpaceDE w:val="0"/>
              <w:autoSpaceDN w:val="0"/>
              <w:spacing w:line="360" w:lineRule="auto"/>
              <w:rPr>
                <w:rFonts w:asciiTheme="minorEastAsia" w:eastAsiaTheme="minorEastAsia" w:hAnsiTheme="minorEastAsia"/>
                <w:color w:val="000000" w:themeColor="text1"/>
                <w:sz w:val="24"/>
              </w:rPr>
            </w:pPr>
          </w:p>
        </w:tc>
        <w:tc>
          <w:tcPr>
            <w:tcW w:w="1701" w:type="dxa"/>
            <w:vAlign w:val="center"/>
          </w:tcPr>
          <w:p w14:paraId="00CC52CE" w14:textId="77777777" w:rsidR="00DA315C" w:rsidRDefault="00CC2E83">
            <w:pPr>
              <w:adjustRightInd w:val="0"/>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olor w:val="000000" w:themeColor="text1"/>
                <w:sz w:val="24"/>
              </w:rPr>
              <w:t>摩根天添盈货币A类</w:t>
            </w:r>
          </w:p>
        </w:tc>
        <w:tc>
          <w:tcPr>
            <w:tcW w:w="1701" w:type="dxa"/>
            <w:vAlign w:val="center"/>
          </w:tcPr>
          <w:p w14:paraId="399163F5" w14:textId="77777777" w:rsidR="00DA315C" w:rsidRDefault="00050540">
            <w:pPr>
              <w:adjustRightInd w:val="0"/>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摩根天添盈货币B类</w:t>
            </w:r>
          </w:p>
        </w:tc>
        <w:tc>
          <w:tcPr>
            <w:tcW w:w="1804" w:type="dxa"/>
            <w:vAlign w:val="center"/>
          </w:tcPr>
          <w:p w14:paraId="19B46D8C" w14:textId="77777777" w:rsidR="00DA315C" w:rsidRDefault="00050540">
            <w:pPr>
              <w:adjustRightInd w:val="0"/>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摩根天添盈货币E类</w:t>
            </w:r>
          </w:p>
        </w:tc>
        <w:tc>
          <w:tcPr>
            <w:tcW w:w="1861" w:type="dxa"/>
            <w:vAlign w:val="center"/>
          </w:tcPr>
          <w:p w14:paraId="39DB5400" w14:textId="77777777" w:rsidR="00DA315C" w:rsidRDefault="00050540">
            <w:pPr>
              <w:adjustRightInd w:val="0"/>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摩根天添盈货币C类</w:t>
            </w:r>
          </w:p>
        </w:tc>
      </w:tr>
      <w:tr w:rsidR="00DA315C" w14:paraId="4249B977" w14:textId="77777777" w:rsidTr="00CB2E1E">
        <w:tc>
          <w:tcPr>
            <w:tcW w:w="2235" w:type="dxa"/>
            <w:vAlign w:val="center"/>
          </w:tcPr>
          <w:p w14:paraId="5A4FF4EB" w14:textId="77777777" w:rsidR="00DA315C" w:rsidRDefault="00CC2E83" w:rsidP="00525B26">
            <w:pPr>
              <w:adjustRightInd w:val="0"/>
              <w:spacing w:before="29" w:line="360" w:lineRule="auto"/>
              <w:ind w:left="17"/>
              <w:rPr>
                <w:rFonts w:asciiTheme="minorEastAsia" w:eastAsiaTheme="minorEastAsia" w:hAnsiTheme="minorEastAsia"/>
                <w:color w:val="000000" w:themeColor="text1"/>
                <w:kern w:val="0"/>
                <w:sz w:val="24"/>
              </w:rPr>
            </w:pPr>
            <w:r>
              <w:rPr>
                <w:rFonts w:asciiTheme="minorEastAsia" w:eastAsiaTheme="minorEastAsia" w:hAnsiTheme="minorEastAsia" w:cs="方正仿宋简体"/>
                <w:color w:val="000000" w:themeColor="text1"/>
                <w:kern w:val="0"/>
                <w:sz w:val="24"/>
              </w:rPr>
              <w:t>1.</w:t>
            </w:r>
            <w:r>
              <w:rPr>
                <w:rFonts w:asciiTheme="minorEastAsia" w:eastAsiaTheme="minorEastAsia" w:hAnsiTheme="minorEastAsia" w:cs="宋体" w:hint="eastAsia"/>
                <w:color w:val="000000" w:themeColor="text1"/>
                <w:kern w:val="0"/>
                <w:sz w:val="24"/>
              </w:rPr>
              <w:t>本期已实现收益</w:t>
            </w:r>
          </w:p>
        </w:tc>
        <w:tc>
          <w:tcPr>
            <w:tcW w:w="1701" w:type="dxa"/>
            <w:vAlign w:val="center"/>
          </w:tcPr>
          <w:p w14:paraId="4873C28C" w14:textId="77777777" w:rsidR="00DA315C" w:rsidRDefault="00CC2E83"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19,451,428.24</w:t>
            </w:r>
          </w:p>
        </w:tc>
        <w:tc>
          <w:tcPr>
            <w:tcW w:w="1701" w:type="dxa"/>
            <w:vAlign w:val="center"/>
          </w:tcPr>
          <w:p w14:paraId="1BFB5346"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04" w:type="dxa"/>
            <w:vAlign w:val="center"/>
          </w:tcPr>
          <w:p w14:paraId="13B652D0"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21,852,406.67</w:t>
            </w:r>
          </w:p>
        </w:tc>
        <w:tc>
          <w:tcPr>
            <w:tcW w:w="1861" w:type="dxa"/>
            <w:vAlign w:val="center"/>
          </w:tcPr>
          <w:p w14:paraId="5493B9BF"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9,953,029.40</w:t>
            </w:r>
          </w:p>
        </w:tc>
      </w:tr>
      <w:tr w:rsidR="00DA315C" w14:paraId="5CE1A2F3" w14:textId="77777777" w:rsidTr="00CB2E1E">
        <w:tc>
          <w:tcPr>
            <w:tcW w:w="2235" w:type="dxa"/>
            <w:vAlign w:val="center"/>
          </w:tcPr>
          <w:p w14:paraId="215CE558" w14:textId="77777777" w:rsidR="00DA315C" w:rsidRDefault="00CC2E83" w:rsidP="00525B26">
            <w:pPr>
              <w:adjustRightInd w:val="0"/>
              <w:spacing w:before="29" w:line="360" w:lineRule="auto"/>
              <w:ind w:left="17"/>
              <w:rPr>
                <w:rFonts w:asciiTheme="minorEastAsia" w:eastAsiaTheme="minorEastAsia" w:hAnsiTheme="minorEastAsia"/>
                <w:color w:val="000000" w:themeColor="text1"/>
                <w:kern w:val="0"/>
                <w:sz w:val="24"/>
              </w:rPr>
            </w:pPr>
            <w:r>
              <w:rPr>
                <w:rFonts w:asciiTheme="minorEastAsia" w:eastAsiaTheme="minorEastAsia" w:hAnsiTheme="minorEastAsia" w:cs="方正仿宋简体"/>
                <w:color w:val="000000" w:themeColor="text1"/>
                <w:kern w:val="0"/>
                <w:sz w:val="24"/>
              </w:rPr>
              <w:t>2.</w:t>
            </w:r>
            <w:r>
              <w:rPr>
                <w:rFonts w:asciiTheme="minorEastAsia" w:eastAsiaTheme="minorEastAsia" w:hAnsiTheme="minorEastAsia" w:cs="宋体" w:hint="eastAsia"/>
                <w:color w:val="000000" w:themeColor="text1"/>
                <w:kern w:val="0"/>
                <w:sz w:val="24"/>
              </w:rPr>
              <w:t>本期利润</w:t>
            </w:r>
          </w:p>
        </w:tc>
        <w:tc>
          <w:tcPr>
            <w:tcW w:w="1701" w:type="dxa"/>
            <w:vAlign w:val="center"/>
          </w:tcPr>
          <w:p w14:paraId="03D73604" w14:textId="77777777" w:rsidR="00DA315C" w:rsidRDefault="00CC2E83"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19,451,428.24</w:t>
            </w:r>
          </w:p>
        </w:tc>
        <w:tc>
          <w:tcPr>
            <w:tcW w:w="1701" w:type="dxa"/>
            <w:vAlign w:val="center"/>
          </w:tcPr>
          <w:p w14:paraId="723FF125"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04" w:type="dxa"/>
            <w:vAlign w:val="center"/>
          </w:tcPr>
          <w:p w14:paraId="1A131367"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21,852,406.67</w:t>
            </w:r>
          </w:p>
        </w:tc>
        <w:tc>
          <w:tcPr>
            <w:tcW w:w="1861" w:type="dxa"/>
            <w:vAlign w:val="center"/>
          </w:tcPr>
          <w:p w14:paraId="68DC0CBD"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9,953,029.40</w:t>
            </w:r>
          </w:p>
        </w:tc>
      </w:tr>
      <w:tr w:rsidR="00DA315C" w14:paraId="1EDE5345" w14:textId="77777777" w:rsidTr="00CB2E1E">
        <w:tc>
          <w:tcPr>
            <w:tcW w:w="2235" w:type="dxa"/>
            <w:vAlign w:val="center"/>
          </w:tcPr>
          <w:p w14:paraId="57351A85" w14:textId="77777777" w:rsidR="00DA315C" w:rsidRDefault="00CC2E83" w:rsidP="00525B26">
            <w:pPr>
              <w:adjustRightInd w:val="0"/>
              <w:spacing w:before="29" w:line="360" w:lineRule="auto"/>
              <w:ind w:left="17"/>
              <w:rPr>
                <w:rFonts w:asciiTheme="minorEastAsia" w:eastAsiaTheme="minorEastAsia" w:hAnsiTheme="minorEastAsia"/>
                <w:color w:val="000000" w:themeColor="text1"/>
                <w:kern w:val="0"/>
                <w:sz w:val="24"/>
              </w:rPr>
            </w:pPr>
            <w:r>
              <w:rPr>
                <w:rFonts w:asciiTheme="minorEastAsia" w:eastAsiaTheme="minorEastAsia" w:hAnsiTheme="minorEastAsia" w:cs="方正仿宋简体" w:hint="eastAsia"/>
                <w:color w:val="000000" w:themeColor="text1"/>
                <w:kern w:val="0"/>
                <w:sz w:val="24"/>
              </w:rPr>
              <w:t>3</w:t>
            </w:r>
            <w:r>
              <w:rPr>
                <w:rFonts w:asciiTheme="minorEastAsia" w:eastAsiaTheme="minorEastAsia" w:hAnsiTheme="minorEastAsia" w:cs="方正仿宋简体"/>
                <w:color w:val="000000" w:themeColor="text1"/>
                <w:kern w:val="0"/>
                <w:sz w:val="24"/>
              </w:rPr>
              <w:t>.</w:t>
            </w:r>
            <w:r>
              <w:rPr>
                <w:rFonts w:asciiTheme="minorEastAsia" w:eastAsiaTheme="minorEastAsia" w:hAnsiTheme="minorEastAsia" w:cs="宋体" w:hint="eastAsia"/>
                <w:color w:val="000000" w:themeColor="text1"/>
                <w:kern w:val="0"/>
                <w:sz w:val="24"/>
              </w:rPr>
              <w:t>期末基金资产净值</w:t>
            </w:r>
          </w:p>
        </w:tc>
        <w:tc>
          <w:tcPr>
            <w:tcW w:w="1701" w:type="dxa"/>
            <w:vAlign w:val="center"/>
          </w:tcPr>
          <w:p w14:paraId="2B473CC8" w14:textId="77777777" w:rsidR="00DA315C" w:rsidRDefault="00CC2E83"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4,909,979,288.52</w:t>
            </w:r>
          </w:p>
        </w:tc>
        <w:tc>
          <w:tcPr>
            <w:tcW w:w="1701" w:type="dxa"/>
            <w:vAlign w:val="center"/>
          </w:tcPr>
          <w:p w14:paraId="66F37DAD"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04" w:type="dxa"/>
            <w:vAlign w:val="center"/>
          </w:tcPr>
          <w:p w14:paraId="26293875"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4,534,078,867.12</w:t>
            </w:r>
          </w:p>
        </w:tc>
        <w:tc>
          <w:tcPr>
            <w:tcW w:w="1861" w:type="dxa"/>
            <w:vAlign w:val="center"/>
          </w:tcPr>
          <w:p w14:paraId="1667957B"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2,272,668,697.24</w:t>
            </w:r>
          </w:p>
        </w:tc>
      </w:tr>
    </w:tbl>
    <w:p w14:paraId="522D51C3" w14:textId="77777777" w:rsidR="00C83121" w:rsidRDefault="004763DD">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14:paraId="2FA67B8F" w14:textId="77777777" w:rsidR="00DA315C"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上述基金业绩指标不包括交易基金的各项费用（例如基金转换费等），计入费用后实际收益水平要低于所列数字。</w:t>
      </w:r>
    </w:p>
    <w:p w14:paraId="20DEEEFF" w14:textId="77777777" w:rsidR="00DA315C" w:rsidRDefault="00CC2E83" w:rsidP="00FC703D">
      <w:pPr>
        <w:spacing w:beforeLines="50" w:before="12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3.2 </w:t>
      </w:r>
      <w:r>
        <w:rPr>
          <w:rFonts w:asciiTheme="minorEastAsia" w:eastAsiaTheme="minorEastAsia" w:hAnsiTheme="minorEastAsia" w:cs="Arial" w:hint="eastAsia"/>
          <w:b/>
          <w:color w:val="000000" w:themeColor="text1"/>
          <w:kern w:val="0"/>
          <w:sz w:val="24"/>
        </w:rPr>
        <w:t>基金净值表现</w:t>
      </w:r>
    </w:p>
    <w:p w14:paraId="23838282" w14:textId="77777777" w:rsidR="00DA315C" w:rsidRDefault="00CC2E83" w:rsidP="00FC703D">
      <w:pPr>
        <w:spacing w:beforeLines="50" w:before="12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3.2.1 </w:t>
      </w:r>
      <w:r>
        <w:rPr>
          <w:rFonts w:asciiTheme="minorEastAsia" w:eastAsiaTheme="minorEastAsia" w:hAnsiTheme="minorEastAsia" w:cs="Arial" w:hint="eastAsia"/>
          <w:b/>
          <w:color w:val="000000" w:themeColor="text1"/>
          <w:kern w:val="0"/>
          <w:sz w:val="24"/>
        </w:rPr>
        <w:t>基金份额净值收益率及其与同期业绩比较基准收益率的比较</w:t>
      </w:r>
    </w:p>
    <w:p w14:paraId="07326EDA" w14:textId="77777777" w:rsidR="00DA315C" w:rsidRDefault="00CC2E83" w:rsidP="00FC703D">
      <w:pPr>
        <w:pStyle w:val="20"/>
        <w:spacing w:beforeLines="50" w:before="120"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lastRenderedPageBreak/>
        <w:t>1、摩根天添盈货币A类:</w:t>
      </w:r>
    </w:p>
    <w:tbl>
      <w:tblPr>
        <w:tblStyle w:val="af2"/>
        <w:tblW w:w="0" w:type="auto"/>
        <w:tblLayout w:type="fixed"/>
        <w:tblLook w:val="04A0" w:firstRow="1" w:lastRow="0" w:firstColumn="1" w:lastColumn="0" w:noHBand="0" w:noVBand="1"/>
      </w:tblPr>
      <w:tblGrid>
        <w:gridCol w:w="1328"/>
        <w:gridCol w:w="1329"/>
        <w:gridCol w:w="1329"/>
        <w:gridCol w:w="1329"/>
        <w:gridCol w:w="1329"/>
        <w:gridCol w:w="1329"/>
        <w:gridCol w:w="1329"/>
      </w:tblGrid>
      <w:tr w:rsidR="00DA315C" w14:paraId="7D6C190C" w14:textId="77777777">
        <w:tc>
          <w:tcPr>
            <w:tcW w:w="1328" w:type="dxa"/>
            <w:vAlign w:val="center"/>
          </w:tcPr>
          <w:p w14:paraId="34D34875"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阶段</w:t>
            </w:r>
          </w:p>
        </w:tc>
        <w:tc>
          <w:tcPr>
            <w:tcW w:w="1329" w:type="dxa"/>
            <w:vAlign w:val="center"/>
          </w:tcPr>
          <w:p w14:paraId="288F913D"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净值收益率①</w:t>
            </w:r>
          </w:p>
        </w:tc>
        <w:tc>
          <w:tcPr>
            <w:tcW w:w="1329" w:type="dxa"/>
            <w:vAlign w:val="center"/>
          </w:tcPr>
          <w:p w14:paraId="26C397BF"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净值收益率标准差②</w:t>
            </w:r>
          </w:p>
        </w:tc>
        <w:tc>
          <w:tcPr>
            <w:tcW w:w="1329" w:type="dxa"/>
            <w:vAlign w:val="center"/>
          </w:tcPr>
          <w:p w14:paraId="38A131E9"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业绩比较基准收益率③</w:t>
            </w:r>
          </w:p>
        </w:tc>
        <w:tc>
          <w:tcPr>
            <w:tcW w:w="1329" w:type="dxa"/>
            <w:vAlign w:val="center"/>
          </w:tcPr>
          <w:p w14:paraId="1B0481FA"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业绩比较基准收益率标准差④</w:t>
            </w:r>
          </w:p>
        </w:tc>
        <w:tc>
          <w:tcPr>
            <w:tcW w:w="1329" w:type="dxa"/>
            <w:vAlign w:val="center"/>
          </w:tcPr>
          <w:p w14:paraId="16FB0E7E"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①-③</w:t>
            </w:r>
          </w:p>
        </w:tc>
        <w:tc>
          <w:tcPr>
            <w:tcW w:w="1329" w:type="dxa"/>
            <w:vAlign w:val="center"/>
          </w:tcPr>
          <w:p w14:paraId="3867B3DE"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②-④</w:t>
            </w:r>
          </w:p>
        </w:tc>
      </w:tr>
      <w:tr w:rsidR="00C83121" w14:paraId="6DE7CD98" w14:textId="77777777">
        <w:tc>
          <w:tcPr>
            <w:tcW w:w="1328" w:type="dxa"/>
            <w:vAlign w:val="center"/>
          </w:tcPr>
          <w:p w14:paraId="3709D38D" w14:textId="77777777" w:rsidR="00C83121" w:rsidRDefault="004763DD">
            <w:pPr>
              <w:jc w:val="left"/>
            </w:pPr>
            <w:r>
              <w:rPr>
                <w:rFonts w:asciiTheme="minorEastAsia" w:eastAsiaTheme="minorEastAsia" w:hAnsiTheme="minorEastAsia"/>
                <w:color w:val="000000" w:themeColor="text1"/>
              </w:rPr>
              <w:t>过去三个月</w:t>
            </w:r>
          </w:p>
        </w:tc>
        <w:tc>
          <w:tcPr>
            <w:tcW w:w="1329" w:type="dxa"/>
            <w:vAlign w:val="center"/>
          </w:tcPr>
          <w:p w14:paraId="0F059B2C" w14:textId="77777777" w:rsidR="00C83121" w:rsidRDefault="004763DD">
            <w:pPr>
              <w:jc w:val="center"/>
            </w:pPr>
            <w:r>
              <w:rPr>
                <w:rFonts w:asciiTheme="minorEastAsia" w:eastAsiaTheme="minorEastAsia" w:hAnsiTheme="minorEastAsia"/>
                <w:color w:val="000000" w:themeColor="text1"/>
              </w:rPr>
              <w:t>0.3879%</w:t>
            </w:r>
          </w:p>
        </w:tc>
        <w:tc>
          <w:tcPr>
            <w:tcW w:w="1329" w:type="dxa"/>
            <w:vAlign w:val="center"/>
          </w:tcPr>
          <w:p w14:paraId="651E9D61" w14:textId="77777777" w:rsidR="00C83121" w:rsidRDefault="004763DD">
            <w:pPr>
              <w:jc w:val="center"/>
            </w:pPr>
            <w:r>
              <w:rPr>
                <w:rFonts w:asciiTheme="minorEastAsia" w:eastAsiaTheme="minorEastAsia" w:hAnsiTheme="minorEastAsia"/>
                <w:color w:val="000000" w:themeColor="text1"/>
              </w:rPr>
              <w:t>0.0024%</w:t>
            </w:r>
          </w:p>
        </w:tc>
        <w:tc>
          <w:tcPr>
            <w:tcW w:w="1329" w:type="dxa"/>
            <w:vAlign w:val="center"/>
          </w:tcPr>
          <w:p w14:paraId="62888D7E" w14:textId="77777777" w:rsidR="00C83121" w:rsidRDefault="004763DD">
            <w:pPr>
              <w:jc w:val="center"/>
            </w:pPr>
            <w:r>
              <w:rPr>
                <w:rFonts w:asciiTheme="minorEastAsia" w:eastAsiaTheme="minorEastAsia" w:hAnsiTheme="minorEastAsia"/>
                <w:color w:val="000000" w:themeColor="text1"/>
              </w:rPr>
              <w:t>0.3357%</w:t>
            </w:r>
          </w:p>
        </w:tc>
        <w:tc>
          <w:tcPr>
            <w:tcW w:w="1329" w:type="dxa"/>
            <w:vAlign w:val="center"/>
          </w:tcPr>
          <w:p w14:paraId="2BA91342" w14:textId="77777777" w:rsidR="00C83121" w:rsidRDefault="004763DD">
            <w:pPr>
              <w:jc w:val="center"/>
            </w:pPr>
            <w:r>
              <w:rPr>
                <w:rFonts w:asciiTheme="minorEastAsia" w:eastAsiaTheme="minorEastAsia" w:hAnsiTheme="minorEastAsia"/>
                <w:color w:val="000000" w:themeColor="text1"/>
              </w:rPr>
              <w:t>0.0000%</w:t>
            </w:r>
          </w:p>
        </w:tc>
        <w:tc>
          <w:tcPr>
            <w:tcW w:w="1329" w:type="dxa"/>
            <w:vAlign w:val="center"/>
          </w:tcPr>
          <w:p w14:paraId="1054A7D1" w14:textId="77777777" w:rsidR="00C83121" w:rsidRDefault="004763DD">
            <w:pPr>
              <w:jc w:val="center"/>
            </w:pPr>
            <w:r>
              <w:rPr>
                <w:rFonts w:asciiTheme="minorEastAsia" w:eastAsiaTheme="minorEastAsia" w:hAnsiTheme="minorEastAsia"/>
                <w:color w:val="000000" w:themeColor="text1"/>
              </w:rPr>
              <w:t>0.0522%</w:t>
            </w:r>
          </w:p>
        </w:tc>
        <w:tc>
          <w:tcPr>
            <w:tcW w:w="1329" w:type="dxa"/>
            <w:vAlign w:val="center"/>
          </w:tcPr>
          <w:p w14:paraId="1AB6B26D" w14:textId="77777777" w:rsidR="00C83121" w:rsidRDefault="004763DD">
            <w:pPr>
              <w:jc w:val="center"/>
            </w:pPr>
            <w:r>
              <w:rPr>
                <w:rFonts w:asciiTheme="minorEastAsia" w:eastAsiaTheme="minorEastAsia" w:hAnsiTheme="minorEastAsia"/>
                <w:color w:val="000000" w:themeColor="text1"/>
              </w:rPr>
              <w:t>0.0024%</w:t>
            </w:r>
          </w:p>
        </w:tc>
      </w:tr>
      <w:tr w:rsidR="00C83121" w14:paraId="0197DC9B" w14:textId="77777777">
        <w:tc>
          <w:tcPr>
            <w:tcW w:w="1328" w:type="dxa"/>
            <w:vAlign w:val="center"/>
          </w:tcPr>
          <w:p w14:paraId="70C743CA" w14:textId="77777777" w:rsidR="00C83121" w:rsidRDefault="004763DD">
            <w:pPr>
              <w:jc w:val="left"/>
            </w:pPr>
            <w:r>
              <w:rPr>
                <w:rFonts w:asciiTheme="minorEastAsia" w:eastAsiaTheme="minorEastAsia" w:hAnsiTheme="minorEastAsia"/>
                <w:color w:val="000000" w:themeColor="text1"/>
              </w:rPr>
              <w:t>过去六个月</w:t>
            </w:r>
          </w:p>
        </w:tc>
        <w:tc>
          <w:tcPr>
            <w:tcW w:w="1329" w:type="dxa"/>
            <w:vAlign w:val="center"/>
          </w:tcPr>
          <w:p w14:paraId="27809B17" w14:textId="77777777" w:rsidR="00C83121" w:rsidRDefault="004763DD">
            <w:pPr>
              <w:jc w:val="center"/>
            </w:pPr>
            <w:r>
              <w:rPr>
                <w:rFonts w:asciiTheme="minorEastAsia" w:eastAsiaTheme="minorEastAsia" w:hAnsiTheme="minorEastAsia"/>
                <w:color w:val="000000" w:themeColor="text1"/>
              </w:rPr>
              <w:t>0.8336%</w:t>
            </w:r>
          </w:p>
        </w:tc>
        <w:tc>
          <w:tcPr>
            <w:tcW w:w="1329" w:type="dxa"/>
            <w:vAlign w:val="center"/>
          </w:tcPr>
          <w:p w14:paraId="0BCA7AD4" w14:textId="77777777" w:rsidR="00C83121" w:rsidRDefault="004763DD">
            <w:pPr>
              <w:jc w:val="center"/>
            </w:pPr>
            <w:r>
              <w:rPr>
                <w:rFonts w:asciiTheme="minorEastAsia" w:eastAsiaTheme="minorEastAsia" w:hAnsiTheme="minorEastAsia"/>
                <w:color w:val="000000" w:themeColor="text1"/>
              </w:rPr>
              <w:t>0.0021%</w:t>
            </w:r>
          </w:p>
        </w:tc>
        <w:tc>
          <w:tcPr>
            <w:tcW w:w="1329" w:type="dxa"/>
            <w:vAlign w:val="center"/>
          </w:tcPr>
          <w:p w14:paraId="71D6D6B4" w14:textId="77777777" w:rsidR="00C83121" w:rsidRDefault="004763DD">
            <w:pPr>
              <w:jc w:val="center"/>
            </w:pPr>
            <w:r>
              <w:rPr>
                <w:rFonts w:asciiTheme="minorEastAsia" w:eastAsiaTheme="minorEastAsia" w:hAnsiTheme="minorEastAsia"/>
                <w:color w:val="000000" w:themeColor="text1"/>
              </w:rPr>
              <w:t>0.6713%</w:t>
            </w:r>
          </w:p>
        </w:tc>
        <w:tc>
          <w:tcPr>
            <w:tcW w:w="1329" w:type="dxa"/>
            <w:vAlign w:val="center"/>
          </w:tcPr>
          <w:p w14:paraId="59F7A05D" w14:textId="77777777" w:rsidR="00C83121" w:rsidRDefault="004763DD">
            <w:pPr>
              <w:jc w:val="center"/>
            </w:pPr>
            <w:r>
              <w:rPr>
                <w:rFonts w:asciiTheme="minorEastAsia" w:eastAsiaTheme="minorEastAsia" w:hAnsiTheme="minorEastAsia"/>
                <w:color w:val="000000" w:themeColor="text1"/>
              </w:rPr>
              <w:t>0.0000%</w:t>
            </w:r>
          </w:p>
        </w:tc>
        <w:tc>
          <w:tcPr>
            <w:tcW w:w="1329" w:type="dxa"/>
            <w:vAlign w:val="center"/>
          </w:tcPr>
          <w:p w14:paraId="0BCFFC0F" w14:textId="77777777" w:rsidR="00C83121" w:rsidRDefault="004763DD">
            <w:pPr>
              <w:jc w:val="center"/>
            </w:pPr>
            <w:r>
              <w:rPr>
                <w:rFonts w:asciiTheme="minorEastAsia" w:eastAsiaTheme="minorEastAsia" w:hAnsiTheme="minorEastAsia"/>
                <w:color w:val="000000" w:themeColor="text1"/>
              </w:rPr>
              <w:t>0.1623%</w:t>
            </w:r>
          </w:p>
        </w:tc>
        <w:tc>
          <w:tcPr>
            <w:tcW w:w="1329" w:type="dxa"/>
            <w:vAlign w:val="center"/>
          </w:tcPr>
          <w:p w14:paraId="450590FC" w14:textId="77777777" w:rsidR="00C83121" w:rsidRDefault="004763DD">
            <w:pPr>
              <w:jc w:val="center"/>
            </w:pPr>
            <w:r>
              <w:rPr>
                <w:rFonts w:asciiTheme="minorEastAsia" w:eastAsiaTheme="minorEastAsia" w:hAnsiTheme="minorEastAsia"/>
                <w:color w:val="000000" w:themeColor="text1"/>
              </w:rPr>
              <w:t>0.0021%</w:t>
            </w:r>
          </w:p>
        </w:tc>
      </w:tr>
      <w:tr w:rsidR="00C83121" w14:paraId="17284167" w14:textId="77777777">
        <w:tc>
          <w:tcPr>
            <w:tcW w:w="1328" w:type="dxa"/>
            <w:vAlign w:val="center"/>
          </w:tcPr>
          <w:p w14:paraId="39F6DD9B" w14:textId="77777777" w:rsidR="00C83121" w:rsidRDefault="004763DD">
            <w:pPr>
              <w:jc w:val="left"/>
            </w:pPr>
            <w:r>
              <w:rPr>
                <w:rFonts w:asciiTheme="minorEastAsia" w:eastAsiaTheme="minorEastAsia" w:hAnsiTheme="minorEastAsia"/>
                <w:color w:val="000000" w:themeColor="text1"/>
              </w:rPr>
              <w:t>过去一年</w:t>
            </w:r>
          </w:p>
        </w:tc>
        <w:tc>
          <w:tcPr>
            <w:tcW w:w="1329" w:type="dxa"/>
            <w:vAlign w:val="center"/>
          </w:tcPr>
          <w:p w14:paraId="4EA05F19" w14:textId="77777777" w:rsidR="00C83121" w:rsidRDefault="004763DD">
            <w:pPr>
              <w:jc w:val="center"/>
            </w:pPr>
            <w:r>
              <w:rPr>
                <w:rFonts w:asciiTheme="minorEastAsia" w:eastAsiaTheme="minorEastAsia" w:hAnsiTheme="minorEastAsia"/>
                <w:color w:val="000000" w:themeColor="text1"/>
              </w:rPr>
              <w:t>1.7298%</w:t>
            </w:r>
          </w:p>
        </w:tc>
        <w:tc>
          <w:tcPr>
            <w:tcW w:w="1329" w:type="dxa"/>
            <w:vAlign w:val="center"/>
          </w:tcPr>
          <w:p w14:paraId="796D1493" w14:textId="77777777" w:rsidR="00C83121" w:rsidRDefault="004763DD">
            <w:pPr>
              <w:jc w:val="center"/>
            </w:pPr>
            <w:r>
              <w:rPr>
                <w:rFonts w:asciiTheme="minorEastAsia" w:eastAsiaTheme="minorEastAsia" w:hAnsiTheme="minorEastAsia"/>
                <w:color w:val="000000" w:themeColor="text1"/>
              </w:rPr>
              <w:t>0.0015%</w:t>
            </w:r>
          </w:p>
        </w:tc>
        <w:tc>
          <w:tcPr>
            <w:tcW w:w="1329" w:type="dxa"/>
            <w:vAlign w:val="center"/>
          </w:tcPr>
          <w:p w14:paraId="68BB4B14" w14:textId="77777777" w:rsidR="00C83121" w:rsidRDefault="004763DD">
            <w:pPr>
              <w:jc w:val="center"/>
            </w:pPr>
            <w:r>
              <w:rPr>
                <w:rFonts w:asciiTheme="minorEastAsia" w:eastAsiaTheme="minorEastAsia" w:hAnsiTheme="minorEastAsia"/>
                <w:color w:val="000000" w:themeColor="text1"/>
              </w:rPr>
              <w:t>1.3519%</w:t>
            </w:r>
          </w:p>
        </w:tc>
        <w:tc>
          <w:tcPr>
            <w:tcW w:w="1329" w:type="dxa"/>
            <w:vAlign w:val="center"/>
          </w:tcPr>
          <w:p w14:paraId="743C2BE2" w14:textId="77777777" w:rsidR="00C83121" w:rsidRDefault="004763DD">
            <w:pPr>
              <w:jc w:val="center"/>
            </w:pPr>
            <w:r>
              <w:rPr>
                <w:rFonts w:asciiTheme="minorEastAsia" w:eastAsiaTheme="minorEastAsia" w:hAnsiTheme="minorEastAsia"/>
                <w:color w:val="000000" w:themeColor="text1"/>
              </w:rPr>
              <w:t>0.0000%</w:t>
            </w:r>
          </w:p>
        </w:tc>
        <w:tc>
          <w:tcPr>
            <w:tcW w:w="1329" w:type="dxa"/>
            <w:vAlign w:val="center"/>
          </w:tcPr>
          <w:p w14:paraId="436C7357" w14:textId="77777777" w:rsidR="00C83121" w:rsidRDefault="004763DD">
            <w:pPr>
              <w:jc w:val="center"/>
            </w:pPr>
            <w:r>
              <w:rPr>
                <w:rFonts w:asciiTheme="minorEastAsia" w:eastAsiaTheme="minorEastAsia" w:hAnsiTheme="minorEastAsia"/>
                <w:color w:val="000000" w:themeColor="text1"/>
              </w:rPr>
              <w:t>0.3779%</w:t>
            </w:r>
          </w:p>
        </w:tc>
        <w:tc>
          <w:tcPr>
            <w:tcW w:w="1329" w:type="dxa"/>
            <w:vAlign w:val="center"/>
          </w:tcPr>
          <w:p w14:paraId="32919C5C" w14:textId="77777777" w:rsidR="00C83121" w:rsidRDefault="004763DD">
            <w:pPr>
              <w:jc w:val="center"/>
            </w:pPr>
            <w:r>
              <w:rPr>
                <w:rFonts w:asciiTheme="minorEastAsia" w:eastAsiaTheme="minorEastAsia" w:hAnsiTheme="minorEastAsia"/>
                <w:color w:val="000000" w:themeColor="text1"/>
              </w:rPr>
              <w:t>0.0015%</w:t>
            </w:r>
          </w:p>
        </w:tc>
      </w:tr>
      <w:tr w:rsidR="00C83121" w14:paraId="116E14F7" w14:textId="77777777">
        <w:tc>
          <w:tcPr>
            <w:tcW w:w="1328" w:type="dxa"/>
            <w:vAlign w:val="center"/>
          </w:tcPr>
          <w:p w14:paraId="7E61C6EF" w14:textId="77777777" w:rsidR="00C83121" w:rsidRDefault="004763DD">
            <w:pPr>
              <w:jc w:val="left"/>
            </w:pPr>
            <w:r>
              <w:rPr>
                <w:rFonts w:asciiTheme="minorEastAsia" w:eastAsiaTheme="minorEastAsia" w:hAnsiTheme="minorEastAsia"/>
                <w:color w:val="000000" w:themeColor="text1"/>
              </w:rPr>
              <w:t>过去三年</w:t>
            </w:r>
          </w:p>
        </w:tc>
        <w:tc>
          <w:tcPr>
            <w:tcW w:w="1329" w:type="dxa"/>
            <w:vAlign w:val="center"/>
          </w:tcPr>
          <w:p w14:paraId="0819B9B6" w14:textId="77777777" w:rsidR="00C83121" w:rsidRDefault="004763DD">
            <w:pPr>
              <w:jc w:val="center"/>
            </w:pPr>
            <w:r>
              <w:rPr>
                <w:rFonts w:asciiTheme="minorEastAsia" w:eastAsiaTheme="minorEastAsia" w:hAnsiTheme="minorEastAsia"/>
                <w:color w:val="000000" w:themeColor="text1"/>
              </w:rPr>
              <w:t>5.4250%</w:t>
            </w:r>
          </w:p>
        </w:tc>
        <w:tc>
          <w:tcPr>
            <w:tcW w:w="1329" w:type="dxa"/>
            <w:vAlign w:val="center"/>
          </w:tcPr>
          <w:p w14:paraId="5DF62A65" w14:textId="77777777" w:rsidR="00C83121" w:rsidRDefault="004763DD">
            <w:pPr>
              <w:jc w:val="center"/>
            </w:pPr>
            <w:r>
              <w:rPr>
                <w:rFonts w:asciiTheme="minorEastAsia" w:eastAsiaTheme="minorEastAsia" w:hAnsiTheme="minorEastAsia"/>
                <w:color w:val="000000" w:themeColor="text1"/>
              </w:rPr>
              <w:t>0.0011%</w:t>
            </w:r>
          </w:p>
        </w:tc>
        <w:tc>
          <w:tcPr>
            <w:tcW w:w="1329" w:type="dxa"/>
            <w:vAlign w:val="center"/>
          </w:tcPr>
          <w:p w14:paraId="47C55622" w14:textId="77777777" w:rsidR="00C83121" w:rsidRDefault="004763DD">
            <w:pPr>
              <w:jc w:val="center"/>
            </w:pPr>
            <w:r>
              <w:rPr>
                <w:rFonts w:asciiTheme="minorEastAsia" w:eastAsiaTheme="minorEastAsia" w:hAnsiTheme="minorEastAsia"/>
                <w:color w:val="000000" w:themeColor="text1"/>
              </w:rPr>
              <w:t>4.0519%</w:t>
            </w:r>
          </w:p>
        </w:tc>
        <w:tc>
          <w:tcPr>
            <w:tcW w:w="1329" w:type="dxa"/>
            <w:vAlign w:val="center"/>
          </w:tcPr>
          <w:p w14:paraId="78863056" w14:textId="77777777" w:rsidR="00C83121" w:rsidRDefault="004763DD">
            <w:pPr>
              <w:jc w:val="center"/>
            </w:pPr>
            <w:r>
              <w:rPr>
                <w:rFonts w:asciiTheme="minorEastAsia" w:eastAsiaTheme="minorEastAsia" w:hAnsiTheme="minorEastAsia"/>
                <w:color w:val="000000" w:themeColor="text1"/>
              </w:rPr>
              <w:t>0.0000%</w:t>
            </w:r>
          </w:p>
        </w:tc>
        <w:tc>
          <w:tcPr>
            <w:tcW w:w="1329" w:type="dxa"/>
            <w:vAlign w:val="center"/>
          </w:tcPr>
          <w:p w14:paraId="4EF95937" w14:textId="77777777" w:rsidR="00C83121" w:rsidRDefault="004763DD">
            <w:pPr>
              <w:jc w:val="center"/>
            </w:pPr>
            <w:r>
              <w:rPr>
                <w:rFonts w:asciiTheme="minorEastAsia" w:eastAsiaTheme="minorEastAsia" w:hAnsiTheme="minorEastAsia"/>
                <w:color w:val="000000" w:themeColor="text1"/>
              </w:rPr>
              <w:t>1.3731%</w:t>
            </w:r>
          </w:p>
        </w:tc>
        <w:tc>
          <w:tcPr>
            <w:tcW w:w="1329" w:type="dxa"/>
            <w:vAlign w:val="center"/>
          </w:tcPr>
          <w:p w14:paraId="4EE06421" w14:textId="77777777" w:rsidR="00C83121" w:rsidRDefault="004763DD">
            <w:pPr>
              <w:jc w:val="center"/>
            </w:pPr>
            <w:r>
              <w:rPr>
                <w:rFonts w:asciiTheme="minorEastAsia" w:eastAsiaTheme="minorEastAsia" w:hAnsiTheme="minorEastAsia"/>
                <w:color w:val="000000" w:themeColor="text1"/>
              </w:rPr>
              <w:t>0.0011%</w:t>
            </w:r>
          </w:p>
        </w:tc>
      </w:tr>
      <w:tr w:rsidR="00C83121" w14:paraId="3F3D8011" w14:textId="77777777">
        <w:tc>
          <w:tcPr>
            <w:tcW w:w="1328" w:type="dxa"/>
            <w:vAlign w:val="center"/>
          </w:tcPr>
          <w:p w14:paraId="47270C71" w14:textId="77777777" w:rsidR="00C83121" w:rsidRDefault="004763DD">
            <w:pPr>
              <w:jc w:val="left"/>
            </w:pPr>
            <w:r>
              <w:rPr>
                <w:rFonts w:asciiTheme="minorEastAsia" w:eastAsiaTheme="minorEastAsia" w:hAnsiTheme="minorEastAsia"/>
                <w:color w:val="000000" w:themeColor="text1"/>
              </w:rPr>
              <w:t>过去五年</w:t>
            </w:r>
          </w:p>
        </w:tc>
        <w:tc>
          <w:tcPr>
            <w:tcW w:w="1329" w:type="dxa"/>
            <w:vAlign w:val="center"/>
          </w:tcPr>
          <w:p w14:paraId="4015142E" w14:textId="77777777" w:rsidR="00C83121" w:rsidRDefault="004763DD">
            <w:pPr>
              <w:jc w:val="center"/>
            </w:pPr>
            <w:r>
              <w:rPr>
                <w:rFonts w:asciiTheme="minorEastAsia" w:eastAsiaTheme="minorEastAsia" w:hAnsiTheme="minorEastAsia"/>
                <w:color w:val="000000" w:themeColor="text1"/>
              </w:rPr>
              <w:t>9.8840%</w:t>
            </w:r>
          </w:p>
        </w:tc>
        <w:tc>
          <w:tcPr>
            <w:tcW w:w="1329" w:type="dxa"/>
            <w:vAlign w:val="center"/>
          </w:tcPr>
          <w:p w14:paraId="03B40D58" w14:textId="77777777" w:rsidR="00C83121" w:rsidRDefault="004763DD">
            <w:pPr>
              <w:jc w:val="center"/>
            </w:pPr>
            <w:r>
              <w:rPr>
                <w:rFonts w:asciiTheme="minorEastAsia" w:eastAsiaTheme="minorEastAsia" w:hAnsiTheme="minorEastAsia"/>
                <w:color w:val="000000" w:themeColor="text1"/>
              </w:rPr>
              <w:t>0.0011%</w:t>
            </w:r>
          </w:p>
        </w:tc>
        <w:tc>
          <w:tcPr>
            <w:tcW w:w="1329" w:type="dxa"/>
            <w:vAlign w:val="center"/>
          </w:tcPr>
          <w:p w14:paraId="2D709A46" w14:textId="77777777" w:rsidR="00C83121" w:rsidRDefault="004763DD">
            <w:pPr>
              <w:jc w:val="center"/>
            </w:pPr>
            <w:r>
              <w:rPr>
                <w:rFonts w:asciiTheme="minorEastAsia" w:eastAsiaTheme="minorEastAsia" w:hAnsiTheme="minorEastAsia"/>
                <w:color w:val="000000" w:themeColor="text1"/>
              </w:rPr>
              <w:t>6.7556%</w:t>
            </w:r>
          </w:p>
        </w:tc>
        <w:tc>
          <w:tcPr>
            <w:tcW w:w="1329" w:type="dxa"/>
            <w:vAlign w:val="center"/>
          </w:tcPr>
          <w:p w14:paraId="53DB36D6" w14:textId="77777777" w:rsidR="00C83121" w:rsidRDefault="004763DD">
            <w:pPr>
              <w:jc w:val="center"/>
            </w:pPr>
            <w:r>
              <w:rPr>
                <w:rFonts w:asciiTheme="minorEastAsia" w:eastAsiaTheme="minorEastAsia" w:hAnsiTheme="minorEastAsia"/>
                <w:color w:val="000000" w:themeColor="text1"/>
              </w:rPr>
              <w:t>0.0000%</w:t>
            </w:r>
          </w:p>
        </w:tc>
        <w:tc>
          <w:tcPr>
            <w:tcW w:w="1329" w:type="dxa"/>
            <w:vAlign w:val="center"/>
          </w:tcPr>
          <w:p w14:paraId="1BD38D8E" w14:textId="77777777" w:rsidR="00C83121" w:rsidRDefault="004763DD">
            <w:pPr>
              <w:jc w:val="center"/>
            </w:pPr>
            <w:r>
              <w:rPr>
                <w:rFonts w:asciiTheme="minorEastAsia" w:eastAsiaTheme="minorEastAsia" w:hAnsiTheme="minorEastAsia"/>
                <w:color w:val="000000" w:themeColor="text1"/>
              </w:rPr>
              <w:t>3.1284%</w:t>
            </w:r>
          </w:p>
        </w:tc>
        <w:tc>
          <w:tcPr>
            <w:tcW w:w="1329" w:type="dxa"/>
            <w:vAlign w:val="center"/>
          </w:tcPr>
          <w:p w14:paraId="1DEA43F3" w14:textId="77777777" w:rsidR="00C83121" w:rsidRDefault="004763DD">
            <w:pPr>
              <w:jc w:val="center"/>
            </w:pPr>
            <w:r>
              <w:rPr>
                <w:rFonts w:asciiTheme="minorEastAsia" w:eastAsiaTheme="minorEastAsia" w:hAnsiTheme="minorEastAsia"/>
                <w:color w:val="000000" w:themeColor="text1"/>
              </w:rPr>
              <w:t>0.0011%</w:t>
            </w:r>
          </w:p>
        </w:tc>
      </w:tr>
      <w:tr w:rsidR="00C83121" w14:paraId="515EFF2A" w14:textId="77777777">
        <w:tc>
          <w:tcPr>
            <w:tcW w:w="1328" w:type="dxa"/>
            <w:vAlign w:val="center"/>
          </w:tcPr>
          <w:p w14:paraId="3566EE42" w14:textId="77777777" w:rsidR="00C83121" w:rsidRDefault="004763DD">
            <w:pPr>
              <w:jc w:val="left"/>
            </w:pPr>
            <w:r>
              <w:rPr>
                <w:rFonts w:asciiTheme="minorEastAsia" w:eastAsiaTheme="minorEastAsia" w:hAnsiTheme="minorEastAsia"/>
                <w:color w:val="000000" w:themeColor="text1"/>
              </w:rPr>
              <w:t>自基金合同生效起至今</w:t>
            </w:r>
          </w:p>
        </w:tc>
        <w:tc>
          <w:tcPr>
            <w:tcW w:w="1329" w:type="dxa"/>
            <w:vAlign w:val="center"/>
          </w:tcPr>
          <w:p w14:paraId="48CF2AE6" w14:textId="77777777" w:rsidR="00C83121" w:rsidRDefault="004763DD">
            <w:pPr>
              <w:jc w:val="center"/>
            </w:pPr>
            <w:r>
              <w:rPr>
                <w:rFonts w:asciiTheme="minorEastAsia" w:eastAsiaTheme="minorEastAsia" w:hAnsiTheme="minorEastAsia"/>
                <w:color w:val="000000" w:themeColor="text1"/>
              </w:rPr>
              <w:t>24.9207%</w:t>
            </w:r>
          </w:p>
        </w:tc>
        <w:tc>
          <w:tcPr>
            <w:tcW w:w="1329" w:type="dxa"/>
            <w:vAlign w:val="center"/>
          </w:tcPr>
          <w:p w14:paraId="4EAD99FD" w14:textId="77777777" w:rsidR="00C83121" w:rsidRDefault="004763DD">
            <w:pPr>
              <w:jc w:val="center"/>
            </w:pPr>
            <w:r>
              <w:rPr>
                <w:rFonts w:asciiTheme="minorEastAsia" w:eastAsiaTheme="minorEastAsia" w:hAnsiTheme="minorEastAsia"/>
                <w:color w:val="000000" w:themeColor="text1"/>
              </w:rPr>
              <w:t>0.0023%</w:t>
            </w:r>
          </w:p>
        </w:tc>
        <w:tc>
          <w:tcPr>
            <w:tcW w:w="1329" w:type="dxa"/>
            <w:vAlign w:val="center"/>
          </w:tcPr>
          <w:p w14:paraId="74F94FFB" w14:textId="77777777" w:rsidR="00C83121" w:rsidRDefault="004763DD">
            <w:pPr>
              <w:jc w:val="center"/>
            </w:pPr>
            <w:r>
              <w:rPr>
                <w:rFonts w:asciiTheme="minorEastAsia" w:eastAsiaTheme="minorEastAsia" w:hAnsiTheme="minorEastAsia"/>
                <w:color w:val="000000" w:themeColor="text1"/>
              </w:rPr>
              <w:t>12.9656%</w:t>
            </w:r>
          </w:p>
        </w:tc>
        <w:tc>
          <w:tcPr>
            <w:tcW w:w="1329" w:type="dxa"/>
            <w:vAlign w:val="center"/>
          </w:tcPr>
          <w:p w14:paraId="1B7E3E8E" w14:textId="77777777" w:rsidR="00C83121" w:rsidRDefault="004763DD">
            <w:pPr>
              <w:jc w:val="center"/>
            </w:pPr>
            <w:r>
              <w:rPr>
                <w:rFonts w:asciiTheme="minorEastAsia" w:eastAsiaTheme="minorEastAsia" w:hAnsiTheme="minorEastAsia"/>
                <w:color w:val="000000" w:themeColor="text1"/>
              </w:rPr>
              <w:t>0.0000%</w:t>
            </w:r>
          </w:p>
        </w:tc>
        <w:tc>
          <w:tcPr>
            <w:tcW w:w="1329" w:type="dxa"/>
            <w:vAlign w:val="center"/>
          </w:tcPr>
          <w:p w14:paraId="5532967D" w14:textId="77777777" w:rsidR="00C83121" w:rsidRDefault="004763DD">
            <w:pPr>
              <w:jc w:val="center"/>
            </w:pPr>
            <w:r>
              <w:rPr>
                <w:rFonts w:asciiTheme="minorEastAsia" w:eastAsiaTheme="minorEastAsia" w:hAnsiTheme="minorEastAsia"/>
                <w:color w:val="000000" w:themeColor="text1"/>
              </w:rPr>
              <w:t>11.9551%</w:t>
            </w:r>
          </w:p>
        </w:tc>
        <w:tc>
          <w:tcPr>
            <w:tcW w:w="1329" w:type="dxa"/>
            <w:vAlign w:val="center"/>
          </w:tcPr>
          <w:p w14:paraId="10C42F80" w14:textId="77777777" w:rsidR="00C83121" w:rsidRDefault="004763DD">
            <w:pPr>
              <w:jc w:val="center"/>
            </w:pPr>
            <w:r>
              <w:rPr>
                <w:rFonts w:asciiTheme="minorEastAsia" w:eastAsiaTheme="minorEastAsia" w:hAnsiTheme="minorEastAsia"/>
                <w:color w:val="000000" w:themeColor="text1"/>
              </w:rPr>
              <w:t>0.0023%</w:t>
            </w:r>
          </w:p>
        </w:tc>
      </w:tr>
    </w:tbl>
    <w:p w14:paraId="446FDAE7" w14:textId="77777777" w:rsidR="00DA315C" w:rsidRDefault="00CC2E83" w:rsidP="00FC703D">
      <w:pPr>
        <w:pStyle w:val="20"/>
        <w:spacing w:beforeLines="50" w:before="120"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2、</w:t>
      </w:r>
      <w:r w:rsidR="00050540">
        <w:rPr>
          <w:rFonts w:asciiTheme="minorEastAsia" w:eastAsiaTheme="minorEastAsia" w:hAnsiTheme="minorEastAsia" w:hint="eastAsia"/>
          <w:b/>
          <w:color w:val="000000" w:themeColor="text1"/>
        </w:rPr>
        <w:t>摩根天添盈货币B类</w:t>
      </w:r>
      <w:r>
        <w:rPr>
          <w:rFonts w:asciiTheme="minorEastAsia" w:eastAsiaTheme="minorEastAsia" w:hAnsiTheme="minorEastAsia" w:hint="eastAsia"/>
          <w:b/>
          <w:color w:val="000000" w:themeColor="text1"/>
        </w:rPr>
        <w:t>：</w:t>
      </w:r>
    </w:p>
    <w:p w14:paraId="122DB84C" w14:textId="77777777" w:rsidR="00DA315C" w:rsidRDefault="00050540"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自2018年6月22日起，本基金B类基金份额为零且停止计算B类基金份额每万份收益。</w:t>
      </w:r>
    </w:p>
    <w:p w14:paraId="7F03F00E" w14:textId="77777777" w:rsidR="00DA315C" w:rsidRDefault="00CC2E83" w:rsidP="00FC703D">
      <w:pPr>
        <w:pStyle w:val="20"/>
        <w:spacing w:beforeLines="50" w:before="120"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3、</w:t>
      </w:r>
      <w:r w:rsidR="00050540">
        <w:rPr>
          <w:rFonts w:asciiTheme="minorEastAsia" w:eastAsiaTheme="minorEastAsia" w:hAnsiTheme="minorEastAsia" w:hint="eastAsia"/>
          <w:b/>
          <w:color w:val="000000" w:themeColor="text1"/>
        </w:rPr>
        <w:t>摩根天添盈货币E类</w:t>
      </w:r>
      <w:r>
        <w:rPr>
          <w:rFonts w:asciiTheme="minorEastAsia" w:eastAsiaTheme="minorEastAsia" w:hAnsiTheme="minorEastAsia" w:hint="eastAsia"/>
          <w:b/>
          <w:color w:val="000000" w:themeColor="text1"/>
        </w:rPr>
        <w:t>：</w:t>
      </w:r>
    </w:p>
    <w:tbl>
      <w:tblPr>
        <w:tblStyle w:val="af2"/>
        <w:tblW w:w="0" w:type="auto"/>
        <w:tblLayout w:type="fixed"/>
        <w:tblLook w:val="04A0" w:firstRow="1" w:lastRow="0" w:firstColumn="1" w:lastColumn="0" w:noHBand="0" w:noVBand="1"/>
      </w:tblPr>
      <w:tblGrid>
        <w:gridCol w:w="1328"/>
        <w:gridCol w:w="1329"/>
        <w:gridCol w:w="1329"/>
        <w:gridCol w:w="1329"/>
        <w:gridCol w:w="1329"/>
        <w:gridCol w:w="1329"/>
        <w:gridCol w:w="1329"/>
      </w:tblGrid>
      <w:tr w:rsidR="00DA315C" w14:paraId="21B11CCA" w14:textId="77777777">
        <w:tc>
          <w:tcPr>
            <w:tcW w:w="1328" w:type="dxa"/>
            <w:vAlign w:val="center"/>
          </w:tcPr>
          <w:p w14:paraId="551D4EFB"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阶段</w:t>
            </w:r>
          </w:p>
        </w:tc>
        <w:tc>
          <w:tcPr>
            <w:tcW w:w="1329" w:type="dxa"/>
            <w:vAlign w:val="center"/>
          </w:tcPr>
          <w:p w14:paraId="606BE3CD"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净值收益率①</w:t>
            </w:r>
          </w:p>
        </w:tc>
        <w:tc>
          <w:tcPr>
            <w:tcW w:w="1329" w:type="dxa"/>
            <w:vAlign w:val="center"/>
          </w:tcPr>
          <w:p w14:paraId="260F098A"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净值收益率标准差②</w:t>
            </w:r>
          </w:p>
        </w:tc>
        <w:tc>
          <w:tcPr>
            <w:tcW w:w="1329" w:type="dxa"/>
            <w:vAlign w:val="center"/>
          </w:tcPr>
          <w:p w14:paraId="29EDB359"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业绩比较基准收益率③</w:t>
            </w:r>
          </w:p>
        </w:tc>
        <w:tc>
          <w:tcPr>
            <w:tcW w:w="1329" w:type="dxa"/>
            <w:vAlign w:val="center"/>
          </w:tcPr>
          <w:p w14:paraId="1F062A5C"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业绩比较基准收益率标准差④</w:t>
            </w:r>
          </w:p>
        </w:tc>
        <w:tc>
          <w:tcPr>
            <w:tcW w:w="1329" w:type="dxa"/>
            <w:vAlign w:val="center"/>
          </w:tcPr>
          <w:p w14:paraId="4A93DAC5"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①-③</w:t>
            </w:r>
          </w:p>
        </w:tc>
        <w:tc>
          <w:tcPr>
            <w:tcW w:w="1329" w:type="dxa"/>
            <w:vAlign w:val="center"/>
          </w:tcPr>
          <w:p w14:paraId="253C9F1F"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②-④</w:t>
            </w:r>
          </w:p>
        </w:tc>
      </w:tr>
      <w:tr w:rsidR="00C83121" w14:paraId="77E2CE23" w14:textId="77777777">
        <w:tc>
          <w:tcPr>
            <w:tcW w:w="1328" w:type="dxa"/>
            <w:vAlign w:val="center"/>
          </w:tcPr>
          <w:p w14:paraId="22AA3186" w14:textId="77777777" w:rsidR="00C83121" w:rsidRDefault="004763DD">
            <w:pPr>
              <w:jc w:val="left"/>
            </w:pPr>
            <w:r>
              <w:rPr>
                <w:rFonts w:asciiTheme="minorEastAsia" w:eastAsiaTheme="minorEastAsia" w:hAnsiTheme="minorEastAsia"/>
                <w:color w:val="000000" w:themeColor="text1"/>
              </w:rPr>
              <w:t>过去三个月</w:t>
            </w:r>
          </w:p>
        </w:tc>
        <w:tc>
          <w:tcPr>
            <w:tcW w:w="1329" w:type="dxa"/>
            <w:vAlign w:val="center"/>
          </w:tcPr>
          <w:p w14:paraId="763AA7BC" w14:textId="77777777" w:rsidR="00C83121" w:rsidRDefault="004763DD">
            <w:pPr>
              <w:jc w:val="center"/>
            </w:pPr>
            <w:r>
              <w:rPr>
                <w:rFonts w:asciiTheme="minorEastAsia" w:eastAsiaTheme="minorEastAsia" w:hAnsiTheme="minorEastAsia"/>
                <w:color w:val="000000" w:themeColor="text1"/>
              </w:rPr>
              <w:t>0.4478%</w:t>
            </w:r>
          </w:p>
        </w:tc>
        <w:tc>
          <w:tcPr>
            <w:tcW w:w="1329" w:type="dxa"/>
            <w:vAlign w:val="center"/>
          </w:tcPr>
          <w:p w14:paraId="4341D121" w14:textId="77777777" w:rsidR="00C83121" w:rsidRDefault="004763DD">
            <w:pPr>
              <w:jc w:val="center"/>
            </w:pPr>
            <w:r>
              <w:rPr>
                <w:rFonts w:asciiTheme="minorEastAsia" w:eastAsiaTheme="minorEastAsia" w:hAnsiTheme="minorEastAsia"/>
                <w:color w:val="000000" w:themeColor="text1"/>
              </w:rPr>
              <w:t>0.0024%</w:t>
            </w:r>
          </w:p>
        </w:tc>
        <w:tc>
          <w:tcPr>
            <w:tcW w:w="1329" w:type="dxa"/>
            <w:vAlign w:val="center"/>
          </w:tcPr>
          <w:p w14:paraId="4F00C650" w14:textId="77777777" w:rsidR="00C83121" w:rsidRDefault="004763DD">
            <w:pPr>
              <w:jc w:val="center"/>
            </w:pPr>
            <w:r>
              <w:rPr>
                <w:rFonts w:asciiTheme="minorEastAsia" w:eastAsiaTheme="minorEastAsia" w:hAnsiTheme="minorEastAsia"/>
                <w:color w:val="000000" w:themeColor="text1"/>
              </w:rPr>
              <w:t>0.3357%</w:t>
            </w:r>
          </w:p>
        </w:tc>
        <w:tc>
          <w:tcPr>
            <w:tcW w:w="1329" w:type="dxa"/>
            <w:vAlign w:val="center"/>
          </w:tcPr>
          <w:p w14:paraId="6BC4D768" w14:textId="77777777" w:rsidR="00C83121" w:rsidRDefault="004763DD">
            <w:pPr>
              <w:jc w:val="center"/>
            </w:pPr>
            <w:r>
              <w:rPr>
                <w:rFonts w:asciiTheme="minorEastAsia" w:eastAsiaTheme="minorEastAsia" w:hAnsiTheme="minorEastAsia"/>
                <w:color w:val="000000" w:themeColor="text1"/>
              </w:rPr>
              <w:t>0.0000%</w:t>
            </w:r>
          </w:p>
        </w:tc>
        <w:tc>
          <w:tcPr>
            <w:tcW w:w="1329" w:type="dxa"/>
            <w:vAlign w:val="center"/>
          </w:tcPr>
          <w:p w14:paraId="7988A3A5" w14:textId="77777777" w:rsidR="00C83121" w:rsidRDefault="004763DD">
            <w:pPr>
              <w:jc w:val="center"/>
            </w:pPr>
            <w:r>
              <w:rPr>
                <w:rFonts w:asciiTheme="minorEastAsia" w:eastAsiaTheme="minorEastAsia" w:hAnsiTheme="minorEastAsia"/>
                <w:color w:val="000000" w:themeColor="text1"/>
              </w:rPr>
              <w:t>0.1121%</w:t>
            </w:r>
          </w:p>
        </w:tc>
        <w:tc>
          <w:tcPr>
            <w:tcW w:w="1329" w:type="dxa"/>
            <w:vAlign w:val="center"/>
          </w:tcPr>
          <w:p w14:paraId="09FADC51" w14:textId="77777777" w:rsidR="00C83121" w:rsidRDefault="004763DD">
            <w:pPr>
              <w:jc w:val="center"/>
            </w:pPr>
            <w:r>
              <w:rPr>
                <w:rFonts w:asciiTheme="minorEastAsia" w:eastAsiaTheme="minorEastAsia" w:hAnsiTheme="minorEastAsia"/>
                <w:color w:val="000000" w:themeColor="text1"/>
              </w:rPr>
              <w:t>0.0024%</w:t>
            </w:r>
          </w:p>
        </w:tc>
      </w:tr>
      <w:tr w:rsidR="00C83121" w14:paraId="371C740F" w14:textId="77777777">
        <w:tc>
          <w:tcPr>
            <w:tcW w:w="1328" w:type="dxa"/>
            <w:vAlign w:val="center"/>
          </w:tcPr>
          <w:p w14:paraId="530B1631" w14:textId="77777777" w:rsidR="00C83121" w:rsidRDefault="004763DD">
            <w:pPr>
              <w:jc w:val="left"/>
            </w:pPr>
            <w:r>
              <w:rPr>
                <w:rFonts w:asciiTheme="minorEastAsia" w:eastAsiaTheme="minorEastAsia" w:hAnsiTheme="minorEastAsia"/>
                <w:color w:val="000000" w:themeColor="text1"/>
              </w:rPr>
              <w:t>过去六个月</w:t>
            </w:r>
          </w:p>
        </w:tc>
        <w:tc>
          <w:tcPr>
            <w:tcW w:w="1329" w:type="dxa"/>
            <w:vAlign w:val="center"/>
          </w:tcPr>
          <w:p w14:paraId="6B5F2AD8" w14:textId="77777777" w:rsidR="00C83121" w:rsidRDefault="004763DD">
            <w:pPr>
              <w:jc w:val="center"/>
            </w:pPr>
            <w:r>
              <w:rPr>
                <w:rFonts w:asciiTheme="minorEastAsia" w:eastAsiaTheme="minorEastAsia" w:hAnsiTheme="minorEastAsia"/>
                <w:color w:val="000000" w:themeColor="text1"/>
              </w:rPr>
              <w:t>0.9540%</w:t>
            </w:r>
          </w:p>
        </w:tc>
        <w:tc>
          <w:tcPr>
            <w:tcW w:w="1329" w:type="dxa"/>
            <w:vAlign w:val="center"/>
          </w:tcPr>
          <w:p w14:paraId="3CFB8087" w14:textId="77777777" w:rsidR="00C83121" w:rsidRDefault="004763DD">
            <w:pPr>
              <w:jc w:val="center"/>
            </w:pPr>
            <w:r>
              <w:rPr>
                <w:rFonts w:asciiTheme="minorEastAsia" w:eastAsiaTheme="minorEastAsia" w:hAnsiTheme="minorEastAsia"/>
                <w:color w:val="000000" w:themeColor="text1"/>
              </w:rPr>
              <w:t>0.0021%</w:t>
            </w:r>
          </w:p>
        </w:tc>
        <w:tc>
          <w:tcPr>
            <w:tcW w:w="1329" w:type="dxa"/>
            <w:vAlign w:val="center"/>
          </w:tcPr>
          <w:p w14:paraId="177E8FCA" w14:textId="77777777" w:rsidR="00C83121" w:rsidRDefault="004763DD">
            <w:pPr>
              <w:jc w:val="center"/>
            </w:pPr>
            <w:r>
              <w:rPr>
                <w:rFonts w:asciiTheme="minorEastAsia" w:eastAsiaTheme="minorEastAsia" w:hAnsiTheme="minorEastAsia"/>
                <w:color w:val="000000" w:themeColor="text1"/>
              </w:rPr>
              <w:t>0.6713%</w:t>
            </w:r>
          </w:p>
        </w:tc>
        <w:tc>
          <w:tcPr>
            <w:tcW w:w="1329" w:type="dxa"/>
            <w:vAlign w:val="center"/>
          </w:tcPr>
          <w:p w14:paraId="6D5EFC91" w14:textId="77777777" w:rsidR="00C83121" w:rsidRDefault="004763DD">
            <w:pPr>
              <w:jc w:val="center"/>
            </w:pPr>
            <w:r>
              <w:rPr>
                <w:rFonts w:asciiTheme="minorEastAsia" w:eastAsiaTheme="minorEastAsia" w:hAnsiTheme="minorEastAsia"/>
                <w:color w:val="000000" w:themeColor="text1"/>
              </w:rPr>
              <w:t>0.0000%</w:t>
            </w:r>
          </w:p>
        </w:tc>
        <w:tc>
          <w:tcPr>
            <w:tcW w:w="1329" w:type="dxa"/>
            <w:vAlign w:val="center"/>
          </w:tcPr>
          <w:p w14:paraId="700C2BC0" w14:textId="77777777" w:rsidR="00C83121" w:rsidRDefault="004763DD">
            <w:pPr>
              <w:jc w:val="center"/>
            </w:pPr>
            <w:r>
              <w:rPr>
                <w:rFonts w:asciiTheme="minorEastAsia" w:eastAsiaTheme="minorEastAsia" w:hAnsiTheme="minorEastAsia"/>
                <w:color w:val="000000" w:themeColor="text1"/>
              </w:rPr>
              <w:t>0.2827%</w:t>
            </w:r>
          </w:p>
        </w:tc>
        <w:tc>
          <w:tcPr>
            <w:tcW w:w="1329" w:type="dxa"/>
            <w:vAlign w:val="center"/>
          </w:tcPr>
          <w:p w14:paraId="1DF7664E" w14:textId="77777777" w:rsidR="00C83121" w:rsidRDefault="004763DD">
            <w:pPr>
              <w:jc w:val="center"/>
            </w:pPr>
            <w:r>
              <w:rPr>
                <w:rFonts w:asciiTheme="minorEastAsia" w:eastAsiaTheme="minorEastAsia" w:hAnsiTheme="minorEastAsia"/>
                <w:color w:val="000000" w:themeColor="text1"/>
              </w:rPr>
              <w:t>0.0021%</w:t>
            </w:r>
          </w:p>
        </w:tc>
      </w:tr>
      <w:tr w:rsidR="00C83121" w14:paraId="2490F230" w14:textId="77777777">
        <w:tc>
          <w:tcPr>
            <w:tcW w:w="1328" w:type="dxa"/>
            <w:vAlign w:val="center"/>
          </w:tcPr>
          <w:p w14:paraId="599D465A" w14:textId="77777777" w:rsidR="00C83121" w:rsidRDefault="004763DD">
            <w:pPr>
              <w:jc w:val="left"/>
            </w:pPr>
            <w:r>
              <w:rPr>
                <w:rFonts w:asciiTheme="minorEastAsia" w:eastAsiaTheme="minorEastAsia" w:hAnsiTheme="minorEastAsia"/>
                <w:color w:val="000000" w:themeColor="text1"/>
              </w:rPr>
              <w:t>过去一年</w:t>
            </w:r>
          </w:p>
        </w:tc>
        <w:tc>
          <w:tcPr>
            <w:tcW w:w="1329" w:type="dxa"/>
            <w:vAlign w:val="center"/>
          </w:tcPr>
          <w:p w14:paraId="01A0E1E9" w14:textId="77777777" w:rsidR="00C83121" w:rsidRDefault="004763DD">
            <w:pPr>
              <w:jc w:val="center"/>
            </w:pPr>
            <w:r>
              <w:rPr>
                <w:rFonts w:asciiTheme="minorEastAsia" w:eastAsiaTheme="minorEastAsia" w:hAnsiTheme="minorEastAsia"/>
                <w:color w:val="000000" w:themeColor="text1"/>
              </w:rPr>
              <w:t>1.9746%</w:t>
            </w:r>
          </w:p>
        </w:tc>
        <w:tc>
          <w:tcPr>
            <w:tcW w:w="1329" w:type="dxa"/>
            <w:vAlign w:val="center"/>
          </w:tcPr>
          <w:p w14:paraId="14075AC0" w14:textId="77777777" w:rsidR="00C83121" w:rsidRDefault="004763DD">
            <w:pPr>
              <w:jc w:val="center"/>
            </w:pPr>
            <w:r>
              <w:rPr>
                <w:rFonts w:asciiTheme="minorEastAsia" w:eastAsiaTheme="minorEastAsia" w:hAnsiTheme="minorEastAsia"/>
                <w:color w:val="000000" w:themeColor="text1"/>
              </w:rPr>
              <w:t>0.0015%</w:t>
            </w:r>
          </w:p>
        </w:tc>
        <w:tc>
          <w:tcPr>
            <w:tcW w:w="1329" w:type="dxa"/>
            <w:vAlign w:val="center"/>
          </w:tcPr>
          <w:p w14:paraId="79312694" w14:textId="77777777" w:rsidR="00C83121" w:rsidRDefault="004763DD">
            <w:pPr>
              <w:jc w:val="center"/>
            </w:pPr>
            <w:r>
              <w:rPr>
                <w:rFonts w:asciiTheme="minorEastAsia" w:eastAsiaTheme="minorEastAsia" w:hAnsiTheme="minorEastAsia"/>
                <w:color w:val="000000" w:themeColor="text1"/>
              </w:rPr>
              <w:t>1.3519%</w:t>
            </w:r>
          </w:p>
        </w:tc>
        <w:tc>
          <w:tcPr>
            <w:tcW w:w="1329" w:type="dxa"/>
            <w:vAlign w:val="center"/>
          </w:tcPr>
          <w:p w14:paraId="6DA1F542" w14:textId="77777777" w:rsidR="00C83121" w:rsidRDefault="004763DD">
            <w:pPr>
              <w:jc w:val="center"/>
            </w:pPr>
            <w:r>
              <w:rPr>
                <w:rFonts w:asciiTheme="minorEastAsia" w:eastAsiaTheme="minorEastAsia" w:hAnsiTheme="minorEastAsia"/>
                <w:color w:val="000000" w:themeColor="text1"/>
              </w:rPr>
              <w:t>0.0000%</w:t>
            </w:r>
          </w:p>
        </w:tc>
        <w:tc>
          <w:tcPr>
            <w:tcW w:w="1329" w:type="dxa"/>
            <w:vAlign w:val="center"/>
          </w:tcPr>
          <w:p w14:paraId="794AE660" w14:textId="77777777" w:rsidR="00C83121" w:rsidRDefault="004763DD">
            <w:pPr>
              <w:jc w:val="center"/>
            </w:pPr>
            <w:r>
              <w:rPr>
                <w:rFonts w:asciiTheme="minorEastAsia" w:eastAsiaTheme="minorEastAsia" w:hAnsiTheme="minorEastAsia"/>
                <w:color w:val="000000" w:themeColor="text1"/>
              </w:rPr>
              <w:t>0.6227%</w:t>
            </w:r>
          </w:p>
        </w:tc>
        <w:tc>
          <w:tcPr>
            <w:tcW w:w="1329" w:type="dxa"/>
            <w:vAlign w:val="center"/>
          </w:tcPr>
          <w:p w14:paraId="4974E563" w14:textId="77777777" w:rsidR="00C83121" w:rsidRDefault="004763DD">
            <w:pPr>
              <w:jc w:val="center"/>
            </w:pPr>
            <w:r>
              <w:rPr>
                <w:rFonts w:asciiTheme="minorEastAsia" w:eastAsiaTheme="minorEastAsia" w:hAnsiTheme="minorEastAsia"/>
                <w:color w:val="000000" w:themeColor="text1"/>
              </w:rPr>
              <w:t>0.0015%</w:t>
            </w:r>
          </w:p>
        </w:tc>
      </w:tr>
      <w:tr w:rsidR="00C83121" w14:paraId="58A43713" w14:textId="77777777">
        <w:tc>
          <w:tcPr>
            <w:tcW w:w="1328" w:type="dxa"/>
            <w:vAlign w:val="center"/>
          </w:tcPr>
          <w:p w14:paraId="67A7F281" w14:textId="77777777" w:rsidR="00C83121" w:rsidRDefault="004763DD">
            <w:pPr>
              <w:jc w:val="left"/>
            </w:pPr>
            <w:r>
              <w:rPr>
                <w:rFonts w:asciiTheme="minorEastAsia" w:eastAsiaTheme="minorEastAsia" w:hAnsiTheme="minorEastAsia"/>
                <w:color w:val="000000" w:themeColor="text1"/>
              </w:rPr>
              <w:t>过去三年</w:t>
            </w:r>
          </w:p>
        </w:tc>
        <w:tc>
          <w:tcPr>
            <w:tcW w:w="1329" w:type="dxa"/>
            <w:vAlign w:val="center"/>
          </w:tcPr>
          <w:p w14:paraId="310F1B40" w14:textId="77777777" w:rsidR="00C83121" w:rsidRDefault="004763DD">
            <w:pPr>
              <w:jc w:val="center"/>
            </w:pPr>
            <w:r>
              <w:rPr>
                <w:rFonts w:asciiTheme="minorEastAsia" w:eastAsiaTheme="minorEastAsia" w:hAnsiTheme="minorEastAsia"/>
                <w:color w:val="000000" w:themeColor="text1"/>
              </w:rPr>
              <w:t>6.1535%</w:t>
            </w:r>
          </w:p>
        </w:tc>
        <w:tc>
          <w:tcPr>
            <w:tcW w:w="1329" w:type="dxa"/>
            <w:vAlign w:val="center"/>
          </w:tcPr>
          <w:p w14:paraId="2B953EAB" w14:textId="77777777" w:rsidR="00C83121" w:rsidRDefault="004763DD">
            <w:pPr>
              <w:jc w:val="center"/>
            </w:pPr>
            <w:r>
              <w:rPr>
                <w:rFonts w:asciiTheme="minorEastAsia" w:eastAsiaTheme="minorEastAsia" w:hAnsiTheme="minorEastAsia"/>
                <w:color w:val="000000" w:themeColor="text1"/>
              </w:rPr>
              <w:t>0.0011%</w:t>
            </w:r>
          </w:p>
        </w:tc>
        <w:tc>
          <w:tcPr>
            <w:tcW w:w="1329" w:type="dxa"/>
            <w:vAlign w:val="center"/>
          </w:tcPr>
          <w:p w14:paraId="1791E67D" w14:textId="77777777" w:rsidR="00C83121" w:rsidRDefault="004763DD">
            <w:pPr>
              <w:jc w:val="center"/>
            </w:pPr>
            <w:r>
              <w:rPr>
                <w:rFonts w:asciiTheme="minorEastAsia" w:eastAsiaTheme="minorEastAsia" w:hAnsiTheme="minorEastAsia"/>
                <w:color w:val="000000" w:themeColor="text1"/>
              </w:rPr>
              <w:t>4.0519%</w:t>
            </w:r>
          </w:p>
        </w:tc>
        <w:tc>
          <w:tcPr>
            <w:tcW w:w="1329" w:type="dxa"/>
            <w:vAlign w:val="center"/>
          </w:tcPr>
          <w:p w14:paraId="5343FE02" w14:textId="77777777" w:rsidR="00C83121" w:rsidRDefault="004763DD">
            <w:pPr>
              <w:jc w:val="center"/>
            </w:pPr>
            <w:r>
              <w:rPr>
                <w:rFonts w:asciiTheme="minorEastAsia" w:eastAsiaTheme="minorEastAsia" w:hAnsiTheme="minorEastAsia"/>
                <w:color w:val="000000" w:themeColor="text1"/>
              </w:rPr>
              <w:t>0.0000%</w:t>
            </w:r>
          </w:p>
        </w:tc>
        <w:tc>
          <w:tcPr>
            <w:tcW w:w="1329" w:type="dxa"/>
            <w:vAlign w:val="center"/>
          </w:tcPr>
          <w:p w14:paraId="72748032" w14:textId="77777777" w:rsidR="00C83121" w:rsidRDefault="004763DD">
            <w:pPr>
              <w:jc w:val="center"/>
            </w:pPr>
            <w:r>
              <w:rPr>
                <w:rFonts w:asciiTheme="minorEastAsia" w:eastAsiaTheme="minorEastAsia" w:hAnsiTheme="minorEastAsia"/>
                <w:color w:val="000000" w:themeColor="text1"/>
              </w:rPr>
              <w:t>2.1016%</w:t>
            </w:r>
          </w:p>
        </w:tc>
        <w:tc>
          <w:tcPr>
            <w:tcW w:w="1329" w:type="dxa"/>
            <w:vAlign w:val="center"/>
          </w:tcPr>
          <w:p w14:paraId="7A66E676" w14:textId="77777777" w:rsidR="00C83121" w:rsidRDefault="004763DD">
            <w:pPr>
              <w:jc w:val="center"/>
            </w:pPr>
            <w:r>
              <w:rPr>
                <w:rFonts w:asciiTheme="minorEastAsia" w:eastAsiaTheme="minorEastAsia" w:hAnsiTheme="minorEastAsia"/>
                <w:color w:val="000000" w:themeColor="text1"/>
              </w:rPr>
              <w:t>0.0011%</w:t>
            </w:r>
          </w:p>
        </w:tc>
      </w:tr>
      <w:tr w:rsidR="00C83121" w14:paraId="582639D7" w14:textId="77777777">
        <w:tc>
          <w:tcPr>
            <w:tcW w:w="1328" w:type="dxa"/>
            <w:vAlign w:val="center"/>
          </w:tcPr>
          <w:p w14:paraId="2EE1B7A2" w14:textId="77777777" w:rsidR="00C83121" w:rsidRDefault="004763DD">
            <w:pPr>
              <w:jc w:val="left"/>
            </w:pPr>
            <w:r>
              <w:rPr>
                <w:rFonts w:asciiTheme="minorEastAsia" w:eastAsiaTheme="minorEastAsia" w:hAnsiTheme="minorEastAsia"/>
                <w:color w:val="000000" w:themeColor="text1"/>
              </w:rPr>
              <w:t>过去五年</w:t>
            </w:r>
          </w:p>
        </w:tc>
        <w:tc>
          <w:tcPr>
            <w:tcW w:w="1329" w:type="dxa"/>
            <w:vAlign w:val="center"/>
          </w:tcPr>
          <w:p w14:paraId="244E92A0" w14:textId="77777777" w:rsidR="00C83121" w:rsidRDefault="004763DD">
            <w:pPr>
              <w:jc w:val="center"/>
            </w:pPr>
            <w:r>
              <w:rPr>
                <w:rFonts w:asciiTheme="minorEastAsia" w:eastAsiaTheme="minorEastAsia" w:hAnsiTheme="minorEastAsia"/>
                <w:color w:val="000000" w:themeColor="text1"/>
              </w:rPr>
              <w:t>10.9760%</w:t>
            </w:r>
          </w:p>
        </w:tc>
        <w:tc>
          <w:tcPr>
            <w:tcW w:w="1329" w:type="dxa"/>
            <w:vAlign w:val="center"/>
          </w:tcPr>
          <w:p w14:paraId="755BD69E" w14:textId="77777777" w:rsidR="00C83121" w:rsidRDefault="004763DD">
            <w:pPr>
              <w:jc w:val="center"/>
            </w:pPr>
            <w:r>
              <w:rPr>
                <w:rFonts w:asciiTheme="minorEastAsia" w:eastAsiaTheme="minorEastAsia" w:hAnsiTheme="minorEastAsia"/>
                <w:color w:val="000000" w:themeColor="text1"/>
              </w:rPr>
              <w:t>0.0011%</w:t>
            </w:r>
          </w:p>
        </w:tc>
        <w:tc>
          <w:tcPr>
            <w:tcW w:w="1329" w:type="dxa"/>
            <w:vAlign w:val="center"/>
          </w:tcPr>
          <w:p w14:paraId="5F456B13" w14:textId="77777777" w:rsidR="00C83121" w:rsidRDefault="004763DD">
            <w:pPr>
              <w:jc w:val="center"/>
            </w:pPr>
            <w:r>
              <w:rPr>
                <w:rFonts w:asciiTheme="minorEastAsia" w:eastAsiaTheme="minorEastAsia" w:hAnsiTheme="minorEastAsia"/>
                <w:color w:val="000000" w:themeColor="text1"/>
              </w:rPr>
              <w:t>6.7556%</w:t>
            </w:r>
          </w:p>
        </w:tc>
        <w:tc>
          <w:tcPr>
            <w:tcW w:w="1329" w:type="dxa"/>
            <w:vAlign w:val="center"/>
          </w:tcPr>
          <w:p w14:paraId="0529A587" w14:textId="77777777" w:rsidR="00C83121" w:rsidRDefault="004763DD">
            <w:pPr>
              <w:jc w:val="center"/>
            </w:pPr>
            <w:r>
              <w:rPr>
                <w:rFonts w:asciiTheme="minorEastAsia" w:eastAsiaTheme="minorEastAsia" w:hAnsiTheme="minorEastAsia"/>
                <w:color w:val="000000" w:themeColor="text1"/>
              </w:rPr>
              <w:t>0.0000%</w:t>
            </w:r>
          </w:p>
        </w:tc>
        <w:tc>
          <w:tcPr>
            <w:tcW w:w="1329" w:type="dxa"/>
            <w:vAlign w:val="center"/>
          </w:tcPr>
          <w:p w14:paraId="29BFD58E" w14:textId="77777777" w:rsidR="00C83121" w:rsidRDefault="004763DD">
            <w:pPr>
              <w:jc w:val="center"/>
            </w:pPr>
            <w:r>
              <w:rPr>
                <w:rFonts w:asciiTheme="minorEastAsia" w:eastAsiaTheme="minorEastAsia" w:hAnsiTheme="minorEastAsia"/>
                <w:color w:val="000000" w:themeColor="text1"/>
              </w:rPr>
              <w:t>4.2204%</w:t>
            </w:r>
          </w:p>
        </w:tc>
        <w:tc>
          <w:tcPr>
            <w:tcW w:w="1329" w:type="dxa"/>
            <w:vAlign w:val="center"/>
          </w:tcPr>
          <w:p w14:paraId="3F707430" w14:textId="77777777" w:rsidR="00C83121" w:rsidRDefault="004763DD">
            <w:pPr>
              <w:jc w:val="center"/>
            </w:pPr>
            <w:r>
              <w:rPr>
                <w:rFonts w:asciiTheme="minorEastAsia" w:eastAsiaTheme="minorEastAsia" w:hAnsiTheme="minorEastAsia"/>
                <w:color w:val="000000" w:themeColor="text1"/>
              </w:rPr>
              <w:t>0.0011%</w:t>
            </w:r>
          </w:p>
        </w:tc>
      </w:tr>
      <w:tr w:rsidR="00C83121" w14:paraId="3E9B6494" w14:textId="77777777">
        <w:tc>
          <w:tcPr>
            <w:tcW w:w="1328" w:type="dxa"/>
            <w:vAlign w:val="center"/>
          </w:tcPr>
          <w:p w14:paraId="4D85D63B" w14:textId="77777777" w:rsidR="00C83121" w:rsidRDefault="004763DD">
            <w:pPr>
              <w:jc w:val="left"/>
            </w:pPr>
            <w:r>
              <w:rPr>
                <w:rFonts w:asciiTheme="minorEastAsia" w:eastAsiaTheme="minorEastAsia" w:hAnsiTheme="minorEastAsia"/>
                <w:color w:val="000000" w:themeColor="text1"/>
              </w:rPr>
              <w:t>自基金合同生效起至今</w:t>
            </w:r>
          </w:p>
        </w:tc>
        <w:tc>
          <w:tcPr>
            <w:tcW w:w="1329" w:type="dxa"/>
            <w:vAlign w:val="center"/>
          </w:tcPr>
          <w:p w14:paraId="22786935" w14:textId="77777777" w:rsidR="00C83121" w:rsidRDefault="004763DD">
            <w:pPr>
              <w:jc w:val="center"/>
            </w:pPr>
            <w:r>
              <w:rPr>
                <w:rFonts w:asciiTheme="minorEastAsia" w:eastAsiaTheme="minorEastAsia" w:hAnsiTheme="minorEastAsia"/>
                <w:color w:val="000000" w:themeColor="text1"/>
              </w:rPr>
              <w:t>27.0395%</w:t>
            </w:r>
          </w:p>
        </w:tc>
        <w:tc>
          <w:tcPr>
            <w:tcW w:w="1329" w:type="dxa"/>
            <w:vAlign w:val="center"/>
          </w:tcPr>
          <w:p w14:paraId="0068CC95" w14:textId="77777777" w:rsidR="00C83121" w:rsidRDefault="004763DD">
            <w:pPr>
              <w:jc w:val="center"/>
            </w:pPr>
            <w:r>
              <w:rPr>
                <w:rFonts w:asciiTheme="minorEastAsia" w:eastAsiaTheme="minorEastAsia" w:hAnsiTheme="minorEastAsia"/>
                <w:color w:val="000000" w:themeColor="text1"/>
              </w:rPr>
              <w:t>0.0023%</w:t>
            </w:r>
          </w:p>
        </w:tc>
        <w:tc>
          <w:tcPr>
            <w:tcW w:w="1329" w:type="dxa"/>
            <w:vAlign w:val="center"/>
          </w:tcPr>
          <w:p w14:paraId="4F7D17B1" w14:textId="77777777" w:rsidR="00C83121" w:rsidRDefault="004763DD">
            <w:pPr>
              <w:jc w:val="center"/>
            </w:pPr>
            <w:r>
              <w:rPr>
                <w:rFonts w:asciiTheme="minorEastAsia" w:eastAsiaTheme="minorEastAsia" w:hAnsiTheme="minorEastAsia"/>
                <w:color w:val="000000" w:themeColor="text1"/>
              </w:rPr>
              <w:t>12.9656%</w:t>
            </w:r>
          </w:p>
        </w:tc>
        <w:tc>
          <w:tcPr>
            <w:tcW w:w="1329" w:type="dxa"/>
            <w:vAlign w:val="center"/>
          </w:tcPr>
          <w:p w14:paraId="0D02B78C" w14:textId="77777777" w:rsidR="00C83121" w:rsidRDefault="004763DD">
            <w:pPr>
              <w:jc w:val="center"/>
            </w:pPr>
            <w:r>
              <w:rPr>
                <w:rFonts w:asciiTheme="minorEastAsia" w:eastAsiaTheme="minorEastAsia" w:hAnsiTheme="minorEastAsia"/>
                <w:color w:val="000000" w:themeColor="text1"/>
              </w:rPr>
              <w:t>0.0000%</w:t>
            </w:r>
          </w:p>
        </w:tc>
        <w:tc>
          <w:tcPr>
            <w:tcW w:w="1329" w:type="dxa"/>
            <w:vAlign w:val="center"/>
          </w:tcPr>
          <w:p w14:paraId="3C483A58" w14:textId="77777777" w:rsidR="00C83121" w:rsidRDefault="004763DD">
            <w:pPr>
              <w:jc w:val="center"/>
            </w:pPr>
            <w:r>
              <w:rPr>
                <w:rFonts w:asciiTheme="minorEastAsia" w:eastAsiaTheme="minorEastAsia" w:hAnsiTheme="minorEastAsia"/>
                <w:color w:val="000000" w:themeColor="text1"/>
              </w:rPr>
              <w:t>14.0739%</w:t>
            </w:r>
          </w:p>
        </w:tc>
        <w:tc>
          <w:tcPr>
            <w:tcW w:w="1329" w:type="dxa"/>
            <w:vAlign w:val="center"/>
          </w:tcPr>
          <w:p w14:paraId="39F31C8F" w14:textId="77777777" w:rsidR="00C83121" w:rsidRDefault="004763DD">
            <w:pPr>
              <w:jc w:val="center"/>
            </w:pPr>
            <w:r>
              <w:rPr>
                <w:rFonts w:asciiTheme="minorEastAsia" w:eastAsiaTheme="minorEastAsia" w:hAnsiTheme="minorEastAsia"/>
                <w:color w:val="000000" w:themeColor="text1"/>
              </w:rPr>
              <w:t>0.0023%</w:t>
            </w:r>
          </w:p>
        </w:tc>
      </w:tr>
    </w:tbl>
    <w:p w14:paraId="6A6E584E" w14:textId="77777777" w:rsidR="00DA315C" w:rsidRDefault="00CC2E83" w:rsidP="004600C4">
      <w:pPr>
        <w:pStyle w:val="20"/>
        <w:spacing w:beforeLines="50" w:before="120"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4、</w:t>
      </w:r>
      <w:r w:rsidR="00050540">
        <w:rPr>
          <w:rFonts w:asciiTheme="minorEastAsia" w:eastAsiaTheme="minorEastAsia" w:hAnsiTheme="minorEastAsia" w:hint="eastAsia"/>
          <w:b/>
          <w:color w:val="000000" w:themeColor="text1"/>
        </w:rPr>
        <w:t>摩根天添盈货币C类</w:t>
      </w:r>
      <w:r>
        <w:rPr>
          <w:rFonts w:asciiTheme="minorEastAsia" w:eastAsiaTheme="minorEastAsia" w:hAnsiTheme="minorEastAsia" w:hint="eastAsia"/>
          <w:b/>
          <w:color w:val="000000" w:themeColor="text1"/>
        </w:rPr>
        <w:t>：</w:t>
      </w:r>
    </w:p>
    <w:tbl>
      <w:tblPr>
        <w:tblStyle w:val="af2"/>
        <w:tblW w:w="0" w:type="auto"/>
        <w:tblLayout w:type="fixed"/>
        <w:tblLook w:val="04A0" w:firstRow="1" w:lastRow="0" w:firstColumn="1" w:lastColumn="0" w:noHBand="0" w:noVBand="1"/>
      </w:tblPr>
      <w:tblGrid>
        <w:gridCol w:w="1328"/>
        <w:gridCol w:w="1329"/>
        <w:gridCol w:w="1329"/>
        <w:gridCol w:w="1329"/>
        <w:gridCol w:w="1329"/>
        <w:gridCol w:w="1329"/>
        <w:gridCol w:w="1329"/>
      </w:tblGrid>
      <w:tr w:rsidR="00DA315C" w14:paraId="68A8A9CC" w14:textId="77777777">
        <w:tc>
          <w:tcPr>
            <w:tcW w:w="1328" w:type="dxa"/>
            <w:vAlign w:val="center"/>
          </w:tcPr>
          <w:p w14:paraId="263EA0AC"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阶段</w:t>
            </w:r>
          </w:p>
        </w:tc>
        <w:tc>
          <w:tcPr>
            <w:tcW w:w="1329" w:type="dxa"/>
            <w:vAlign w:val="center"/>
          </w:tcPr>
          <w:p w14:paraId="4BA6B562"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净值收益率①</w:t>
            </w:r>
          </w:p>
        </w:tc>
        <w:tc>
          <w:tcPr>
            <w:tcW w:w="1329" w:type="dxa"/>
            <w:vAlign w:val="center"/>
          </w:tcPr>
          <w:p w14:paraId="558954B4"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净值收益率标准差②</w:t>
            </w:r>
          </w:p>
        </w:tc>
        <w:tc>
          <w:tcPr>
            <w:tcW w:w="1329" w:type="dxa"/>
            <w:vAlign w:val="center"/>
          </w:tcPr>
          <w:p w14:paraId="10837102"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业绩比较基准收益率③</w:t>
            </w:r>
          </w:p>
        </w:tc>
        <w:tc>
          <w:tcPr>
            <w:tcW w:w="1329" w:type="dxa"/>
            <w:vAlign w:val="center"/>
          </w:tcPr>
          <w:p w14:paraId="1D93179F"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业绩比较基准收益率标准差④</w:t>
            </w:r>
          </w:p>
        </w:tc>
        <w:tc>
          <w:tcPr>
            <w:tcW w:w="1329" w:type="dxa"/>
            <w:vAlign w:val="center"/>
          </w:tcPr>
          <w:p w14:paraId="2EFDE396"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①-③</w:t>
            </w:r>
          </w:p>
        </w:tc>
        <w:tc>
          <w:tcPr>
            <w:tcW w:w="1329" w:type="dxa"/>
            <w:vAlign w:val="center"/>
          </w:tcPr>
          <w:p w14:paraId="5D10CD81"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②-④</w:t>
            </w:r>
          </w:p>
        </w:tc>
      </w:tr>
      <w:tr w:rsidR="00C83121" w14:paraId="51593EF7" w14:textId="77777777">
        <w:tc>
          <w:tcPr>
            <w:tcW w:w="1328" w:type="dxa"/>
            <w:vAlign w:val="center"/>
          </w:tcPr>
          <w:p w14:paraId="2986F271" w14:textId="77777777" w:rsidR="00C83121" w:rsidRDefault="004763DD">
            <w:pPr>
              <w:jc w:val="left"/>
            </w:pPr>
            <w:r>
              <w:rPr>
                <w:rFonts w:asciiTheme="minorEastAsia" w:eastAsiaTheme="minorEastAsia" w:hAnsiTheme="minorEastAsia"/>
                <w:color w:val="000000" w:themeColor="text1"/>
              </w:rPr>
              <w:t>过去三个月</w:t>
            </w:r>
          </w:p>
        </w:tc>
        <w:tc>
          <w:tcPr>
            <w:tcW w:w="1329" w:type="dxa"/>
            <w:vAlign w:val="center"/>
          </w:tcPr>
          <w:p w14:paraId="390FB224" w14:textId="77777777" w:rsidR="00C83121" w:rsidRDefault="004763DD">
            <w:pPr>
              <w:jc w:val="center"/>
            </w:pPr>
            <w:r>
              <w:rPr>
                <w:rFonts w:asciiTheme="minorEastAsia" w:eastAsiaTheme="minorEastAsia" w:hAnsiTheme="minorEastAsia"/>
                <w:color w:val="000000" w:themeColor="text1"/>
              </w:rPr>
              <w:t>0.3880%</w:t>
            </w:r>
          </w:p>
        </w:tc>
        <w:tc>
          <w:tcPr>
            <w:tcW w:w="1329" w:type="dxa"/>
            <w:vAlign w:val="center"/>
          </w:tcPr>
          <w:p w14:paraId="2A31E7CB" w14:textId="77777777" w:rsidR="00C83121" w:rsidRDefault="004763DD">
            <w:pPr>
              <w:jc w:val="center"/>
            </w:pPr>
            <w:r>
              <w:rPr>
                <w:rFonts w:asciiTheme="minorEastAsia" w:eastAsiaTheme="minorEastAsia" w:hAnsiTheme="minorEastAsia"/>
                <w:color w:val="000000" w:themeColor="text1"/>
              </w:rPr>
              <w:t>0.0024%</w:t>
            </w:r>
          </w:p>
        </w:tc>
        <w:tc>
          <w:tcPr>
            <w:tcW w:w="1329" w:type="dxa"/>
            <w:vAlign w:val="center"/>
          </w:tcPr>
          <w:p w14:paraId="579632FB" w14:textId="77777777" w:rsidR="00C83121" w:rsidRDefault="004763DD">
            <w:pPr>
              <w:jc w:val="center"/>
            </w:pPr>
            <w:r>
              <w:rPr>
                <w:rFonts w:asciiTheme="minorEastAsia" w:eastAsiaTheme="minorEastAsia" w:hAnsiTheme="minorEastAsia"/>
                <w:color w:val="000000" w:themeColor="text1"/>
              </w:rPr>
              <w:t>0.3357%</w:t>
            </w:r>
          </w:p>
        </w:tc>
        <w:tc>
          <w:tcPr>
            <w:tcW w:w="1329" w:type="dxa"/>
            <w:vAlign w:val="center"/>
          </w:tcPr>
          <w:p w14:paraId="382EB807" w14:textId="77777777" w:rsidR="00C83121" w:rsidRDefault="004763DD">
            <w:pPr>
              <w:jc w:val="center"/>
            </w:pPr>
            <w:r>
              <w:rPr>
                <w:rFonts w:asciiTheme="minorEastAsia" w:eastAsiaTheme="minorEastAsia" w:hAnsiTheme="minorEastAsia"/>
                <w:color w:val="000000" w:themeColor="text1"/>
              </w:rPr>
              <w:t>0.0000%</w:t>
            </w:r>
          </w:p>
        </w:tc>
        <w:tc>
          <w:tcPr>
            <w:tcW w:w="1329" w:type="dxa"/>
            <w:vAlign w:val="center"/>
          </w:tcPr>
          <w:p w14:paraId="7356AD25" w14:textId="77777777" w:rsidR="00C83121" w:rsidRDefault="004763DD">
            <w:pPr>
              <w:jc w:val="center"/>
            </w:pPr>
            <w:r>
              <w:rPr>
                <w:rFonts w:asciiTheme="minorEastAsia" w:eastAsiaTheme="minorEastAsia" w:hAnsiTheme="minorEastAsia"/>
                <w:color w:val="000000" w:themeColor="text1"/>
              </w:rPr>
              <w:t>0.0523%</w:t>
            </w:r>
          </w:p>
        </w:tc>
        <w:tc>
          <w:tcPr>
            <w:tcW w:w="1329" w:type="dxa"/>
            <w:vAlign w:val="center"/>
          </w:tcPr>
          <w:p w14:paraId="5F3D6504" w14:textId="77777777" w:rsidR="00C83121" w:rsidRDefault="004763DD">
            <w:pPr>
              <w:jc w:val="center"/>
            </w:pPr>
            <w:r>
              <w:rPr>
                <w:rFonts w:asciiTheme="minorEastAsia" w:eastAsiaTheme="minorEastAsia" w:hAnsiTheme="minorEastAsia"/>
                <w:color w:val="000000" w:themeColor="text1"/>
              </w:rPr>
              <w:t>0.0024%</w:t>
            </w:r>
          </w:p>
        </w:tc>
      </w:tr>
      <w:tr w:rsidR="00C83121" w14:paraId="61FC6F9E" w14:textId="77777777">
        <w:tc>
          <w:tcPr>
            <w:tcW w:w="1328" w:type="dxa"/>
            <w:vAlign w:val="center"/>
          </w:tcPr>
          <w:p w14:paraId="67D174E0" w14:textId="77777777" w:rsidR="00C83121" w:rsidRDefault="004763DD">
            <w:pPr>
              <w:jc w:val="left"/>
            </w:pPr>
            <w:r>
              <w:rPr>
                <w:rFonts w:asciiTheme="minorEastAsia" w:eastAsiaTheme="minorEastAsia" w:hAnsiTheme="minorEastAsia"/>
                <w:color w:val="000000" w:themeColor="text1"/>
              </w:rPr>
              <w:t>过去六个月</w:t>
            </w:r>
          </w:p>
        </w:tc>
        <w:tc>
          <w:tcPr>
            <w:tcW w:w="1329" w:type="dxa"/>
            <w:vAlign w:val="center"/>
          </w:tcPr>
          <w:p w14:paraId="697DABD6" w14:textId="77777777" w:rsidR="00C83121" w:rsidRDefault="004763DD">
            <w:pPr>
              <w:jc w:val="center"/>
            </w:pPr>
            <w:r>
              <w:rPr>
                <w:rFonts w:asciiTheme="minorEastAsia" w:eastAsiaTheme="minorEastAsia" w:hAnsiTheme="minorEastAsia"/>
                <w:color w:val="000000" w:themeColor="text1"/>
              </w:rPr>
              <w:t>0.8468%</w:t>
            </w:r>
          </w:p>
        </w:tc>
        <w:tc>
          <w:tcPr>
            <w:tcW w:w="1329" w:type="dxa"/>
            <w:vAlign w:val="center"/>
          </w:tcPr>
          <w:p w14:paraId="15361141" w14:textId="77777777" w:rsidR="00C83121" w:rsidRDefault="004763DD">
            <w:pPr>
              <w:jc w:val="center"/>
            </w:pPr>
            <w:r>
              <w:rPr>
                <w:rFonts w:asciiTheme="minorEastAsia" w:eastAsiaTheme="minorEastAsia" w:hAnsiTheme="minorEastAsia"/>
                <w:color w:val="000000" w:themeColor="text1"/>
              </w:rPr>
              <w:t>0.0021%</w:t>
            </w:r>
          </w:p>
        </w:tc>
        <w:tc>
          <w:tcPr>
            <w:tcW w:w="1329" w:type="dxa"/>
            <w:vAlign w:val="center"/>
          </w:tcPr>
          <w:p w14:paraId="56409C4A" w14:textId="77777777" w:rsidR="00C83121" w:rsidRDefault="004763DD">
            <w:pPr>
              <w:jc w:val="center"/>
            </w:pPr>
            <w:r>
              <w:rPr>
                <w:rFonts w:asciiTheme="minorEastAsia" w:eastAsiaTheme="minorEastAsia" w:hAnsiTheme="minorEastAsia"/>
                <w:color w:val="000000" w:themeColor="text1"/>
              </w:rPr>
              <w:t>0.6713%</w:t>
            </w:r>
          </w:p>
        </w:tc>
        <w:tc>
          <w:tcPr>
            <w:tcW w:w="1329" w:type="dxa"/>
            <w:vAlign w:val="center"/>
          </w:tcPr>
          <w:p w14:paraId="07B8AD23" w14:textId="77777777" w:rsidR="00C83121" w:rsidRDefault="004763DD">
            <w:pPr>
              <w:jc w:val="center"/>
            </w:pPr>
            <w:r>
              <w:rPr>
                <w:rFonts w:asciiTheme="minorEastAsia" w:eastAsiaTheme="minorEastAsia" w:hAnsiTheme="minorEastAsia"/>
                <w:color w:val="000000" w:themeColor="text1"/>
              </w:rPr>
              <w:t>0.0000%</w:t>
            </w:r>
          </w:p>
        </w:tc>
        <w:tc>
          <w:tcPr>
            <w:tcW w:w="1329" w:type="dxa"/>
            <w:vAlign w:val="center"/>
          </w:tcPr>
          <w:p w14:paraId="52D6BA8E" w14:textId="77777777" w:rsidR="00C83121" w:rsidRDefault="004763DD">
            <w:pPr>
              <w:jc w:val="center"/>
            </w:pPr>
            <w:r>
              <w:rPr>
                <w:rFonts w:asciiTheme="minorEastAsia" w:eastAsiaTheme="minorEastAsia" w:hAnsiTheme="minorEastAsia"/>
                <w:color w:val="000000" w:themeColor="text1"/>
              </w:rPr>
              <w:t>0.1755%</w:t>
            </w:r>
          </w:p>
        </w:tc>
        <w:tc>
          <w:tcPr>
            <w:tcW w:w="1329" w:type="dxa"/>
            <w:vAlign w:val="center"/>
          </w:tcPr>
          <w:p w14:paraId="12BFC530" w14:textId="77777777" w:rsidR="00C83121" w:rsidRDefault="004763DD">
            <w:pPr>
              <w:jc w:val="center"/>
            </w:pPr>
            <w:r>
              <w:rPr>
                <w:rFonts w:asciiTheme="minorEastAsia" w:eastAsiaTheme="minorEastAsia" w:hAnsiTheme="minorEastAsia"/>
                <w:color w:val="000000" w:themeColor="text1"/>
              </w:rPr>
              <w:t>0.0021%</w:t>
            </w:r>
          </w:p>
        </w:tc>
      </w:tr>
      <w:tr w:rsidR="00C83121" w14:paraId="672CF592" w14:textId="77777777">
        <w:tc>
          <w:tcPr>
            <w:tcW w:w="1328" w:type="dxa"/>
            <w:vAlign w:val="center"/>
          </w:tcPr>
          <w:p w14:paraId="2C52EE8B" w14:textId="77777777" w:rsidR="00C83121" w:rsidRDefault="004763DD">
            <w:pPr>
              <w:jc w:val="left"/>
            </w:pPr>
            <w:r>
              <w:rPr>
                <w:rFonts w:asciiTheme="minorEastAsia" w:eastAsiaTheme="minorEastAsia" w:hAnsiTheme="minorEastAsia"/>
                <w:color w:val="000000" w:themeColor="text1"/>
              </w:rPr>
              <w:lastRenderedPageBreak/>
              <w:t>过去一年</w:t>
            </w:r>
          </w:p>
        </w:tc>
        <w:tc>
          <w:tcPr>
            <w:tcW w:w="1329" w:type="dxa"/>
            <w:vAlign w:val="center"/>
          </w:tcPr>
          <w:p w14:paraId="049624CA" w14:textId="77777777" w:rsidR="00C83121" w:rsidRDefault="004763DD">
            <w:pPr>
              <w:jc w:val="center"/>
            </w:pPr>
            <w:r>
              <w:rPr>
                <w:rFonts w:asciiTheme="minorEastAsia" w:eastAsiaTheme="minorEastAsia" w:hAnsiTheme="minorEastAsia"/>
                <w:color w:val="000000" w:themeColor="text1"/>
              </w:rPr>
              <w:t>1.8662%</w:t>
            </w:r>
          </w:p>
        </w:tc>
        <w:tc>
          <w:tcPr>
            <w:tcW w:w="1329" w:type="dxa"/>
            <w:vAlign w:val="center"/>
          </w:tcPr>
          <w:p w14:paraId="0F0E0824" w14:textId="77777777" w:rsidR="00C83121" w:rsidRDefault="004763DD">
            <w:pPr>
              <w:jc w:val="center"/>
            </w:pPr>
            <w:r>
              <w:rPr>
                <w:rFonts w:asciiTheme="minorEastAsia" w:eastAsiaTheme="minorEastAsia" w:hAnsiTheme="minorEastAsia"/>
                <w:color w:val="000000" w:themeColor="text1"/>
              </w:rPr>
              <w:t>0.0016%</w:t>
            </w:r>
          </w:p>
        </w:tc>
        <w:tc>
          <w:tcPr>
            <w:tcW w:w="1329" w:type="dxa"/>
            <w:vAlign w:val="center"/>
          </w:tcPr>
          <w:p w14:paraId="285B0DBE" w14:textId="77777777" w:rsidR="00C83121" w:rsidRDefault="004763DD">
            <w:pPr>
              <w:jc w:val="center"/>
            </w:pPr>
            <w:r>
              <w:rPr>
                <w:rFonts w:asciiTheme="minorEastAsia" w:eastAsiaTheme="minorEastAsia" w:hAnsiTheme="minorEastAsia"/>
                <w:color w:val="000000" w:themeColor="text1"/>
              </w:rPr>
              <w:t>1.3519%</w:t>
            </w:r>
          </w:p>
        </w:tc>
        <w:tc>
          <w:tcPr>
            <w:tcW w:w="1329" w:type="dxa"/>
            <w:vAlign w:val="center"/>
          </w:tcPr>
          <w:p w14:paraId="482B027F" w14:textId="77777777" w:rsidR="00C83121" w:rsidRDefault="004763DD">
            <w:pPr>
              <w:jc w:val="center"/>
            </w:pPr>
            <w:r>
              <w:rPr>
                <w:rFonts w:asciiTheme="minorEastAsia" w:eastAsiaTheme="minorEastAsia" w:hAnsiTheme="minorEastAsia"/>
                <w:color w:val="000000" w:themeColor="text1"/>
              </w:rPr>
              <w:t>0.0000%</w:t>
            </w:r>
          </w:p>
        </w:tc>
        <w:tc>
          <w:tcPr>
            <w:tcW w:w="1329" w:type="dxa"/>
            <w:vAlign w:val="center"/>
          </w:tcPr>
          <w:p w14:paraId="350B9F20" w14:textId="77777777" w:rsidR="00C83121" w:rsidRDefault="004763DD">
            <w:pPr>
              <w:jc w:val="center"/>
            </w:pPr>
            <w:r>
              <w:rPr>
                <w:rFonts w:asciiTheme="minorEastAsia" w:eastAsiaTheme="minorEastAsia" w:hAnsiTheme="minorEastAsia"/>
                <w:color w:val="000000" w:themeColor="text1"/>
              </w:rPr>
              <w:t>0.5143%</w:t>
            </w:r>
          </w:p>
        </w:tc>
        <w:tc>
          <w:tcPr>
            <w:tcW w:w="1329" w:type="dxa"/>
            <w:vAlign w:val="center"/>
          </w:tcPr>
          <w:p w14:paraId="19E45210" w14:textId="77777777" w:rsidR="00C83121" w:rsidRDefault="004763DD">
            <w:pPr>
              <w:jc w:val="center"/>
            </w:pPr>
            <w:r>
              <w:rPr>
                <w:rFonts w:asciiTheme="minorEastAsia" w:eastAsiaTheme="minorEastAsia" w:hAnsiTheme="minorEastAsia"/>
                <w:color w:val="000000" w:themeColor="text1"/>
              </w:rPr>
              <w:t>0.0016%</w:t>
            </w:r>
          </w:p>
        </w:tc>
      </w:tr>
      <w:tr w:rsidR="00C83121" w14:paraId="64512CA2" w14:textId="77777777">
        <w:tc>
          <w:tcPr>
            <w:tcW w:w="1328" w:type="dxa"/>
            <w:vAlign w:val="center"/>
          </w:tcPr>
          <w:p w14:paraId="42D5C000" w14:textId="77777777" w:rsidR="00C83121" w:rsidRDefault="004763DD">
            <w:pPr>
              <w:jc w:val="left"/>
            </w:pPr>
            <w:r>
              <w:rPr>
                <w:rFonts w:asciiTheme="minorEastAsia" w:eastAsiaTheme="minorEastAsia" w:hAnsiTheme="minorEastAsia"/>
                <w:color w:val="000000" w:themeColor="text1"/>
              </w:rPr>
              <w:t>过去五年</w:t>
            </w:r>
          </w:p>
        </w:tc>
        <w:tc>
          <w:tcPr>
            <w:tcW w:w="1329" w:type="dxa"/>
            <w:vAlign w:val="center"/>
          </w:tcPr>
          <w:p w14:paraId="1D33914D" w14:textId="77777777" w:rsidR="00C83121" w:rsidRDefault="004763DD">
            <w:pPr>
              <w:jc w:val="center"/>
            </w:pPr>
            <w:r>
              <w:rPr>
                <w:rFonts w:asciiTheme="minorEastAsia" w:eastAsiaTheme="minorEastAsia" w:hAnsiTheme="minorEastAsia"/>
                <w:color w:val="000000" w:themeColor="text1"/>
              </w:rPr>
              <w:t>-</w:t>
            </w:r>
          </w:p>
        </w:tc>
        <w:tc>
          <w:tcPr>
            <w:tcW w:w="1329" w:type="dxa"/>
            <w:vAlign w:val="center"/>
          </w:tcPr>
          <w:p w14:paraId="5E59ED85" w14:textId="77777777" w:rsidR="00C83121" w:rsidRDefault="004763DD">
            <w:pPr>
              <w:jc w:val="center"/>
            </w:pPr>
            <w:r>
              <w:rPr>
                <w:rFonts w:asciiTheme="minorEastAsia" w:eastAsiaTheme="minorEastAsia" w:hAnsiTheme="minorEastAsia"/>
                <w:color w:val="000000" w:themeColor="text1"/>
              </w:rPr>
              <w:t>-</w:t>
            </w:r>
          </w:p>
        </w:tc>
        <w:tc>
          <w:tcPr>
            <w:tcW w:w="1329" w:type="dxa"/>
            <w:vAlign w:val="center"/>
          </w:tcPr>
          <w:p w14:paraId="3AF9EA26" w14:textId="77777777" w:rsidR="00C83121" w:rsidRDefault="004763DD">
            <w:pPr>
              <w:jc w:val="center"/>
            </w:pPr>
            <w:r>
              <w:rPr>
                <w:rFonts w:asciiTheme="minorEastAsia" w:eastAsiaTheme="minorEastAsia" w:hAnsiTheme="minorEastAsia"/>
                <w:color w:val="000000" w:themeColor="text1"/>
              </w:rPr>
              <w:t>-</w:t>
            </w:r>
          </w:p>
        </w:tc>
        <w:tc>
          <w:tcPr>
            <w:tcW w:w="1329" w:type="dxa"/>
            <w:vAlign w:val="center"/>
          </w:tcPr>
          <w:p w14:paraId="20987DB0" w14:textId="77777777" w:rsidR="00C83121" w:rsidRDefault="004763DD">
            <w:pPr>
              <w:jc w:val="center"/>
            </w:pPr>
            <w:r>
              <w:rPr>
                <w:rFonts w:asciiTheme="minorEastAsia" w:eastAsiaTheme="minorEastAsia" w:hAnsiTheme="minorEastAsia"/>
                <w:color w:val="000000" w:themeColor="text1"/>
              </w:rPr>
              <w:t>-</w:t>
            </w:r>
          </w:p>
        </w:tc>
        <w:tc>
          <w:tcPr>
            <w:tcW w:w="1329" w:type="dxa"/>
            <w:vAlign w:val="center"/>
          </w:tcPr>
          <w:p w14:paraId="151A802A" w14:textId="77777777" w:rsidR="00C83121" w:rsidRDefault="004763DD">
            <w:pPr>
              <w:jc w:val="center"/>
            </w:pPr>
            <w:r>
              <w:rPr>
                <w:rFonts w:asciiTheme="minorEastAsia" w:eastAsiaTheme="minorEastAsia" w:hAnsiTheme="minorEastAsia"/>
                <w:color w:val="000000" w:themeColor="text1"/>
              </w:rPr>
              <w:t>-</w:t>
            </w:r>
          </w:p>
        </w:tc>
        <w:tc>
          <w:tcPr>
            <w:tcW w:w="1329" w:type="dxa"/>
            <w:vAlign w:val="center"/>
          </w:tcPr>
          <w:p w14:paraId="34B379B7" w14:textId="77777777" w:rsidR="00C83121" w:rsidRDefault="004763DD">
            <w:pPr>
              <w:jc w:val="center"/>
            </w:pPr>
            <w:r>
              <w:rPr>
                <w:rFonts w:asciiTheme="minorEastAsia" w:eastAsiaTheme="minorEastAsia" w:hAnsiTheme="minorEastAsia"/>
                <w:color w:val="000000" w:themeColor="text1"/>
              </w:rPr>
              <w:t>-</w:t>
            </w:r>
          </w:p>
        </w:tc>
      </w:tr>
      <w:tr w:rsidR="00C83121" w14:paraId="74C4E20C" w14:textId="77777777">
        <w:tc>
          <w:tcPr>
            <w:tcW w:w="1328" w:type="dxa"/>
            <w:vAlign w:val="center"/>
          </w:tcPr>
          <w:p w14:paraId="192A23D0" w14:textId="77777777" w:rsidR="00C83121" w:rsidRDefault="004763DD">
            <w:pPr>
              <w:jc w:val="left"/>
            </w:pPr>
            <w:r>
              <w:rPr>
                <w:rFonts w:asciiTheme="minorEastAsia" w:eastAsiaTheme="minorEastAsia" w:hAnsiTheme="minorEastAsia"/>
                <w:color w:val="000000" w:themeColor="text1"/>
              </w:rPr>
              <w:t>过去三年</w:t>
            </w:r>
          </w:p>
        </w:tc>
        <w:tc>
          <w:tcPr>
            <w:tcW w:w="1329" w:type="dxa"/>
            <w:vAlign w:val="center"/>
          </w:tcPr>
          <w:p w14:paraId="00AC97B1" w14:textId="77777777" w:rsidR="00C83121" w:rsidRDefault="004763DD">
            <w:pPr>
              <w:jc w:val="center"/>
            </w:pPr>
            <w:r>
              <w:rPr>
                <w:rFonts w:asciiTheme="minorEastAsia" w:eastAsiaTheme="minorEastAsia" w:hAnsiTheme="minorEastAsia"/>
                <w:color w:val="000000" w:themeColor="text1"/>
              </w:rPr>
              <w:t>-</w:t>
            </w:r>
          </w:p>
        </w:tc>
        <w:tc>
          <w:tcPr>
            <w:tcW w:w="1329" w:type="dxa"/>
            <w:vAlign w:val="center"/>
          </w:tcPr>
          <w:p w14:paraId="78440C75" w14:textId="77777777" w:rsidR="00C83121" w:rsidRDefault="004763DD">
            <w:pPr>
              <w:jc w:val="center"/>
            </w:pPr>
            <w:r>
              <w:rPr>
                <w:rFonts w:asciiTheme="minorEastAsia" w:eastAsiaTheme="minorEastAsia" w:hAnsiTheme="minorEastAsia"/>
                <w:color w:val="000000" w:themeColor="text1"/>
              </w:rPr>
              <w:t>-</w:t>
            </w:r>
          </w:p>
        </w:tc>
        <w:tc>
          <w:tcPr>
            <w:tcW w:w="1329" w:type="dxa"/>
            <w:vAlign w:val="center"/>
          </w:tcPr>
          <w:p w14:paraId="659ED652" w14:textId="77777777" w:rsidR="00C83121" w:rsidRDefault="004763DD">
            <w:pPr>
              <w:jc w:val="center"/>
            </w:pPr>
            <w:r>
              <w:rPr>
                <w:rFonts w:asciiTheme="minorEastAsia" w:eastAsiaTheme="minorEastAsia" w:hAnsiTheme="minorEastAsia"/>
                <w:color w:val="000000" w:themeColor="text1"/>
              </w:rPr>
              <w:t>-</w:t>
            </w:r>
          </w:p>
        </w:tc>
        <w:tc>
          <w:tcPr>
            <w:tcW w:w="1329" w:type="dxa"/>
            <w:vAlign w:val="center"/>
          </w:tcPr>
          <w:p w14:paraId="1990E9DF" w14:textId="77777777" w:rsidR="00C83121" w:rsidRDefault="004763DD">
            <w:pPr>
              <w:jc w:val="center"/>
            </w:pPr>
            <w:r>
              <w:rPr>
                <w:rFonts w:asciiTheme="minorEastAsia" w:eastAsiaTheme="minorEastAsia" w:hAnsiTheme="minorEastAsia"/>
                <w:color w:val="000000" w:themeColor="text1"/>
              </w:rPr>
              <w:t>-</w:t>
            </w:r>
          </w:p>
        </w:tc>
        <w:tc>
          <w:tcPr>
            <w:tcW w:w="1329" w:type="dxa"/>
            <w:vAlign w:val="center"/>
          </w:tcPr>
          <w:p w14:paraId="6768E0EF" w14:textId="77777777" w:rsidR="00C83121" w:rsidRDefault="004763DD">
            <w:pPr>
              <w:jc w:val="center"/>
            </w:pPr>
            <w:r>
              <w:rPr>
                <w:rFonts w:asciiTheme="minorEastAsia" w:eastAsiaTheme="minorEastAsia" w:hAnsiTheme="minorEastAsia"/>
                <w:color w:val="000000" w:themeColor="text1"/>
              </w:rPr>
              <w:t>-</w:t>
            </w:r>
          </w:p>
        </w:tc>
        <w:tc>
          <w:tcPr>
            <w:tcW w:w="1329" w:type="dxa"/>
            <w:vAlign w:val="center"/>
          </w:tcPr>
          <w:p w14:paraId="3D8A1142" w14:textId="77777777" w:rsidR="00C83121" w:rsidRDefault="004763DD">
            <w:pPr>
              <w:jc w:val="center"/>
            </w:pPr>
            <w:r>
              <w:rPr>
                <w:rFonts w:asciiTheme="minorEastAsia" w:eastAsiaTheme="minorEastAsia" w:hAnsiTheme="minorEastAsia"/>
                <w:color w:val="000000" w:themeColor="text1"/>
              </w:rPr>
              <w:t>-</w:t>
            </w:r>
          </w:p>
        </w:tc>
      </w:tr>
      <w:tr w:rsidR="00C83121" w14:paraId="2AD85775" w14:textId="77777777">
        <w:tc>
          <w:tcPr>
            <w:tcW w:w="1328" w:type="dxa"/>
            <w:vAlign w:val="center"/>
          </w:tcPr>
          <w:p w14:paraId="4020D4BB" w14:textId="77777777" w:rsidR="00C83121" w:rsidRDefault="004763DD">
            <w:pPr>
              <w:jc w:val="left"/>
            </w:pPr>
            <w:r>
              <w:rPr>
                <w:rFonts w:asciiTheme="minorEastAsia" w:eastAsiaTheme="minorEastAsia" w:hAnsiTheme="minorEastAsia"/>
                <w:color w:val="000000" w:themeColor="text1"/>
              </w:rPr>
              <w:t>自基金合同生效起至今</w:t>
            </w:r>
          </w:p>
        </w:tc>
        <w:tc>
          <w:tcPr>
            <w:tcW w:w="1329" w:type="dxa"/>
            <w:vAlign w:val="center"/>
          </w:tcPr>
          <w:p w14:paraId="468DD2D7" w14:textId="77777777" w:rsidR="00C83121" w:rsidRDefault="004763DD">
            <w:pPr>
              <w:jc w:val="center"/>
            </w:pPr>
            <w:r>
              <w:rPr>
                <w:rFonts w:asciiTheme="minorEastAsia" w:eastAsiaTheme="minorEastAsia" w:hAnsiTheme="minorEastAsia"/>
                <w:color w:val="000000" w:themeColor="text1"/>
              </w:rPr>
              <w:t>3.2006%</w:t>
            </w:r>
          </w:p>
        </w:tc>
        <w:tc>
          <w:tcPr>
            <w:tcW w:w="1329" w:type="dxa"/>
            <w:vAlign w:val="center"/>
          </w:tcPr>
          <w:p w14:paraId="49DE51D4" w14:textId="77777777" w:rsidR="00C83121" w:rsidRDefault="004763DD">
            <w:pPr>
              <w:jc w:val="center"/>
            </w:pPr>
            <w:r>
              <w:rPr>
                <w:rFonts w:asciiTheme="minorEastAsia" w:eastAsiaTheme="minorEastAsia" w:hAnsiTheme="minorEastAsia"/>
                <w:color w:val="000000" w:themeColor="text1"/>
              </w:rPr>
              <w:t>0.0015%</w:t>
            </w:r>
          </w:p>
        </w:tc>
        <w:tc>
          <w:tcPr>
            <w:tcW w:w="1329" w:type="dxa"/>
            <w:vAlign w:val="center"/>
          </w:tcPr>
          <w:p w14:paraId="70F6160B" w14:textId="77777777" w:rsidR="00C83121" w:rsidRDefault="004763DD">
            <w:pPr>
              <w:jc w:val="center"/>
            </w:pPr>
            <w:r>
              <w:rPr>
                <w:rFonts w:asciiTheme="minorEastAsia" w:eastAsiaTheme="minorEastAsia" w:hAnsiTheme="minorEastAsia"/>
                <w:color w:val="000000" w:themeColor="text1"/>
              </w:rPr>
              <w:t>2.2617%</w:t>
            </w:r>
          </w:p>
        </w:tc>
        <w:tc>
          <w:tcPr>
            <w:tcW w:w="1329" w:type="dxa"/>
            <w:vAlign w:val="center"/>
          </w:tcPr>
          <w:p w14:paraId="2BB890A5" w14:textId="77777777" w:rsidR="00C83121" w:rsidRDefault="004763DD">
            <w:pPr>
              <w:jc w:val="center"/>
            </w:pPr>
            <w:r>
              <w:rPr>
                <w:rFonts w:asciiTheme="minorEastAsia" w:eastAsiaTheme="minorEastAsia" w:hAnsiTheme="minorEastAsia"/>
                <w:color w:val="000000" w:themeColor="text1"/>
              </w:rPr>
              <w:t>0.0000%</w:t>
            </w:r>
          </w:p>
        </w:tc>
        <w:tc>
          <w:tcPr>
            <w:tcW w:w="1329" w:type="dxa"/>
            <w:vAlign w:val="center"/>
          </w:tcPr>
          <w:p w14:paraId="6291CC1A" w14:textId="77777777" w:rsidR="00C83121" w:rsidRDefault="004763DD">
            <w:pPr>
              <w:jc w:val="center"/>
            </w:pPr>
            <w:r>
              <w:rPr>
                <w:rFonts w:asciiTheme="minorEastAsia" w:eastAsiaTheme="minorEastAsia" w:hAnsiTheme="minorEastAsia"/>
                <w:color w:val="000000" w:themeColor="text1"/>
              </w:rPr>
              <w:t>0.9389%</w:t>
            </w:r>
          </w:p>
        </w:tc>
        <w:tc>
          <w:tcPr>
            <w:tcW w:w="1329" w:type="dxa"/>
            <w:vAlign w:val="center"/>
          </w:tcPr>
          <w:p w14:paraId="0E4FEA33" w14:textId="77777777" w:rsidR="00C83121" w:rsidRDefault="004763DD">
            <w:pPr>
              <w:jc w:val="center"/>
            </w:pPr>
            <w:r>
              <w:rPr>
                <w:rFonts w:asciiTheme="minorEastAsia" w:eastAsiaTheme="minorEastAsia" w:hAnsiTheme="minorEastAsia"/>
                <w:color w:val="000000" w:themeColor="text1"/>
              </w:rPr>
              <w:t>0.0015%</w:t>
            </w:r>
          </w:p>
        </w:tc>
      </w:tr>
    </w:tbl>
    <w:p w14:paraId="489FEE6F" w14:textId="77777777" w:rsidR="00DA315C" w:rsidRDefault="00CC2E83" w:rsidP="00614961">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注：本基金收益分配按日结转份额。</w:t>
      </w:r>
    </w:p>
    <w:p w14:paraId="3A8AE461" w14:textId="77777777" w:rsidR="00DA315C" w:rsidRDefault="00CC2E83" w:rsidP="004600C4">
      <w:pPr>
        <w:spacing w:beforeLines="50" w:before="12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3.2.2</w:t>
      </w:r>
      <w:r>
        <w:rPr>
          <w:rFonts w:asciiTheme="minorEastAsia" w:eastAsiaTheme="minorEastAsia" w:hAnsiTheme="minorEastAsia" w:cs="Arial" w:hint="eastAsia"/>
          <w:b/>
          <w:color w:val="000000" w:themeColor="text1"/>
          <w:kern w:val="0"/>
          <w:sz w:val="24"/>
        </w:rPr>
        <w:t xml:space="preserve"> </w:t>
      </w:r>
      <w:r>
        <w:rPr>
          <w:rStyle w:val="af3"/>
          <w:rFonts w:hint="eastAsia"/>
          <w:color w:val="000000" w:themeColor="text1"/>
          <w:sz w:val="24"/>
          <w:shd w:val="clear" w:color="auto" w:fill="FFFFFF"/>
        </w:rPr>
        <w:t>自基金合同生效以来</w:t>
      </w:r>
      <w:r>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14:paraId="7D681EB9"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摩根天添盈货币市场基金</w:t>
      </w:r>
    </w:p>
    <w:p w14:paraId="1E6F95F9" w14:textId="77777777" w:rsidR="00DA315C" w:rsidRDefault="00CC2E83">
      <w:pPr>
        <w:pStyle w:val="a5"/>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份额累计净值收益率与业绩比较基准收益率历史走势对比图</w:t>
      </w:r>
    </w:p>
    <w:p w14:paraId="39D92130"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kern w:val="0"/>
          <w:sz w:val="24"/>
        </w:rPr>
        <w:t>(</w:t>
      </w:r>
      <w:r>
        <w:rPr>
          <w:rFonts w:asciiTheme="minorEastAsia" w:eastAsiaTheme="minorEastAsia" w:hAnsiTheme="minorEastAsia"/>
          <w:color w:val="000000" w:themeColor="text1"/>
          <w:kern w:val="0"/>
          <w:sz w:val="24"/>
        </w:rPr>
        <w:t>2014年11月25日</w:t>
      </w:r>
      <w:r>
        <w:rPr>
          <w:rFonts w:asciiTheme="minorEastAsia" w:eastAsiaTheme="minorEastAsia" w:hAnsiTheme="minorEastAsia" w:hint="eastAsia"/>
          <w:color w:val="000000" w:themeColor="text1"/>
          <w:kern w:val="0"/>
          <w:sz w:val="24"/>
        </w:rPr>
        <w:t>至2024年6月30日)</w:t>
      </w:r>
    </w:p>
    <w:p w14:paraId="59DAFCF6" w14:textId="77777777" w:rsidR="00DA315C" w:rsidRPr="00EB02DE" w:rsidRDefault="00CC2E83" w:rsidP="004600C4">
      <w:pPr>
        <w:snapToGrid w:val="0"/>
        <w:spacing w:beforeLines="50" w:before="120" w:line="360" w:lineRule="auto"/>
        <w:ind w:left="471"/>
        <w:rPr>
          <w:rFonts w:asciiTheme="minorEastAsia" w:eastAsiaTheme="minorEastAsia" w:hAnsiTheme="minorEastAsia"/>
          <w:b/>
          <w:color w:val="000000" w:themeColor="text1"/>
          <w:sz w:val="24"/>
        </w:rPr>
      </w:pPr>
      <w:r w:rsidRPr="00EB02DE">
        <w:rPr>
          <w:rFonts w:asciiTheme="minorEastAsia" w:eastAsiaTheme="minorEastAsia" w:hAnsiTheme="minorEastAsia" w:hint="eastAsia"/>
          <w:b/>
          <w:color w:val="000000" w:themeColor="text1"/>
          <w:kern w:val="0"/>
          <w:sz w:val="24"/>
        </w:rPr>
        <w:t>1、</w:t>
      </w:r>
      <w:r w:rsidRPr="00EB02DE">
        <w:rPr>
          <w:rFonts w:asciiTheme="minorEastAsia" w:eastAsiaTheme="minorEastAsia" w:hAnsiTheme="minorEastAsia"/>
          <w:b/>
          <w:color w:val="000000" w:themeColor="text1"/>
          <w:kern w:val="0"/>
          <w:sz w:val="24"/>
        </w:rPr>
        <w:t>摩根天添盈货币A类</w:t>
      </w:r>
      <w:r w:rsidR="00EB02DE" w:rsidRPr="00EB02DE">
        <w:rPr>
          <w:rFonts w:asciiTheme="minorEastAsia" w:eastAsiaTheme="minorEastAsia" w:hAnsiTheme="minorEastAsia" w:hint="eastAsia"/>
          <w:b/>
          <w:color w:val="000000" w:themeColor="text1"/>
          <w:kern w:val="0"/>
          <w:sz w:val="24"/>
        </w:rPr>
        <w:t>：</w:t>
      </w:r>
    </w:p>
    <w:p w14:paraId="412750FE" w14:textId="77777777" w:rsidR="00DA315C" w:rsidRDefault="00CC2E83">
      <w:pPr>
        <w:tabs>
          <w:tab w:val="left" w:pos="0"/>
        </w:tabs>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w:drawing>
          <wp:inline distT="0" distB="0" distL="0" distR="0" wp14:anchorId="5E0C8A39" wp14:editId="221FA711">
            <wp:extent cx="5772150" cy="3381375"/>
            <wp:effectExtent l="0" t="0" r="0" b="9525"/>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72150" cy="3381375"/>
                    </a:xfrm>
                    <a:prstGeom prst="rect">
                      <a:avLst/>
                    </a:prstGeom>
                    <a:noFill/>
                    <a:ln>
                      <a:noFill/>
                    </a:ln>
                  </pic:spPr>
                </pic:pic>
              </a:graphicData>
            </a:graphic>
          </wp:inline>
        </w:drawing>
      </w:r>
    </w:p>
    <w:p w14:paraId="1C5B0222"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w:t>
      </w:r>
      <w:r>
        <w:rPr>
          <w:rFonts w:asciiTheme="minorEastAsia" w:eastAsiaTheme="minorEastAsia" w:hAnsiTheme="minorEastAsia"/>
          <w:color w:val="000000" w:themeColor="text1"/>
          <w:sz w:val="24"/>
        </w:rPr>
        <w:t>1.</w:t>
      </w:r>
      <w:r>
        <w:rPr>
          <w:rFonts w:asciiTheme="minorEastAsia" w:eastAsiaTheme="minorEastAsia" w:hAnsiTheme="minorEastAsia"/>
          <w:color w:val="000000" w:themeColor="text1"/>
          <w:sz w:val="24"/>
        </w:rPr>
        <w:t>本基金合同生效日为</w:t>
      </w:r>
      <w:r>
        <w:rPr>
          <w:rFonts w:asciiTheme="minorEastAsia" w:eastAsiaTheme="minorEastAsia" w:hAnsiTheme="minorEastAsia"/>
          <w:color w:val="000000" w:themeColor="text1"/>
          <w:sz w:val="24"/>
        </w:rPr>
        <w:t>2014</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11</w:t>
      </w:r>
      <w:r>
        <w:rPr>
          <w:rFonts w:asciiTheme="minorEastAsia" w:eastAsiaTheme="minorEastAsia" w:hAnsiTheme="minorEastAsia"/>
          <w:color w:val="000000" w:themeColor="text1"/>
          <w:sz w:val="24"/>
        </w:rPr>
        <w:t>月</w:t>
      </w:r>
      <w:r>
        <w:rPr>
          <w:rFonts w:asciiTheme="minorEastAsia" w:eastAsiaTheme="minorEastAsia" w:hAnsiTheme="minorEastAsia"/>
          <w:color w:val="000000" w:themeColor="text1"/>
          <w:sz w:val="24"/>
        </w:rPr>
        <w:t>25</w:t>
      </w:r>
      <w:r>
        <w:rPr>
          <w:rFonts w:asciiTheme="minorEastAsia" w:eastAsiaTheme="minorEastAsia" w:hAnsiTheme="minorEastAsia"/>
          <w:color w:val="000000" w:themeColor="text1"/>
          <w:sz w:val="24"/>
        </w:rPr>
        <w:t>日，图示的时间段为合同生效日至本报告期末。</w:t>
      </w:r>
    </w:p>
    <w:p w14:paraId="6A6D8E5E"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Pr>
          <w:rFonts w:asciiTheme="minorEastAsia" w:eastAsiaTheme="minorEastAsia" w:hAnsiTheme="minorEastAsia"/>
          <w:color w:val="000000" w:themeColor="text1"/>
          <w:sz w:val="24"/>
        </w:rPr>
        <w:t>本基金建仓期为本基金合同生效日起</w:t>
      </w:r>
      <w:r>
        <w:rPr>
          <w:rFonts w:asciiTheme="minorEastAsia" w:eastAsiaTheme="minorEastAsia" w:hAnsiTheme="minorEastAsia"/>
          <w:color w:val="000000" w:themeColor="text1"/>
          <w:sz w:val="24"/>
        </w:rPr>
        <w:t xml:space="preserve"> 6 </w:t>
      </w:r>
      <w:r>
        <w:rPr>
          <w:rFonts w:asciiTheme="minorEastAsia" w:eastAsiaTheme="minorEastAsia" w:hAnsiTheme="minorEastAsia"/>
          <w:color w:val="000000" w:themeColor="text1"/>
          <w:sz w:val="24"/>
        </w:rPr>
        <w:t>个月</w:t>
      </w:r>
      <w:r>
        <w:rPr>
          <w:rFonts w:asciiTheme="minorEastAsia" w:eastAsiaTheme="minorEastAsia" w:hAnsiTheme="minorEastAsia"/>
          <w:color w:val="000000" w:themeColor="text1"/>
          <w:sz w:val="24"/>
        </w:rPr>
        <w:t xml:space="preserve">, </w:t>
      </w:r>
      <w:r>
        <w:rPr>
          <w:rFonts w:asciiTheme="minorEastAsia" w:eastAsiaTheme="minorEastAsia" w:hAnsiTheme="minorEastAsia"/>
          <w:color w:val="000000" w:themeColor="text1"/>
          <w:sz w:val="24"/>
        </w:rPr>
        <w:t>建仓期结束时资产配置比例符合本基金基金合同的规定。</w:t>
      </w:r>
    </w:p>
    <w:p w14:paraId="07FB98F3"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3.自2018年6月22日起，本基金B类基金份额为零且停止计算B类基金份额每万份收益。</w:t>
      </w:r>
    </w:p>
    <w:p w14:paraId="5A274BDC" w14:textId="77777777" w:rsidR="00DA315C" w:rsidRPr="004600C4" w:rsidRDefault="00CC2E83" w:rsidP="004600C4">
      <w:pPr>
        <w:snapToGrid w:val="0"/>
        <w:spacing w:beforeLines="50" w:before="120" w:line="360" w:lineRule="auto"/>
        <w:ind w:left="471"/>
        <w:rPr>
          <w:rFonts w:asciiTheme="minorEastAsia" w:eastAsiaTheme="minorEastAsia" w:hAnsiTheme="minorEastAsia"/>
          <w:b/>
          <w:color w:val="000000" w:themeColor="text1"/>
          <w:kern w:val="0"/>
          <w:sz w:val="24"/>
        </w:rPr>
      </w:pPr>
      <w:r w:rsidRPr="00EB02DE">
        <w:rPr>
          <w:rFonts w:asciiTheme="minorEastAsia" w:eastAsiaTheme="minorEastAsia" w:hAnsiTheme="minorEastAsia" w:hint="eastAsia"/>
          <w:b/>
          <w:color w:val="000000" w:themeColor="text1"/>
          <w:kern w:val="0"/>
          <w:sz w:val="24"/>
        </w:rPr>
        <w:lastRenderedPageBreak/>
        <w:t>2、</w:t>
      </w:r>
      <w:r w:rsidR="00050540">
        <w:rPr>
          <w:rFonts w:asciiTheme="minorEastAsia" w:eastAsiaTheme="minorEastAsia" w:hAnsiTheme="minorEastAsia" w:hint="eastAsia"/>
          <w:b/>
          <w:color w:val="000000" w:themeColor="text1"/>
          <w:kern w:val="0"/>
          <w:sz w:val="24"/>
        </w:rPr>
        <w:t>摩根天添盈货币B类</w:t>
      </w:r>
      <w:r w:rsidR="00EB02DE" w:rsidRPr="00EB02DE">
        <w:rPr>
          <w:rFonts w:asciiTheme="minorEastAsia" w:eastAsiaTheme="minorEastAsia" w:hAnsiTheme="minorEastAsia" w:hint="eastAsia"/>
          <w:b/>
          <w:color w:val="000000" w:themeColor="text1"/>
          <w:kern w:val="0"/>
          <w:sz w:val="24"/>
        </w:rPr>
        <w:t>：</w:t>
      </w:r>
    </w:p>
    <w:p w14:paraId="30962FDB" w14:textId="77777777" w:rsidR="00DA315C" w:rsidRDefault="00CC2E83">
      <w:pPr>
        <w:snapToGrid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w:drawing>
          <wp:inline distT="0" distB="0" distL="0" distR="0" wp14:anchorId="33590268" wp14:editId="78BE1157">
            <wp:extent cx="5772150" cy="3381375"/>
            <wp:effectExtent l="0" t="0" r="0" b="9525"/>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72150" cy="3381375"/>
                    </a:xfrm>
                    <a:prstGeom prst="rect">
                      <a:avLst/>
                    </a:prstGeom>
                    <a:noFill/>
                    <a:ln>
                      <a:noFill/>
                    </a:ln>
                  </pic:spPr>
                </pic:pic>
              </a:graphicData>
            </a:graphic>
          </wp:inline>
        </w:drawing>
      </w:r>
    </w:p>
    <w:p w14:paraId="0CB6C4D8" w14:textId="77777777" w:rsidR="00DA315C" w:rsidRDefault="00050540">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注：自2018年6月22日起，本基金B类基金份额为零且停止计算B类基金份额每万份收益。</w:t>
      </w:r>
    </w:p>
    <w:p w14:paraId="5AAA559A" w14:textId="77777777" w:rsidR="00DA315C" w:rsidRPr="004600C4" w:rsidRDefault="00CC2E83" w:rsidP="004600C4">
      <w:pPr>
        <w:snapToGrid w:val="0"/>
        <w:spacing w:beforeLines="50" w:before="120" w:line="360" w:lineRule="auto"/>
        <w:ind w:left="471"/>
        <w:rPr>
          <w:rFonts w:asciiTheme="minorEastAsia" w:eastAsiaTheme="minorEastAsia" w:hAnsiTheme="minorEastAsia"/>
          <w:b/>
          <w:color w:val="000000" w:themeColor="text1"/>
          <w:kern w:val="0"/>
          <w:sz w:val="24"/>
        </w:rPr>
      </w:pPr>
      <w:r w:rsidRPr="00EB02DE">
        <w:rPr>
          <w:rFonts w:asciiTheme="minorEastAsia" w:eastAsiaTheme="minorEastAsia" w:hAnsiTheme="minorEastAsia" w:hint="eastAsia"/>
          <w:b/>
          <w:color w:val="000000" w:themeColor="text1"/>
          <w:kern w:val="0"/>
          <w:sz w:val="24"/>
        </w:rPr>
        <w:t>3、</w:t>
      </w:r>
      <w:r w:rsidR="00050540">
        <w:rPr>
          <w:rFonts w:asciiTheme="minorEastAsia" w:eastAsiaTheme="minorEastAsia" w:hAnsiTheme="minorEastAsia" w:hint="eastAsia"/>
          <w:b/>
          <w:color w:val="000000" w:themeColor="text1"/>
          <w:kern w:val="0"/>
          <w:sz w:val="24"/>
        </w:rPr>
        <w:t>摩根天添盈货币E类</w:t>
      </w:r>
      <w:r w:rsidR="00EB02DE" w:rsidRPr="00EB02DE">
        <w:rPr>
          <w:rFonts w:asciiTheme="minorEastAsia" w:eastAsiaTheme="minorEastAsia" w:hAnsiTheme="minorEastAsia" w:hint="eastAsia"/>
          <w:b/>
          <w:color w:val="000000" w:themeColor="text1"/>
          <w:kern w:val="0"/>
          <w:sz w:val="24"/>
        </w:rPr>
        <w:t>：</w:t>
      </w:r>
    </w:p>
    <w:p w14:paraId="53A2EB8E" w14:textId="77777777" w:rsidR="00DA315C" w:rsidRDefault="00CC2E83">
      <w:pPr>
        <w:autoSpaceDE w:val="0"/>
        <w:autoSpaceDN w:val="0"/>
        <w:adjustRightInd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w:drawing>
          <wp:inline distT="0" distB="0" distL="0" distR="0" wp14:anchorId="2EAC3456" wp14:editId="1F60994A">
            <wp:extent cx="5772150" cy="3381375"/>
            <wp:effectExtent l="0" t="0" r="0" b="9525"/>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72150" cy="3381375"/>
                    </a:xfrm>
                    <a:prstGeom prst="rect">
                      <a:avLst/>
                    </a:prstGeom>
                    <a:noFill/>
                    <a:ln>
                      <a:noFill/>
                    </a:ln>
                  </pic:spPr>
                </pic:pic>
              </a:graphicData>
            </a:graphic>
          </wp:inline>
        </w:drawing>
      </w:r>
    </w:p>
    <w:p w14:paraId="2C339508"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注：</w:t>
      </w: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本基金合同生效日为</w:t>
      </w:r>
      <w:r>
        <w:rPr>
          <w:rFonts w:asciiTheme="minorEastAsia" w:eastAsiaTheme="minorEastAsia" w:hAnsiTheme="minorEastAsia" w:hint="eastAsia"/>
          <w:color w:val="000000" w:themeColor="text1"/>
          <w:sz w:val="24"/>
        </w:rPr>
        <w:t>2014</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11</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25</w:t>
      </w:r>
      <w:r>
        <w:rPr>
          <w:rFonts w:asciiTheme="minorEastAsia" w:eastAsiaTheme="minorEastAsia" w:hAnsiTheme="minorEastAsia" w:hint="eastAsia"/>
          <w:color w:val="000000" w:themeColor="text1"/>
          <w:sz w:val="24"/>
        </w:rPr>
        <w:t>日，图示的时间段为合同生效日至本报告期末。</w:t>
      </w:r>
    </w:p>
    <w:p w14:paraId="51E923B4"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本基金建仓期为本基金合同生效日起</w:t>
      </w:r>
      <w:r>
        <w:rPr>
          <w:rFonts w:asciiTheme="minorEastAsia" w:eastAsiaTheme="minorEastAsia" w:hAnsiTheme="minorEastAsia" w:hint="eastAsia"/>
          <w:color w:val="000000" w:themeColor="text1"/>
          <w:sz w:val="24"/>
        </w:rPr>
        <w:t xml:space="preserve"> 6 </w:t>
      </w:r>
      <w:r>
        <w:rPr>
          <w:rFonts w:asciiTheme="minorEastAsia" w:eastAsiaTheme="minorEastAsia" w:hAnsiTheme="minorEastAsia" w:hint="eastAsia"/>
          <w:color w:val="000000" w:themeColor="text1"/>
          <w:sz w:val="24"/>
        </w:rPr>
        <w:t>个月</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建仓期结束时资产配置比例符合本基金基金合同的规定。</w:t>
      </w:r>
    </w:p>
    <w:p w14:paraId="780B9B63" w14:textId="77777777" w:rsidR="00DA315C" w:rsidRDefault="00050540">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3.自2018年6月22日起，本基金B类基金份额为零且停止计算B类基金份额每万份收益。</w:t>
      </w:r>
    </w:p>
    <w:p w14:paraId="70550D7D" w14:textId="77777777" w:rsidR="00DA315C" w:rsidRPr="004600C4" w:rsidRDefault="00CC2E83" w:rsidP="004600C4">
      <w:pPr>
        <w:snapToGrid w:val="0"/>
        <w:spacing w:beforeLines="50" w:before="120" w:line="360" w:lineRule="auto"/>
        <w:ind w:left="471"/>
        <w:rPr>
          <w:rFonts w:asciiTheme="minorEastAsia" w:eastAsiaTheme="minorEastAsia" w:hAnsiTheme="minorEastAsia"/>
          <w:b/>
          <w:color w:val="000000" w:themeColor="text1"/>
          <w:kern w:val="0"/>
          <w:sz w:val="24"/>
        </w:rPr>
      </w:pPr>
      <w:r w:rsidRPr="00EB02DE">
        <w:rPr>
          <w:rFonts w:asciiTheme="minorEastAsia" w:eastAsiaTheme="minorEastAsia" w:hAnsiTheme="minorEastAsia" w:hint="eastAsia"/>
          <w:b/>
          <w:color w:val="000000" w:themeColor="text1"/>
          <w:kern w:val="0"/>
          <w:sz w:val="24"/>
        </w:rPr>
        <w:t>4、</w:t>
      </w:r>
      <w:r w:rsidR="00050540">
        <w:rPr>
          <w:rFonts w:asciiTheme="minorEastAsia" w:eastAsiaTheme="minorEastAsia" w:hAnsiTheme="minorEastAsia" w:hint="eastAsia"/>
          <w:b/>
          <w:color w:val="000000" w:themeColor="text1"/>
          <w:kern w:val="0"/>
          <w:sz w:val="24"/>
        </w:rPr>
        <w:t>摩根天添盈货币C类</w:t>
      </w:r>
      <w:r w:rsidR="00EB02DE" w:rsidRPr="00EB02DE">
        <w:rPr>
          <w:rFonts w:asciiTheme="minorEastAsia" w:eastAsiaTheme="minorEastAsia" w:hAnsiTheme="minorEastAsia" w:hint="eastAsia"/>
          <w:b/>
          <w:color w:val="000000" w:themeColor="text1"/>
          <w:kern w:val="0"/>
          <w:sz w:val="24"/>
        </w:rPr>
        <w:t>：</w:t>
      </w:r>
    </w:p>
    <w:p w14:paraId="09F35D3D" w14:textId="77777777" w:rsidR="00DA315C" w:rsidRDefault="00CC2E83">
      <w:pPr>
        <w:autoSpaceDE w:val="0"/>
        <w:autoSpaceDN w:val="0"/>
        <w:adjustRightInd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b/>
          <w:noProof/>
          <w:color w:val="000000" w:themeColor="text1"/>
        </w:rPr>
        <w:drawing>
          <wp:inline distT="0" distB="0" distL="0" distR="0" wp14:anchorId="57E581C0" wp14:editId="1AAF82BC">
            <wp:extent cx="5600700" cy="3279775"/>
            <wp:effectExtent l="0" t="0" r="0" b="0"/>
            <wp:docPr id="4" name="图片 4" descr="D:\浏览器下载\走势图柱状图\走势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浏览器下载\走势图柱状图\走势图4.jp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600700" cy="3279775"/>
                    </a:xfrm>
                    <a:prstGeom prst="rect">
                      <a:avLst/>
                    </a:prstGeom>
                  </pic:spPr>
                </pic:pic>
              </a:graphicData>
            </a:graphic>
          </wp:inline>
        </w:drawing>
      </w:r>
    </w:p>
    <w:p w14:paraId="584CA521"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w:t>
      </w: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本基金自</w:t>
      </w:r>
      <w:r>
        <w:rPr>
          <w:rFonts w:asciiTheme="minorEastAsia" w:eastAsiaTheme="minorEastAsia" w:hAnsiTheme="minorEastAsia" w:hint="eastAsia"/>
          <w:color w:val="000000" w:themeColor="text1"/>
          <w:sz w:val="24"/>
        </w:rPr>
        <w:t xml:space="preserve"> 2022</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10</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27</w:t>
      </w:r>
      <w:r>
        <w:rPr>
          <w:rFonts w:asciiTheme="minorEastAsia" w:eastAsiaTheme="minorEastAsia" w:hAnsiTheme="minorEastAsia" w:hint="eastAsia"/>
          <w:color w:val="000000" w:themeColor="text1"/>
          <w:sz w:val="24"/>
        </w:rPr>
        <w:t>日起增加</w:t>
      </w:r>
      <w:r>
        <w:rPr>
          <w:rFonts w:asciiTheme="minorEastAsia" w:eastAsiaTheme="minorEastAsia" w:hAnsiTheme="minorEastAsia" w:hint="eastAsia"/>
          <w:color w:val="000000" w:themeColor="text1"/>
          <w:sz w:val="24"/>
        </w:rPr>
        <w:t>C</w:t>
      </w:r>
      <w:r>
        <w:rPr>
          <w:rFonts w:asciiTheme="minorEastAsia" w:eastAsiaTheme="minorEastAsia" w:hAnsiTheme="minorEastAsia" w:hint="eastAsia"/>
          <w:color w:val="000000" w:themeColor="text1"/>
          <w:sz w:val="24"/>
        </w:rPr>
        <w:t>类份额，相关数据按实际存续期计算。</w:t>
      </w:r>
    </w:p>
    <w:p w14:paraId="0F67D721"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本基金建仓期为本基金合同生效日起</w:t>
      </w:r>
      <w:r>
        <w:rPr>
          <w:rFonts w:asciiTheme="minorEastAsia" w:eastAsiaTheme="minorEastAsia" w:hAnsiTheme="minorEastAsia" w:hint="eastAsia"/>
          <w:color w:val="000000" w:themeColor="text1"/>
          <w:sz w:val="24"/>
        </w:rPr>
        <w:t xml:space="preserve"> 6 </w:t>
      </w:r>
      <w:r>
        <w:rPr>
          <w:rFonts w:asciiTheme="minorEastAsia" w:eastAsiaTheme="minorEastAsia" w:hAnsiTheme="minorEastAsia" w:hint="eastAsia"/>
          <w:color w:val="000000" w:themeColor="text1"/>
          <w:sz w:val="24"/>
        </w:rPr>
        <w:t>个月</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建仓期结束时资产配置比例符合本基金基金合同的规定。</w:t>
      </w:r>
    </w:p>
    <w:p w14:paraId="1DB4D54C" w14:textId="77777777" w:rsidR="00DA315C" w:rsidRDefault="00050540">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3.自2018年6月22日起，本基金B类基金份额为零且停止计算B类基金份额每万份收益。</w:t>
      </w:r>
    </w:p>
    <w:p w14:paraId="3D6782F3"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4  </w:t>
      </w:r>
      <w:r>
        <w:rPr>
          <w:rFonts w:asciiTheme="minorEastAsia" w:eastAsiaTheme="minorEastAsia" w:hAnsiTheme="minorEastAsia" w:cs="Arial" w:hint="eastAsia"/>
          <w:color w:val="000000" w:themeColor="text1"/>
          <w:kern w:val="0"/>
          <w:sz w:val="24"/>
          <w:szCs w:val="24"/>
        </w:rPr>
        <w:t>管理人报告</w:t>
      </w:r>
    </w:p>
    <w:p w14:paraId="471782E9" w14:textId="77777777" w:rsidR="00DA315C" w:rsidRDefault="00CC2E83" w:rsidP="00FC77AA">
      <w:pPr>
        <w:autoSpaceDE w:val="0"/>
        <w:autoSpaceDN w:val="0"/>
        <w:adjustRightInd w:val="0"/>
        <w:spacing w:beforeLines="50" w:before="120" w:line="360" w:lineRule="auto"/>
        <w:jc w:val="left"/>
        <w:rPr>
          <w:rFonts w:asciiTheme="minorEastAsia" w:eastAsiaTheme="minorEastAsia" w:hAnsiTheme="minorEastAsia"/>
          <w:b/>
          <w:bCs/>
          <w:color w:val="000000" w:themeColor="text1"/>
          <w:sz w:val="24"/>
        </w:rPr>
      </w:pPr>
      <w:r>
        <w:rPr>
          <w:rFonts w:asciiTheme="minorEastAsia" w:eastAsiaTheme="minorEastAsia" w:hAnsiTheme="minorEastAsia" w:cs="Arial"/>
          <w:b/>
          <w:color w:val="000000" w:themeColor="text1"/>
          <w:kern w:val="0"/>
          <w:sz w:val="24"/>
        </w:rPr>
        <w:t xml:space="preserve">4.1 </w:t>
      </w:r>
      <w:r>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883"/>
        <w:gridCol w:w="993"/>
        <w:gridCol w:w="1134"/>
        <w:gridCol w:w="992"/>
        <w:gridCol w:w="2977"/>
      </w:tblGrid>
      <w:tr w:rsidR="00DA315C" w14:paraId="69A91343" w14:textId="77777777">
        <w:trPr>
          <w:cantSplit/>
        </w:trPr>
        <w:tc>
          <w:tcPr>
            <w:tcW w:w="952" w:type="dxa"/>
            <w:vMerge w:val="restart"/>
            <w:vAlign w:val="center"/>
          </w:tcPr>
          <w:p w14:paraId="6C060E4B"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lastRenderedPageBreak/>
              <w:t>姓名</w:t>
            </w:r>
          </w:p>
        </w:tc>
        <w:tc>
          <w:tcPr>
            <w:tcW w:w="1883" w:type="dxa"/>
            <w:vMerge w:val="restart"/>
            <w:vAlign w:val="center"/>
          </w:tcPr>
          <w:p w14:paraId="3F5F316E"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职务</w:t>
            </w:r>
          </w:p>
        </w:tc>
        <w:tc>
          <w:tcPr>
            <w:tcW w:w="2127" w:type="dxa"/>
            <w:gridSpan w:val="2"/>
          </w:tcPr>
          <w:p w14:paraId="41F82F3D"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roofErr w:type="gramStart"/>
            <w:r>
              <w:rPr>
                <w:rFonts w:asciiTheme="minorEastAsia" w:eastAsiaTheme="minorEastAsia" w:hAnsiTheme="minorEastAsia" w:cs="Arial" w:hint="eastAsia"/>
                <w:color w:val="000000" w:themeColor="text1"/>
                <w:kern w:val="0"/>
                <w:sz w:val="24"/>
              </w:rPr>
              <w:t>任本基金</w:t>
            </w:r>
            <w:proofErr w:type="gramEnd"/>
            <w:r>
              <w:rPr>
                <w:rFonts w:asciiTheme="minorEastAsia" w:eastAsiaTheme="minorEastAsia" w:hAnsiTheme="minorEastAsia" w:cs="Arial" w:hint="eastAsia"/>
                <w:color w:val="000000" w:themeColor="text1"/>
                <w:kern w:val="0"/>
                <w:sz w:val="24"/>
              </w:rPr>
              <w:t>的基金经理期限</w:t>
            </w:r>
          </w:p>
        </w:tc>
        <w:tc>
          <w:tcPr>
            <w:tcW w:w="992" w:type="dxa"/>
            <w:vMerge w:val="restart"/>
            <w:vAlign w:val="center"/>
          </w:tcPr>
          <w:p w14:paraId="69390EAD"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证券从业年限</w:t>
            </w:r>
          </w:p>
        </w:tc>
        <w:tc>
          <w:tcPr>
            <w:tcW w:w="2977" w:type="dxa"/>
            <w:vMerge w:val="restart"/>
            <w:vAlign w:val="center"/>
          </w:tcPr>
          <w:p w14:paraId="4CF4E2AE"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说明</w:t>
            </w:r>
          </w:p>
        </w:tc>
      </w:tr>
      <w:tr w:rsidR="00DA315C" w14:paraId="7102B2B8" w14:textId="77777777">
        <w:trPr>
          <w:cantSplit/>
        </w:trPr>
        <w:tc>
          <w:tcPr>
            <w:tcW w:w="952" w:type="dxa"/>
            <w:vMerge/>
            <w:vAlign w:val="center"/>
          </w:tcPr>
          <w:p w14:paraId="1654DA51"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1883" w:type="dxa"/>
            <w:vMerge/>
          </w:tcPr>
          <w:p w14:paraId="50481B42"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993" w:type="dxa"/>
            <w:vAlign w:val="center"/>
          </w:tcPr>
          <w:p w14:paraId="794A97E7"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任职日期</w:t>
            </w:r>
          </w:p>
        </w:tc>
        <w:tc>
          <w:tcPr>
            <w:tcW w:w="1134" w:type="dxa"/>
            <w:vAlign w:val="center"/>
          </w:tcPr>
          <w:p w14:paraId="3DB26C75"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离任日期</w:t>
            </w:r>
          </w:p>
        </w:tc>
        <w:tc>
          <w:tcPr>
            <w:tcW w:w="992" w:type="dxa"/>
            <w:vMerge/>
            <w:vAlign w:val="center"/>
          </w:tcPr>
          <w:p w14:paraId="00F7A1F2"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2977" w:type="dxa"/>
            <w:vMerge/>
            <w:vAlign w:val="center"/>
          </w:tcPr>
          <w:p w14:paraId="370C616F"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r>
      <w:tr w:rsidR="00C83121" w14:paraId="24475370" w14:textId="77777777">
        <w:tc>
          <w:tcPr>
            <w:tcW w:w="952" w:type="dxa"/>
            <w:vAlign w:val="center"/>
          </w:tcPr>
          <w:p w14:paraId="0F8F2885" w14:textId="77777777" w:rsidR="00C83121" w:rsidRDefault="004763DD">
            <w:pPr>
              <w:jc w:val="center"/>
            </w:pPr>
            <w:r>
              <w:rPr>
                <w:rFonts w:asciiTheme="minorEastAsia" w:eastAsiaTheme="minorEastAsia" w:hAnsiTheme="minorEastAsia"/>
                <w:color w:val="000000" w:themeColor="text1"/>
                <w:sz w:val="24"/>
              </w:rPr>
              <w:t>鞠婷</w:t>
            </w:r>
          </w:p>
        </w:tc>
        <w:tc>
          <w:tcPr>
            <w:tcW w:w="1883" w:type="dxa"/>
            <w:vAlign w:val="center"/>
          </w:tcPr>
          <w:p w14:paraId="02122A8C" w14:textId="77777777" w:rsidR="00C83121" w:rsidRDefault="004763DD">
            <w:pPr>
              <w:jc w:val="center"/>
            </w:pPr>
            <w:r>
              <w:rPr>
                <w:rFonts w:asciiTheme="minorEastAsia" w:eastAsiaTheme="minorEastAsia" w:hAnsiTheme="minorEastAsia"/>
                <w:color w:val="000000" w:themeColor="text1"/>
                <w:sz w:val="24"/>
              </w:rPr>
              <w:t>本基金基金经理</w:t>
            </w:r>
          </w:p>
        </w:tc>
        <w:tc>
          <w:tcPr>
            <w:tcW w:w="993" w:type="dxa"/>
            <w:vAlign w:val="center"/>
          </w:tcPr>
          <w:p w14:paraId="0DF6E121" w14:textId="77777777" w:rsidR="00C83121" w:rsidRDefault="004763DD">
            <w:pPr>
              <w:jc w:val="center"/>
            </w:pPr>
            <w:r>
              <w:rPr>
                <w:rFonts w:asciiTheme="minorEastAsia" w:eastAsiaTheme="minorEastAsia" w:hAnsiTheme="minorEastAsia"/>
                <w:color w:val="000000" w:themeColor="text1"/>
                <w:sz w:val="24"/>
              </w:rPr>
              <w:t>2016-05-27</w:t>
            </w:r>
          </w:p>
        </w:tc>
        <w:tc>
          <w:tcPr>
            <w:tcW w:w="1134" w:type="dxa"/>
            <w:vAlign w:val="center"/>
          </w:tcPr>
          <w:p w14:paraId="53275F2B" w14:textId="77777777" w:rsidR="00C83121" w:rsidRDefault="004763DD">
            <w:pPr>
              <w:jc w:val="center"/>
            </w:pPr>
            <w:r>
              <w:rPr>
                <w:rFonts w:asciiTheme="minorEastAsia" w:eastAsiaTheme="minorEastAsia" w:hAnsiTheme="minorEastAsia"/>
                <w:color w:val="000000" w:themeColor="text1"/>
                <w:sz w:val="24"/>
              </w:rPr>
              <w:t>-</w:t>
            </w:r>
          </w:p>
        </w:tc>
        <w:tc>
          <w:tcPr>
            <w:tcW w:w="992" w:type="dxa"/>
            <w:vAlign w:val="center"/>
          </w:tcPr>
          <w:p w14:paraId="287ADD99" w14:textId="77777777" w:rsidR="00C83121" w:rsidRDefault="004763DD">
            <w:pPr>
              <w:jc w:val="center"/>
            </w:pPr>
            <w:r>
              <w:rPr>
                <w:rFonts w:asciiTheme="minorEastAsia" w:eastAsiaTheme="minorEastAsia" w:hAnsiTheme="minorEastAsia"/>
                <w:color w:val="000000" w:themeColor="text1"/>
                <w:sz w:val="24"/>
              </w:rPr>
              <w:t>18</w:t>
            </w:r>
            <w:r>
              <w:rPr>
                <w:rFonts w:asciiTheme="minorEastAsia" w:eastAsiaTheme="minorEastAsia" w:hAnsiTheme="minorEastAsia"/>
                <w:color w:val="000000" w:themeColor="text1"/>
                <w:sz w:val="24"/>
              </w:rPr>
              <w:t>年</w:t>
            </w:r>
          </w:p>
        </w:tc>
        <w:tc>
          <w:tcPr>
            <w:tcW w:w="2977" w:type="dxa"/>
            <w:vAlign w:val="center"/>
          </w:tcPr>
          <w:p w14:paraId="0C93FC6B" w14:textId="77777777" w:rsidR="00C83121" w:rsidRDefault="004763DD">
            <w:r>
              <w:rPr>
                <w:rFonts w:asciiTheme="minorEastAsia" w:eastAsiaTheme="minorEastAsia" w:hAnsiTheme="minorEastAsia"/>
                <w:color w:val="000000" w:themeColor="text1"/>
                <w:sz w:val="24"/>
              </w:rPr>
              <w:t>鞠婷女士曾任中国建设银行第一支行助理经济师，瑞穗银行总行总经理助理。</w:t>
            </w:r>
            <w:r>
              <w:rPr>
                <w:rFonts w:asciiTheme="minorEastAsia" w:eastAsiaTheme="minorEastAsia" w:hAnsiTheme="minorEastAsia"/>
                <w:color w:val="000000" w:themeColor="text1"/>
                <w:sz w:val="24"/>
              </w:rPr>
              <w:t>2014</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10</w:t>
            </w:r>
            <w:r>
              <w:rPr>
                <w:rFonts w:asciiTheme="minorEastAsia" w:eastAsiaTheme="minorEastAsia" w:hAnsiTheme="minorEastAsia"/>
                <w:color w:val="000000" w:themeColor="text1"/>
                <w:sz w:val="24"/>
              </w:rPr>
              <w:t>月起加入摩根基金管理（中国）有限公司（原上投摩根基金管理有限公司），历任基金经理助理、基金经理，高级基金经理，现任货币市场投资部副总监兼资深基金经理。</w:t>
            </w:r>
          </w:p>
        </w:tc>
      </w:tr>
      <w:tr w:rsidR="00C83121" w14:paraId="13F2F65F" w14:textId="77777777">
        <w:tc>
          <w:tcPr>
            <w:tcW w:w="952" w:type="dxa"/>
            <w:vAlign w:val="center"/>
          </w:tcPr>
          <w:p w14:paraId="5F58BCDD" w14:textId="77777777" w:rsidR="00C83121" w:rsidRDefault="004763DD">
            <w:pPr>
              <w:jc w:val="center"/>
            </w:pPr>
            <w:r>
              <w:rPr>
                <w:rFonts w:asciiTheme="minorEastAsia" w:eastAsiaTheme="minorEastAsia" w:hAnsiTheme="minorEastAsia"/>
                <w:color w:val="000000" w:themeColor="text1"/>
                <w:sz w:val="24"/>
              </w:rPr>
              <w:t>邱林晶</w:t>
            </w:r>
          </w:p>
        </w:tc>
        <w:tc>
          <w:tcPr>
            <w:tcW w:w="1883" w:type="dxa"/>
            <w:vAlign w:val="center"/>
          </w:tcPr>
          <w:p w14:paraId="6A524792" w14:textId="77777777" w:rsidR="00C83121" w:rsidRDefault="004763DD">
            <w:pPr>
              <w:jc w:val="center"/>
            </w:pPr>
            <w:r>
              <w:rPr>
                <w:rFonts w:asciiTheme="minorEastAsia" w:eastAsiaTheme="minorEastAsia" w:hAnsiTheme="minorEastAsia"/>
                <w:color w:val="000000" w:themeColor="text1"/>
                <w:sz w:val="24"/>
              </w:rPr>
              <w:t>本基金基金经理</w:t>
            </w:r>
          </w:p>
        </w:tc>
        <w:tc>
          <w:tcPr>
            <w:tcW w:w="993" w:type="dxa"/>
            <w:vAlign w:val="center"/>
          </w:tcPr>
          <w:p w14:paraId="71908B58" w14:textId="77777777" w:rsidR="00C83121" w:rsidRDefault="004763DD">
            <w:pPr>
              <w:jc w:val="center"/>
            </w:pPr>
            <w:r>
              <w:rPr>
                <w:rFonts w:asciiTheme="minorEastAsia" w:eastAsiaTheme="minorEastAsia" w:hAnsiTheme="minorEastAsia"/>
                <w:color w:val="000000" w:themeColor="text1"/>
                <w:sz w:val="24"/>
              </w:rPr>
              <w:t>2023-04-07</w:t>
            </w:r>
          </w:p>
        </w:tc>
        <w:tc>
          <w:tcPr>
            <w:tcW w:w="1134" w:type="dxa"/>
            <w:vAlign w:val="center"/>
          </w:tcPr>
          <w:p w14:paraId="513EB0F8" w14:textId="77777777" w:rsidR="00C83121" w:rsidRDefault="004763DD">
            <w:pPr>
              <w:jc w:val="center"/>
            </w:pPr>
            <w:r>
              <w:rPr>
                <w:rFonts w:asciiTheme="minorEastAsia" w:eastAsiaTheme="minorEastAsia" w:hAnsiTheme="minorEastAsia"/>
                <w:color w:val="000000" w:themeColor="text1"/>
                <w:sz w:val="24"/>
              </w:rPr>
              <w:t>-</w:t>
            </w:r>
          </w:p>
        </w:tc>
        <w:tc>
          <w:tcPr>
            <w:tcW w:w="992" w:type="dxa"/>
            <w:vAlign w:val="center"/>
          </w:tcPr>
          <w:p w14:paraId="6D17F9A0" w14:textId="77777777" w:rsidR="00C83121" w:rsidRDefault="004763DD">
            <w:pPr>
              <w:jc w:val="center"/>
            </w:pPr>
            <w:r>
              <w:rPr>
                <w:rFonts w:asciiTheme="minorEastAsia" w:eastAsiaTheme="minorEastAsia" w:hAnsiTheme="minorEastAsia"/>
                <w:color w:val="000000" w:themeColor="text1"/>
                <w:sz w:val="24"/>
              </w:rPr>
              <w:t>10</w:t>
            </w:r>
            <w:r>
              <w:rPr>
                <w:rFonts w:asciiTheme="minorEastAsia" w:eastAsiaTheme="minorEastAsia" w:hAnsiTheme="minorEastAsia"/>
                <w:color w:val="000000" w:themeColor="text1"/>
                <w:sz w:val="24"/>
              </w:rPr>
              <w:t>年</w:t>
            </w:r>
          </w:p>
        </w:tc>
        <w:tc>
          <w:tcPr>
            <w:tcW w:w="2977" w:type="dxa"/>
            <w:vAlign w:val="center"/>
          </w:tcPr>
          <w:p w14:paraId="4BD05FAB" w14:textId="77777777" w:rsidR="00C83121" w:rsidRDefault="004763DD">
            <w:r>
              <w:rPr>
                <w:rFonts w:asciiTheme="minorEastAsia" w:eastAsiaTheme="minorEastAsia" w:hAnsiTheme="minorEastAsia"/>
                <w:color w:val="000000" w:themeColor="text1"/>
                <w:sz w:val="24"/>
              </w:rPr>
              <w:t>邱林晶女士曾任国泰基金管理有限公司风险管理部分析师，平安资产管理有限责任公司固收交易员，中银理财有限责任公司集中交易室高级经理、活期理财产品部投资经理；自</w:t>
            </w:r>
            <w:r>
              <w:rPr>
                <w:rFonts w:asciiTheme="minorEastAsia" w:eastAsiaTheme="minorEastAsia" w:hAnsiTheme="minorEastAsia"/>
                <w:color w:val="000000" w:themeColor="text1"/>
                <w:sz w:val="24"/>
              </w:rPr>
              <w:t>2022</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5</w:t>
            </w:r>
            <w:r>
              <w:rPr>
                <w:rFonts w:asciiTheme="minorEastAsia" w:eastAsiaTheme="minorEastAsia" w:hAnsiTheme="minorEastAsia"/>
                <w:color w:val="000000" w:themeColor="text1"/>
                <w:sz w:val="24"/>
              </w:rPr>
              <w:t>月加入摩根基金管理（中国）有限公司（原上投摩根基金管理有限公司），历任货币市场投资部基金经理助理，现任基金经理。</w:t>
            </w:r>
          </w:p>
        </w:tc>
      </w:tr>
    </w:tbl>
    <w:p w14:paraId="6AE2466B" w14:textId="77777777" w:rsidR="00C83121" w:rsidRDefault="004763DD">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w:t>
      </w:r>
      <w:r>
        <w:rPr>
          <w:rFonts w:asciiTheme="minorEastAsia" w:eastAsiaTheme="minorEastAsia" w:hAnsiTheme="minorEastAsia"/>
          <w:color w:val="000000" w:themeColor="text1"/>
          <w:sz w:val="24"/>
        </w:rPr>
        <w:t>1.</w:t>
      </w:r>
      <w:r>
        <w:rPr>
          <w:rFonts w:asciiTheme="minorEastAsia" w:eastAsiaTheme="minorEastAsia" w:hAnsiTheme="minorEastAsia"/>
          <w:color w:val="000000" w:themeColor="text1"/>
          <w:sz w:val="24"/>
        </w:rPr>
        <w:t>任职日期和离任日期均指根据公司决定确定的聘任日期和解聘日期。</w:t>
      </w:r>
    </w:p>
    <w:p w14:paraId="05B461A6" w14:textId="77777777" w:rsidR="00DA315C"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2.证券从业的含义遵从行业协会《证券业从业人员资格管理办法》的相关规定。</w:t>
      </w:r>
    </w:p>
    <w:p w14:paraId="7412CAA2" w14:textId="77777777" w:rsidR="00DA315C" w:rsidRDefault="00CC2E83" w:rsidP="007753E9">
      <w:pPr>
        <w:autoSpaceDE w:val="0"/>
        <w:autoSpaceDN w:val="0"/>
        <w:adjustRightInd w:val="0"/>
        <w:spacing w:beforeLines="100" w:before="240"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4.2 </w:t>
      </w:r>
      <w:r>
        <w:rPr>
          <w:rFonts w:asciiTheme="minorEastAsia" w:eastAsiaTheme="minorEastAsia" w:hAnsiTheme="minorEastAsia" w:cs="Arial" w:hint="eastAsia"/>
          <w:b/>
          <w:color w:val="000000" w:themeColor="text1"/>
          <w:kern w:val="0"/>
          <w:sz w:val="24"/>
        </w:rPr>
        <w:t>报告期内本基金运作遵规守信情况说明</w:t>
      </w:r>
    </w:p>
    <w:p w14:paraId="0FF4A4F0"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w:t>
      </w:r>
      <w:r>
        <w:rPr>
          <w:rFonts w:asciiTheme="minorEastAsia" w:eastAsiaTheme="minorEastAsia" w:hAnsiTheme="minorEastAsia"/>
          <w:color w:val="000000" w:themeColor="text1"/>
          <w:sz w:val="24"/>
        </w:rPr>
        <w:lastRenderedPageBreak/>
        <w:t>比例要求的情形，但已在规定时间内调整完毕。</w:t>
      </w:r>
    </w:p>
    <w:p w14:paraId="376836DF" w14:textId="77777777" w:rsidR="00DA315C" w:rsidRDefault="00CC2E83" w:rsidP="007753E9">
      <w:pPr>
        <w:autoSpaceDE w:val="0"/>
        <w:autoSpaceDN w:val="0"/>
        <w:adjustRightInd w:val="0"/>
        <w:spacing w:beforeLines="100" w:before="240"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4.3 </w:t>
      </w:r>
      <w:r>
        <w:rPr>
          <w:rFonts w:asciiTheme="minorEastAsia" w:eastAsiaTheme="minorEastAsia" w:hAnsiTheme="minorEastAsia" w:cs="Arial" w:hint="eastAsia"/>
          <w:b/>
          <w:color w:val="000000" w:themeColor="text1"/>
          <w:kern w:val="0"/>
          <w:sz w:val="24"/>
        </w:rPr>
        <w:t>公平交易专项说明</w:t>
      </w:r>
    </w:p>
    <w:p w14:paraId="340DDEE1" w14:textId="77777777" w:rsidR="00DA315C" w:rsidRDefault="00CC2E83" w:rsidP="007753E9">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4.3.1 公平交易制度的执行情况</w:t>
      </w:r>
    </w:p>
    <w:p w14:paraId="132C3DB9"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报告期内，本公司继续贯彻落实《</w:t>
      </w:r>
      <w:r>
        <w:rPr>
          <w:rFonts w:asciiTheme="minorEastAsia" w:eastAsiaTheme="minorEastAsia" w:hAnsiTheme="minorEastAsia"/>
          <w:color w:val="000000" w:themeColor="text1"/>
          <w:sz w:val="24"/>
        </w:rPr>
        <w:t>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348AFD6"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w:t>
      </w:r>
      <w:r>
        <w:rPr>
          <w:rFonts w:asciiTheme="minorEastAsia" w:eastAsiaTheme="minorEastAsia" w:hAnsiTheme="minorEastAsia"/>
          <w:color w:val="000000" w:themeColor="text1"/>
          <w:sz w:val="24"/>
        </w:rPr>
        <w:t>询价机制，严格防范对手风险并检查价格公允性；对于申购投资行为，本公司遵循价格优先、比例分配的原则，根据事前独立申报的价格和数量对交易结果进行公平分配。</w:t>
      </w:r>
    </w:p>
    <w:p w14:paraId="368E5F1D"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14:paraId="0EE3A21F" w14:textId="77777777" w:rsidR="00DA315C" w:rsidRDefault="00CC2E83" w:rsidP="007753E9">
      <w:pPr>
        <w:spacing w:beforeLines="100" w:before="240"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4.3.2 异常交易行为的专项说明</w:t>
      </w:r>
    </w:p>
    <w:p w14:paraId="4DCF36C8"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报告期内，通过对交易价格、交易时间、交易方向等的分析，未发现有可能导致不公平交易和利益输送的异常交易行为。</w:t>
      </w:r>
    </w:p>
    <w:p w14:paraId="2175875A"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所有投资组合参与的交易所公开竞价同日反向交易成交较少的单边交易量超过该证券当日成交量的5%的情形：无。</w:t>
      </w:r>
    </w:p>
    <w:p w14:paraId="34D6425D" w14:textId="77777777" w:rsidR="00DA315C" w:rsidRPr="00FC77AA" w:rsidRDefault="00CC2E83" w:rsidP="007753E9">
      <w:pPr>
        <w:autoSpaceDE w:val="0"/>
        <w:autoSpaceDN w:val="0"/>
        <w:adjustRightInd w:val="0"/>
        <w:spacing w:beforeLines="100" w:before="240" w:line="360" w:lineRule="auto"/>
        <w:jc w:val="left"/>
        <w:rPr>
          <w:rFonts w:asciiTheme="minorEastAsia" w:eastAsiaTheme="minorEastAsia" w:hAnsiTheme="minorEastAsia" w:cs="Arial"/>
          <w:b/>
          <w:color w:val="000000" w:themeColor="text1"/>
          <w:kern w:val="0"/>
          <w:sz w:val="24"/>
        </w:rPr>
      </w:pPr>
      <w:r w:rsidRPr="00FC77AA">
        <w:rPr>
          <w:rFonts w:asciiTheme="minorEastAsia" w:eastAsiaTheme="minorEastAsia" w:hAnsiTheme="minorEastAsia" w:cs="Arial"/>
          <w:b/>
          <w:color w:val="000000" w:themeColor="text1"/>
          <w:kern w:val="0"/>
          <w:sz w:val="24"/>
        </w:rPr>
        <w:t>4.4</w:t>
      </w:r>
      <w:r w:rsidRPr="00FC77AA">
        <w:rPr>
          <w:rFonts w:asciiTheme="minorEastAsia" w:eastAsiaTheme="minorEastAsia" w:hAnsiTheme="minorEastAsia" w:cs="Arial" w:hint="eastAsia"/>
          <w:b/>
          <w:color w:val="000000" w:themeColor="text1"/>
          <w:kern w:val="0"/>
          <w:sz w:val="24"/>
        </w:rPr>
        <w:t xml:space="preserve"> 报告期内基金的投资策略和运作分析</w:t>
      </w:r>
    </w:p>
    <w:p w14:paraId="1ABCCC3E"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2024</w:t>
      </w:r>
      <w:r>
        <w:rPr>
          <w:rFonts w:asciiTheme="minorEastAsia" w:eastAsiaTheme="minorEastAsia" w:hAnsiTheme="minorEastAsia"/>
          <w:color w:val="000000" w:themeColor="text1"/>
          <w:sz w:val="24"/>
        </w:rPr>
        <w:t>年二季度，经济延续回升向好态势，运行总体平稳。</w:t>
      </w:r>
      <w:r>
        <w:rPr>
          <w:rFonts w:asciiTheme="minorEastAsia" w:eastAsiaTheme="minorEastAsia" w:hAnsiTheme="minorEastAsia"/>
          <w:color w:val="000000" w:themeColor="text1"/>
          <w:sz w:val="24"/>
        </w:rPr>
        <w:t>1-5</w:t>
      </w:r>
      <w:r>
        <w:rPr>
          <w:rFonts w:asciiTheme="minorEastAsia" w:eastAsiaTheme="minorEastAsia" w:hAnsiTheme="minorEastAsia"/>
          <w:color w:val="000000" w:themeColor="text1"/>
          <w:sz w:val="24"/>
        </w:rPr>
        <w:t>月份全国规模以上工业企业利润同比增长</w:t>
      </w:r>
      <w:r>
        <w:rPr>
          <w:rFonts w:asciiTheme="minorEastAsia" w:eastAsiaTheme="minorEastAsia" w:hAnsiTheme="minorEastAsia"/>
          <w:color w:val="000000" w:themeColor="text1"/>
          <w:sz w:val="24"/>
        </w:rPr>
        <w:t>3.4%</w:t>
      </w:r>
      <w:r>
        <w:rPr>
          <w:rFonts w:asciiTheme="minorEastAsia" w:eastAsiaTheme="minorEastAsia" w:hAnsiTheme="minorEastAsia"/>
          <w:color w:val="000000" w:themeColor="text1"/>
          <w:sz w:val="24"/>
        </w:rPr>
        <w:t>，延续年初以来的增长态势；</w:t>
      </w:r>
      <w:r>
        <w:rPr>
          <w:rFonts w:asciiTheme="minorEastAsia" w:eastAsiaTheme="minorEastAsia" w:hAnsiTheme="minorEastAsia"/>
          <w:color w:val="000000" w:themeColor="text1"/>
          <w:sz w:val="24"/>
        </w:rPr>
        <w:t>1-5</w:t>
      </w:r>
      <w:r>
        <w:rPr>
          <w:rFonts w:asciiTheme="minorEastAsia" w:eastAsiaTheme="minorEastAsia" w:hAnsiTheme="minorEastAsia"/>
          <w:color w:val="000000" w:themeColor="text1"/>
          <w:sz w:val="24"/>
        </w:rPr>
        <w:t>月份全国固定资产投资增长</w:t>
      </w:r>
      <w:r>
        <w:rPr>
          <w:rFonts w:asciiTheme="minorEastAsia" w:eastAsiaTheme="minorEastAsia" w:hAnsiTheme="minorEastAsia"/>
          <w:color w:val="000000" w:themeColor="text1"/>
          <w:sz w:val="24"/>
        </w:rPr>
        <w:t>4.0%</w:t>
      </w:r>
      <w:r>
        <w:rPr>
          <w:rFonts w:asciiTheme="minorEastAsia" w:eastAsiaTheme="minorEastAsia" w:hAnsiTheme="minorEastAsia"/>
          <w:color w:val="000000" w:themeColor="text1"/>
          <w:sz w:val="24"/>
        </w:rPr>
        <w:t>，高技术产业投资增速加快</w:t>
      </w:r>
      <w:r>
        <w:rPr>
          <w:rFonts w:asciiTheme="minorEastAsia" w:eastAsiaTheme="minorEastAsia" w:hAnsiTheme="minorEastAsia"/>
          <w:color w:val="000000" w:themeColor="text1"/>
          <w:sz w:val="24"/>
        </w:rPr>
        <w:t>; 5</w:t>
      </w:r>
      <w:r>
        <w:rPr>
          <w:rFonts w:asciiTheme="minorEastAsia" w:eastAsiaTheme="minorEastAsia" w:hAnsiTheme="minorEastAsia"/>
          <w:color w:val="000000" w:themeColor="text1"/>
          <w:sz w:val="24"/>
        </w:rPr>
        <w:t>月份社会消费品零售总额增长</w:t>
      </w:r>
      <w:r>
        <w:rPr>
          <w:rFonts w:asciiTheme="minorEastAsia" w:eastAsiaTheme="minorEastAsia" w:hAnsiTheme="minorEastAsia"/>
          <w:color w:val="000000" w:themeColor="text1"/>
          <w:sz w:val="24"/>
        </w:rPr>
        <w:t>3.7%</w:t>
      </w:r>
      <w:r>
        <w:rPr>
          <w:rFonts w:asciiTheme="minorEastAsia" w:eastAsiaTheme="minorEastAsia" w:hAnsiTheme="minorEastAsia"/>
          <w:color w:val="000000" w:themeColor="text1"/>
          <w:sz w:val="24"/>
        </w:rPr>
        <w:t>，消费品市场稳中有升；</w:t>
      </w:r>
      <w:r>
        <w:rPr>
          <w:rFonts w:asciiTheme="minorEastAsia" w:eastAsiaTheme="minorEastAsia" w:hAnsiTheme="minorEastAsia"/>
          <w:color w:val="000000" w:themeColor="text1"/>
          <w:sz w:val="24"/>
        </w:rPr>
        <w:t>6</w:t>
      </w:r>
      <w:r>
        <w:rPr>
          <w:rFonts w:asciiTheme="minorEastAsia" w:eastAsiaTheme="minorEastAsia" w:hAnsiTheme="minorEastAsia"/>
          <w:color w:val="000000" w:themeColor="text1"/>
          <w:sz w:val="24"/>
        </w:rPr>
        <w:t>月</w:t>
      </w:r>
      <w:r>
        <w:rPr>
          <w:rFonts w:asciiTheme="minorEastAsia" w:eastAsiaTheme="minorEastAsia" w:hAnsiTheme="minorEastAsia"/>
          <w:color w:val="000000" w:themeColor="text1"/>
          <w:sz w:val="24"/>
        </w:rPr>
        <w:t>份制造业采购经理人指数（</w:t>
      </w:r>
      <w:r>
        <w:rPr>
          <w:rFonts w:asciiTheme="minorEastAsia" w:eastAsiaTheme="minorEastAsia" w:hAnsiTheme="minorEastAsia"/>
          <w:color w:val="000000" w:themeColor="text1"/>
          <w:sz w:val="24"/>
        </w:rPr>
        <w:t>PMI</w:t>
      </w:r>
      <w:r>
        <w:rPr>
          <w:rFonts w:asciiTheme="minorEastAsia" w:eastAsiaTheme="minorEastAsia" w:hAnsiTheme="minorEastAsia"/>
          <w:color w:val="000000" w:themeColor="text1"/>
          <w:sz w:val="24"/>
        </w:rPr>
        <w:t>）为</w:t>
      </w:r>
      <w:r>
        <w:rPr>
          <w:rFonts w:asciiTheme="minorEastAsia" w:eastAsiaTheme="minorEastAsia" w:hAnsiTheme="minorEastAsia"/>
          <w:color w:val="000000" w:themeColor="text1"/>
          <w:sz w:val="24"/>
        </w:rPr>
        <w:t>49.5%</w:t>
      </w:r>
      <w:r>
        <w:rPr>
          <w:rFonts w:asciiTheme="minorEastAsia" w:eastAsiaTheme="minorEastAsia" w:hAnsiTheme="minorEastAsia"/>
          <w:color w:val="000000" w:themeColor="text1"/>
          <w:sz w:val="24"/>
        </w:rPr>
        <w:t>，与上月持平</w:t>
      </w:r>
      <w:r>
        <w:rPr>
          <w:rFonts w:asciiTheme="minorEastAsia" w:eastAsiaTheme="minorEastAsia" w:hAnsiTheme="minorEastAsia"/>
          <w:color w:val="000000" w:themeColor="text1"/>
          <w:sz w:val="24"/>
        </w:rPr>
        <w:t>; 5</w:t>
      </w:r>
      <w:r>
        <w:rPr>
          <w:rFonts w:asciiTheme="minorEastAsia" w:eastAsiaTheme="minorEastAsia" w:hAnsiTheme="minorEastAsia"/>
          <w:color w:val="000000" w:themeColor="text1"/>
          <w:sz w:val="24"/>
        </w:rPr>
        <w:t>月消费者价格指数</w:t>
      </w:r>
      <w:r>
        <w:rPr>
          <w:rFonts w:asciiTheme="minorEastAsia" w:eastAsiaTheme="minorEastAsia" w:hAnsiTheme="minorEastAsia"/>
          <w:color w:val="000000" w:themeColor="text1"/>
          <w:sz w:val="24"/>
        </w:rPr>
        <w:t>(CPI)</w:t>
      </w:r>
      <w:r>
        <w:rPr>
          <w:rFonts w:asciiTheme="minorEastAsia" w:eastAsiaTheme="minorEastAsia" w:hAnsiTheme="minorEastAsia"/>
          <w:color w:val="000000" w:themeColor="text1"/>
          <w:sz w:val="24"/>
        </w:rPr>
        <w:t>当月同比上涨</w:t>
      </w:r>
      <w:r>
        <w:rPr>
          <w:rFonts w:asciiTheme="minorEastAsia" w:eastAsiaTheme="minorEastAsia" w:hAnsiTheme="minorEastAsia"/>
          <w:color w:val="000000" w:themeColor="text1"/>
          <w:sz w:val="24"/>
        </w:rPr>
        <w:t>0.3%</w:t>
      </w:r>
      <w:r>
        <w:rPr>
          <w:rFonts w:asciiTheme="minorEastAsia" w:eastAsiaTheme="minorEastAsia" w:hAnsiTheme="minorEastAsia"/>
          <w:color w:val="000000" w:themeColor="text1"/>
          <w:sz w:val="24"/>
        </w:rPr>
        <w:t>，生产者价格指数</w:t>
      </w:r>
      <w:r>
        <w:rPr>
          <w:rFonts w:asciiTheme="minorEastAsia" w:eastAsiaTheme="minorEastAsia" w:hAnsiTheme="minorEastAsia"/>
          <w:color w:val="000000" w:themeColor="text1"/>
          <w:sz w:val="24"/>
        </w:rPr>
        <w:t>(PPI)</w:t>
      </w:r>
      <w:r>
        <w:rPr>
          <w:rFonts w:asciiTheme="minorEastAsia" w:eastAsiaTheme="minorEastAsia" w:hAnsiTheme="minorEastAsia"/>
          <w:color w:val="000000" w:themeColor="text1"/>
          <w:sz w:val="24"/>
        </w:rPr>
        <w:t>当月同比下降</w:t>
      </w:r>
      <w:r>
        <w:rPr>
          <w:rFonts w:asciiTheme="minorEastAsia" w:eastAsiaTheme="minorEastAsia" w:hAnsiTheme="minorEastAsia"/>
          <w:color w:val="000000" w:themeColor="text1"/>
          <w:sz w:val="24"/>
        </w:rPr>
        <w:t>1.4%</w:t>
      </w:r>
      <w:r>
        <w:rPr>
          <w:rFonts w:asciiTheme="minorEastAsia" w:eastAsiaTheme="minorEastAsia" w:hAnsiTheme="minorEastAsia"/>
          <w:color w:val="000000" w:themeColor="text1"/>
          <w:sz w:val="24"/>
        </w:rPr>
        <w:t>。</w:t>
      </w:r>
    </w:p>
    <w:p w14:paraId="57F433EC"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二季度，稳健的货币政策灵活适度、精准有效，社会融资成本继续下降，保持人民</w:t>
      </w:r>
      <w:r>
        <w:rPr>
          <w:rFonts w:asciiTheme="minorEastAsia" w:eastAsiaTheme="minorEastAsia" w:hAnsiTheme="minorEastAsia"/>
          <w:color w:val="000000" w:themeColor="text1"/>
          <w:sz w:val="24"/>
        </w:rPr>
        <w:lastRenderedPageBreak/>
        <w:t>币汇率基本稳定。</w:t>
      </w:r>
      <w:r>
        <w:rPr>
          <w:rFonts w:asciiTheme="minorEastAsia" w:eastAsiaTheme="minorEastAsia" w:hAnsiTheme="minorEastAsia"/>
          <w:color w:val="000000" w:themeColor="text1"/>
          <w:sz w:val="24"/>
        </w:rPr>
        <w:t>4</w:t>
      </w:r>
      <w:r>
        <w:rPr>
          <w:rFonts w:asciiTheme="minorEastAsia" w:eastAsiaTheme="minorEastAsia" w:hAnsiTheme="minorEastAsia"/>
          <w:color w:val="000000" w:themeColor="text1"/>
          <w:sz w:val="24"/>
        </w:rPr>
        <w:t>月以来，整顿手工补息、减少资金空转套利有效提升了货币政策传导效率，有利于金融高质量服务经济社会发展及金融机构、金融市场健康发展。总体来看，二季度债市短端收益率整体下行，</w:t>
      </w:r>
      <w:r>
        <w:rPr>
          <w:rFonts w:asciiTheme="minorEastAsia" w:eastAsiaTheme="minorEastAsia" w:hAnsiTheme="minorEastAsia"/>
          <w:color w:val="000000" w:themeColor="text1"/>
          <w:sz w:val="24"/>
        </w:rPr>
        <w:t>1</w:t>
      </w:r>
      <w:r>
        <w:rPr>
          <w:rFonts w:asciiTheme="minorEastAsia" w:eastAsiaTheme="minorEastAsia" w:hAnsiTheme="minorEastAsia"/>
          <w:color w:val="000000" w:themeColor="text1"/>
          <w:sz w:val="24"/>
        </w:rPr>
        <w:t>年期国股行同业存单收益率从</w:t>
      </w:r>
      <w:r>
        <w:rPr>
          <w:rFonts w:asciiTheme="minorEastAsia" w:eastAsiaTheme="minorEastAsia" w:hAnsiTheme="minorEastAsia"/>
          <w:color w:val="000000" w:themeColor="text1"/>
          <w:sz w:val="24"/>
        </w:rPr>
        <w:t>2.23%</w:t>
      </w:r>
      <w:r>
        <w:rPr>
          <w:rFonts w:asciiTheme="minorEastAsia" w:eastAsiaTheme="minorEastAsia" w:hAnsiTheme="minorEastAsia"/>
          <w:color w:val="000000" w:themeColor="text1"/>
          <w:sz w:val="24"/>
        </w:rPr>
        <w:t>下行</w:t>
      </w:r>
      <w:r>
        <w:rPr>
          <w:rFonts w:asciiTheme="minorEastAsia" w:eastAsiaTheme="minorEastAsia" w:hAnsiTheme="minorEastAsia"/>
          <w:color w:val="000000" w:themeColor="text1"/>
          <w:sz w:val="24"/>
        </w:rPr>
        <w:t>28bps</w:t>
      </w:r>
      <w:r>
        <w:rPr>
          <w:rFonts w:asciiTheme="minorEastAsia" w:eastAsiaTheme="minorEastAsia" w:hAnsiTheme="minorEastAsia"/>
          <w:color w:val="000000" w:themeColor="text1"/>
          <w:sz w:val="24"/>
        </w:rPr>
        <w:t>至</w:t>
      </w:r>
      <w:r>
        <w:rPr>
          <w:rFonts w:asciiTheme="minorEastAsia" w:eastAsiaTheme="minorEastAsia" w:hAnsiTheme="minorEastAsia"/>
          <w:color w:val="000000" w:themeColor="text1"/>
          <w:sz w:val="24"/>
        </w:rPr>
        <w:t>1.95%</w:t>
      </w:r>
      <w:r>
        <w:rPr>
          <w:rFonts w:asciiTheme="minorEastAsia" w:eastAsiaTheme="minorEastAsia" w:hAnsiTheme="minorEastAsia"/>
          <w:color w:val="000000" w:themeColor="text1"/>
          <w:sz w:val="24"/>
        </w:rPr>
        <w:t>附近；</w:t>
      </w:r>
      <w:r>
        <w:rPr>
          <w:rFonts w:asciiTheme="minorEastAsia" w:eastAsiaTheme="minorEastAsia" w:hAnsiTheme="minorEastAsia"/>
          <w:color w:val="000000" w:themeColor="text1"/>
          <w:sz w:val="24"/>
        </w:rPr>
        <w:t>1</w:t>
      </w:r>
      <w:r>
        <w:rPr>
          <w:rFonts w:asciiTheme="minorEastAsia" w:eastAsiaTheme="minorEastAsia" w:hAnsiTheme="minorEastAsia"/>
          <w:color w:val="000000" w:themeColor="text1"/>
          <w:sz w:val="24"/>
        </w:rPr>
        <w:t>年期国开债收益率从</w:t>
      </w:r>
      <w:r>
        <w:rPr>
          <w:rFonts w:asciiTheme="minorEastAsia" w:eastAsiaTheme="minorEastAsia" w:hAnsiTheme="minorEastAsia"/>
          <w:color w:val="000000" w:themeColor="text1"/>
          <w:sz w:val="24"/>
        </w:rPr>
        <w:t>1.8</w:t>
      </w:r>
      <w:r>
        <w:rPr>
          <w:rFonts w:asciiTheme="minorEastAsia" w:eastAsiaTheme="minorEastAsia" w:hAnsiTheme="minorEastAsia"/>
          <w:color w:val="000000" w:themeColor="text1"/>
          <w:sz w:val="24"/>
        </w:rPr>
        <w:t>4%</w:t>
      </w:r>
      <w:r>
        <w:rPr>
          <w:rFonts w:asciiTheme="minorEastAsia" w:eastAsiaTheme="minorEastAsia" w:hAnsiTheme="minorEastAsia"/>
          <w:color w:val="000000" w:themeColor="text1"/>
          <w:sz w:val="24"/>
        </w:rPr>
        <w:t>下行</w:t>
      </w:r>
      <w:r>
        <w:rPr>
          <w:rFonts w:asciiTheme="minorEastAsia" w:eastAsiaTheme="minorEastAsia" w:hAnsiTheme="minorEastAsia"/>
          <w:color w:val="000000" w:themeColor="text1"/>
          <w:sz w:val="24"/>
        </w:rPr>
        <w:t>14bps</w:t>
      </w:r>
      <w:r>
        <w:rPr>
          <w:rFonts w:asciiTheme="minorEastAsia" w:eastAsiaTheme="minorEastAsia" w:hAnsiTheme="minorEastAsia"/>
          <w:color w:val="000000" w:themeColor="text1"/>
          <w:sz w:val="24"/>
        </w:rPr>
        <w:t>至</w:t>
      </w:r>
      <w:r>
        <w:rPr>
          <w:rFonts w:asciiTheme="minorEastAsia" w:eastAsiaTheme="minorEastAsia" w:hAnsiTheme="minorEastAsia"/>
          <w:color w:val="000000" w:themeColor="text1"/>
          <w:sz w:val="24"/>
        </w:rPr>
        <w:t>1.7%</w:t>
      </w:r>
      <w:r>
        <w:rPr>
          <w:rFonts w:asciiTheme="minorEastAsia" w:eastAsiaTheme="minorEastAsia" w:hAnsiTheme="minorEastAsia"/>
          <w:color w:val="000000" w:themeColor="text1"/>
          <w:sz w:val="24"/>
        </w:rPr>
        <w:t>附近。</w:t>
      </w:r>
    </w:p>
    <w:p w14:paraId="4E78D6ED"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在二季度继续以流动性和安全性为优先目标，在市场收益率下行过程中及时调整久期，保持流动性较好资产配置比例，同时密切关注客户现金流动向，在季末关键时点做好流动性前瞻性管理，预备充足流动性满足客户的赎回要求，力求平衡基金收益率和安全性，把握组合整体风险。</w:t>
      </w:r>
    </w:p>
    <w:p w14:paraId="0CDA150C"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展望未来，随着设备更新和消费品以旧换新的大规模推开，政策效应将进一步显现；后续中央预算内投资下达和专项债发行加快，有利于实物工作量的增长，有望推动经济持续向好。人民银行预计加大已出台货币政策实施力度，保持流动性合理充裕，促进物价温和回升，同时防范汇率超调风险。本基金在未来仍会谨记货币基金现金管理工具的原则，时刻关注国内外市场各种动向，坚决防范各类信用风险，灵活调整资产配置，遵守各项监管要求，同时始终把基金安全性、流动性以及投资人利益放在优先位置，力争为投资人提供安全稳健的长期回报。</w:t>
      </w:r>
    </w:p>
    <w:p w14:paraId="256623C2" w14:textId="77777777" w:rsidR="00DA315C" w:rsidRPr="00FC77AA" w:rsidRDefault="00CC2E83" w:rsidP="007753E9">
      <w:pPr>
        <w:autoSpaceDE w:val="0"/>
        <w:autoSpaceDN w:val="0"/>
        <w:adjustRightInd w:val="0"/>
        <w:spacing w:beforeLines="100" w:before="240" w:line="360" w:lineRule="auto"/>
        <w:jc w:val="left"/>
        <w:rPr>
          <w:rFonts w:asciiTheme="minorEastAsia" w:eastAsiaTheme="minorEastAsia" w:hAnsiTheme="minorEastAsia" w:cs="Arial"/>
          <w:b/>
          <w:color w:val="000000" w:themeColor="text1"/>
          <w:kern w:val="0"/>
          <w:sz w:val="24"/>
        </w:rPr>
      </w:pPr>
      <w:r w:rsidRPr="00FC77AA">
        <w:rPr>
          <w:rFonts w:asciiTheme="minorEastAsia" w:eastAsiaTheme="minorEastAsia" w:hAnsiTheme="minorEastAsia" w:cs="Arial" w:hint="eastAsia"/>
          <w:b/>
          <w:color w:val="000000" w:themeColor="text1"/>
          <w:kern w:val="0"/>
          <w:sz w:val="24"/>
        </w:rPr>
        <w:t>4.5 报告期内基金的业绩表现</w:t>
      </w:r>
    </w:p>
    <w:p w14:paraId="5A769E5E"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本报告期摩根天添盈</w:t>
      </w:r>
      <w:r>
        <w:rPr>
          <w:rFonts w:asciiTheme="minorEastAsia" w:eastAsiaTheme="minorEastAsia" w:hAnsiTheme="minorEastAsia"/>
          <w:color w:val="000000" w:themeColor="text1"/>
          <w:sz w:val="24"/>
        </w:rPr>
        <w:t>A</w:t>
      </w:r>
      <w:r>
        <w:rPr>
          <w:rFonts w:asciiTheme="minorEastAsia" w:eastAsiaTheme="minorEastAsia" w:hAnsiTheme="minorEastAsia"/>
          <w:color w:val="000000" w:themeColor="text1"/>
          <w:sz w:val="24"/>
        </w:rPr>
        <w:t>份额净值增长率为</w:t>
      </w:r>
      <w:r>
        <w:rPr>
          <w:rFonts w:asciiTheme="minorEastAsia" w:eastAsiaTheme="minorEastAsia" w:hAnsiTheme="minorEastAsia"/>
          <w:color w:val="000000" w:themeColor="text1"/>
          <w:sz w:val="24"/>
        </w:rPr>
        <w:t>:0.3879%</w:t>
      </w:r>
      <w:r>
        <w:rPr>
          <w:rFonts w:asciiTheme="minorEastAsia" w:eastAsiaTheme="minorEastAsia" w:hAnsiTheme="minorEastAsia"/>
          <w:color w:val="000000" w:themeColor="text1"/>
          <w:sz w:val="24"/>
        </w:rPr>
        <w:t>，同期业绩比较基准收益率为</w:t>
      </w:r>
      <w:r>
        <w:rPr>
          <w:rFonts w:asciiTheme="minorEastAsia" w:eastAsiaTheme="minorEastAsia" w:hAnsiTheme="minorEastAsia"/>
          <w:color w:val="000000" w:themeColor="text1"/>
          <w:sz w:val="24"/>
        </w:rPr>
        <w:t>:0.3357%</w:t>
      </w:r>
    </w:p>
    <w:p w14:paraId="13A674A3"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自</w:t>
      </w:r>
      <w:r>
        <w:rPr>
          <w:rFonts w:asciiTheme="minorEastAsia" w:eastAsiaTheme="minorEastAsia" w:hAnsiTheme="minorEastAsia"/>
          <w:color w:val="000000" w:themeColor="text1"/>
          <w:sz w:val="24"/>
        </w:rPr>
        <w:t>2018</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6</w:t>
      </w:r>
      <w:r>
        <w:rPr>
          <w:rFonts w:asciiTheme="minorEastAsia" w:eastAsiaTheme="minorEastAsia" w:hAnsiTheme="minorEastAsia"/>
          <w:color w:val="000000" w:themeColor="text1"/>
          <w:sz w:val="24"/>
        </w:rPr>
        <w:t>月</w:t>
      </w:r>
      <w:r>
        <w:rPr>
          <w:rFonts w:asciiTheme="minorEastAsia" w:eastAsiaTheme="minorEastAsia" w:hAnsiTheme="minorEastAsia"/>
          <w:color w:val="000000" w:themeColor="text1"/>
          <w:sz w:val="24"/>
        </w:rPr>
        <w:t>22</w:t>
      </w:r>
      <w:r>
        <w:rPr>
          <w:rFonts w:asciiTheme="minorEastAsia" w:eastAsiaTheme="minorEastAsia" w:hAnsiTheme="minorEastAsia"/>
          <w:color w:val="000000" w:themeColor="text1"/>
          <w:sz w:val="24"/>
        </w:rPr>
        <w:t>日起，本基金</w:t>
      </w:r>
      <w:r>
        <w:rPr>
          <w:rFonts w:asciiTheme="minorEastAsia" w:eastAsiaTheme="minorEastAsia" w:hAnsiTheme="minorEastAsia"/>
          <w:color w:val="000000" w:themeColor="text1"/>
          <w:sz w:val="24"/>
        </w:rPr>
        <w:t>B</w:t>
      </w:r>
      <w:r>
        <w:rPr>
          <w:rFonts w:asciiTheme="minorEastAsia" w:eastAsiaTheme="minorEastAsia" w:hAnsiTheme="minorEastAsia"/>
          <w:color w:val="000000" w:themeColor="text1"/>
          <w:sz w:val="24"/>
        </w:rPr>
        <w:t>类基金份额为零且停止计算</w:t>
      </w:r>
      <w:r>
        <w:rPr>
          <w:rFonts w:asciiTheme="minorEastAsia" w:eastAsiaTheme="minorEastAsia" w:hAnsiTheme="minorEastAsia"/>
          <w:color w:val="000000" w:themeColor="text1"/>
          <w:sz w:val="24"/>
        </w:rPr>
        <w:t>B</w:t>
      </w:r>
      <w:r>
        <w:rPr>
          <w:rFonts w:asciiTheme="minorEastAsia" w:eastAsiaTheme="minorEastAsia" w:hAnsiTheme="minorEastAsia"/>
          <w:color w:val="000000" w:themeColor="text1"/>
          <w:sz w:val="24"/>
        </w:rPr>
        <w:t>类基金份额每万份收益。</w:t>
      </w:r>
    </w:p>
    <w:p w14:paraId="73D547AF"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摩根天添盈</w:t>
      </w:r>
      <w:r>
        <w:rPr>
          <w:rFonts w:asciiTheme="minorEastAsia" w:eastAsiaTheme="minorEastAsia" w:hAnsiTheme="minorEastAsia"/>
          <w:color w:val="000000" w:themeColor="text1"/>
          <w:sz w:val="24"/>
        </w:rPr>
        <w:t>C</w:t>
      </w:r>
      <w:r>
        <w:rPr>
          <w:rFonts w:asciiTheme="minorEastAsia" w:eastAsiaTheme="minorEastAsia" w:hAnsiTheme="minorEastAsia"/>
          <w:color w:val="000000" w:themeColor="text1"/>
          <w:sz w:val="24"/>
        </w:rPr>
        <w:t>份额净值增长率为</w:t>
      </w:r>
      <w:r>
        <w:rPr>
          <w:rFonts w:asciiTheme="minorEastAsia" w:eastAsiaTheme="minorEastAsia" w:hAnsiTheme="minorEastAsia"/>
          <w:color w:val="000000" w:themeColor="text1"/>
          <w:sz w:val="24"/>
        </w:rPr>
        <w:t>:0.3880%</w:t>
      </w:r>
      <w:r>
        <w:rPr>
          <w:rFonts w:asciiTheme="minorEastAsia" w:eastAsiaTheme="minorEastAsia" w:hAnsiTheme="minorEastAsia"/>
          <w:color w:val="000000" w:themeColor="text1"/>
          <w:sz w:val="24"/>
        </w:rPr>
        <w:t>，同期业绩比较基准收益率为</w:t>
      </w:r>
      <w:r>
        <w:rPr>
          <w:rFonts w:asciiTheme="minorEastAsia" w:eastAsiaTheme="minorEastAsia" w:hAnsiTheme="minorEastAsia"/>
          <w:color w:val="000000" w:themeColor="text1"/>
          <w:sz w:val="24"/>
        </w:rPr>
        <w:t>:0.3357%</w:t>
      </w:r>
    </w:p>
    <w:p w14:paraId="582C06CC"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摩根天添盈E份额净值增长率为:0.4478%，同期业绩比较基准收益率为:0.3357%。</w:t>
      </w:r>
    </w:p>
    <w:p w14:paraId="2C0DB4A0" w14:textId="77777777" w:rsidR="00DA315C" w:rsidRPr="00FC77AA" w:rsidRDefault="00CC2E83" w:rsidP="007753E9">
      <w:pPr>
        <w:autoSpaceDE w:val="0"/>
        <w:autoSpaceDN w:val="0"/>
        <w:adjustRightInd w:val="0"/>
        <w:spacing w:beforeLines="100" w:before="240" w:line="360" w:lineRule="auto"/>
        <w:jc w:val="left"/>
        <w:rPr>
          <w:rFonts w:asciiTheme="minorEastAsia" w:eastAsiaTheme="minorEastAsia" w:hAnsiTheme="minorEastAsia" w:cs="Arial"/>
          <w:b/>
          <w:color w:val="000000" w:themeColor="text1"/>
          <w:kern w:val="0"/>
          <w:sz w:val="24"/>
        </w:rPr>
      </w:pPr>
      <w:r w:rsidRPr="00FC77AA">
        <w:rPr>
          <w:rFonts w:asciiTheme="minorEastAsia" w:eastAsiaTheme="minorEastAsia" w:hAnsiTheme="minorEastAsia" w:cs="Arial"/>
          <w:b/>
          <w:color w:val="000000" w:themeColor="text1"/>
          <w:kern w:val="0"/>
          <w:sz w:val="24"/>
        </w:rPr>
        <w:t>4</w:t>
      </w:r>
      <w:r w:rsidRPr="00FC77AA">
        <w:rPr>
          <w:rFonts w:asciiTheme="minorEastAsia" w:eastAsiaTheme="minorEastAsia" w:hAnsiTheme="minorEastAsia" w:cs="Arial" w:hint="eastAsia"/>
          <w:b/>
          <w:color w:val="000000" w:themeColor="text1"/>
          <w:kern w:val="0"/>
          <w:sz w:val="24"/>
        </w:rPr>
        <w:t>.6 报告期内基金持有人数或基金资产净值预警说明</w:t>
      </w:r>
    </w:p>
    <w:p w14:paraId="24D722E9"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无。</w:t>
      </w:r>
    </w:p>
    <w:p w14:paraId="6C6314BE"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5  </w:t>
      </w:r>
      <w:r>
        <w:rPr>
          <w:rFonts w:asciiTheme="minorEastAsia" w:eastAsiaTheme="minorEastAsia" w:hAnsiTheme="minorEastAsia" w:cs="Arial" w:hint="eastAsia"/>
          <w:color w:val="000000" w:themeColor="text1"/>
          <w:kern w:val="0"/>
          <w:sz w:val="24"/>
          <w:szCs w:val="24"/>
        </w:rPr>
        <w:t>投资组合报告</w:t>
      </w:r>
    </w:p>
    <w:p w14:paraId="301F9D88"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5.1 </w:t>
      </w:r>
      <w:r>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DA315C" w14:paraId="70282E46" w14:textId="77777777">
        <w:tc>
          <w:tcPr>
            <w:tcW w:w="720" w:type="dxa"/>
            <w:vAlign w:val="center"/>
          </w:tcPr>
          <w:p w14:paraId="47EB4272"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序号</w:t>
            </w:r>
          </w:p>
        </w:tc>
        <w:tc>
          <w:tcPr>
            <w:tcW w:w="3357" w:type="dxa"/>
            <w:vAlign w:val="center"/>
          </w:tcPr>
          <w:p w14:paraId="2760F9AA"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项目</w:t>
            </w:r>
          </w:p>
        </w:tc>
        <w:tc>
          <w:tcPr>
            <w:tcW w:w="3119" w:type="dxa"/>
            <w:vAlign w:val="center"/>
          </w:tcPr>
          <w:p w14:paraId="4E56B7F6"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金额(元)</w:t>
            </w:r>
          </w:p>
        </w:tc>
        <w:tc>
          <w:tcPr>
            <w:tcW w:w="1843" w:type="dxa"/>
            <w:vAlign w:val="center"/>
          </w:tcPr>
          <w:p w14:paraId="6FDC43F6"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占基金总资产的比例(</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w:t>
            </w:r>
          </w:p>
        </w:tc>
      </w:tr>
      <w:tr w:rsidR="00DA315C" w14:paraId="4ED0CB6A" w14:textId="77777777">
        <w:tc>
          <w:tcPr>
            <w:tcW w:w="720" w:type="dxa"/>
            <w:vAlign w:val="center"/>
          </w:tcPr>
          <w:p w14:paraId="508421A6"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p>
        </w:tc>
        <w:tc>
          <w:tcPr>
            <w:tcW w:w="3357" w:type="dxa"/>
            <w:vAlign w:val="center"/>
          </w:tcPr>
          <w:p w14:paraId="780BBEA2" w14:textId="77777777" w:rsidR="00DA315C" w:rsidRDefault="00CC2E83">
            <w:pPr>
              <w:spacing w:before="29"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固定收益投资</w:t>
            </w:r>
          </w:p>
        </w:tc>
        <w:tc>
          <w:tcPr>
            <w:tcW w:w="3119" w:type="dxa"/>
            <w:vAlign w:val="center"/>
          </w:tcPr>
          <w:p w14:paraId="759D4B2D"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6,698,251,288.57</w:t>
            </w:r>
          </w:p>
        </w:tc>
        <w:tc>
          <w:tcPr>
            <w:tcW w:w="1843" w:type="dxa"/>
            <w:vAlign w:val="center"/>
          </w:tcPr>
          <w:p w14:paraId="2E5A0724"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57.11</w:t>
            </w:r>
          </w:p>
        </w:tc>
      </w:tr>
      <w:tr w:rsidR="00DA315C" w14:paraId="39A6B1B1" w14:textId="77777777">
        <w:tc>
          <w:tcPr>
            <w:tcW w:w="720" w:type="dxa"/>
            <w:vAlign w:val="center"/>
          </w:tcPr>
          <w:p w14:paraId="3B188B75" w14:textId="77777777" w:rsidR="00DA315C" w:rsidRDefault="00DA315C">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14:paraId="37AADB33" w14:textId="77777777" w:rsidR="00DA315C" w:rsidRDefault="00CC2E83">
            <w:pPr>
              <w:spacing w:before="29"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其中：债券</w:t>
            </w:r>
          </w:p>
        </w:tc>
        <w:tc>
          <w:tcPr>
            <w:tcW w:w="3119" w:type="dxa"/>
            <w:vAlign w:val="center"/>
          </w:tcPr>
          <w:p w14:paraId="30A8093F"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6,698,251,288.57</w:t>
            </w:r>
          </w:p>
        </w:tc>
        <w:tc>
          <w:tcPr>
            <w:tcW w:w="1843" w:type="dxa"/>
            <w:vAlign w:val="center"/>
          </w:tcPr>
          <w:p w14:paraId="397787EF"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57.11</w:t>
            </w:r>
          </w:p>
        </w:tc>
      </w:tr>
      <w:tr w:rsidR="00DA315C" w14:paraId="507B2158" w14:textId="77777777">
        <w:tc>
          <w:tcPr>
            <w:tcW w:w="720" w:type="dxa"/>
            <w:vAlign w:val="center"/>
          </w:tcPr>
          <w:p w14:paraId="4AFBB349" w14:textId="77777777" w:rsidR="00DA315C" w:rsidRDefault="00DA315C">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14:paraId="3519C525" w14:textId="77777777" w:rsidR="00DA315C" w:rsidRDefault="00CC2E83">
            <w:pPr>
              <w:autoSpaceDE w:val="0"/>
              <w:autoSpaceDN w:val="0"/>
              <w:adjustRightInd w:val="0"/>
              <w:spacing w:before="29" w:line="360" w:lineRule="auto"/>
              <w:ind w:firstLineChars="300" w:firstLine="720"/>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资产支持证券</w:t>
            </w:r>
          </w:p>
        </w:tc>
        <w:tc>
          <w:tcPr>
            <w:tcW w:w="3119" w:type="dxa"/>
            <w:vAlign w:val="center"/>
          </w:tcPr>
          <w:p w14:paraId="38ACFD2D"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43" w:type="dxa"/>
            <w:vAlign w:val="center"/>
          </w:tcPr>
          <w:p w14:paraId="5F796DEE"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r>
      <w:tr w:rsidR="00DA315C" w14:paraId="05C2BE3E" w14:textId="77777777">
        <w:tc>
          <w:tcPr>
            <w:tcW w:w="720" w:type="dxa"/>
            <w:vAlign w:val="center"/>
          </w:tcPr>
          <w:p w14:paraId="1EBB1DAA"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p>
        </w:tc>
        <w:tc>
          <w:tcPr>
            <w:tcW w:w="3357" w:type="dxa"/>
            <w:vAlign w:val="center"/>
          </w:tcPr>
          <w:p w14:paraId="0B6DBD6E" w14:textId="77777777" w:rsidR="00DA315C" w:rsidRDefault="00CC2E83">
            <w:pPr>
              <w:spacing w:before="29"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买入返售金融资产</w:t>
            </w:r>
          </w:p>
        </w:tc>
        <w:tc>
          <w:tcPr>
            <w:tcW w:w="3119" w:type="dxa"/>
            <w:vAlign w:val="center"/>
          </w:tcPr>
          <w:p w14:paraId="0C08E10F"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1,244,381,431.17</w:t>
            </w:r>
          </w:p>
        </w:tc>
        <w:tc>
          <w:tcPr>
            <w:tcW w:w="1843" w:type="dxa"/>
            <w:vAlign w:val="center"/>
          </w:tcPr>
          <w:p w14:paraId="4BAEA37D"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10.61</w:t>
            </w:r>
          </w:p>
        </w:tc>
      </w:tr>
      <w:tr w:rsidR="00DA315C" w14:paraId="717F2CBF" w14:textId="77777777">
        <w:tc>
          <w:tcPr>
            <w:tcW w:w="720" w:type="dxa"/>
            <w:vAlign w:val="center"/>
          </w:tcPr>
          <w:p w14:paraId="1B08FD1C" w14:textId="77777777" w:rsidR="00DA315C" w:rsidRDefault="00DA315C">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14:paraId="42E2D192" w14:textId="77777777" w:rsidR="00DA315C" w:rsidRDefault="00CC2E83">
            <w:pPr>
              <w:spacing w:before="29"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其中：买断式回购的买入返售金融资产</w:t>
            </w:r>
          </w:p>
        </w:tc>
        <w:tc>
          <w:tcPr>
            <w:tcW w:w="3119" w:type="dxa"/>
            <w:vAlign w:val="center"/>
          </w:tcPr>
          <w:p w14:paraId="128EA2F0"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43" w:type="dxa"/>
            <w:vAlign w:val="center"/>
          </w:tcPr>
          <w:p w14:paraId="050D7CF3"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r>
      <w:tr w:rsidR="00DA315C" w14:paraId="0B862D17" w14:textId="77777777">
        <w:tc>
          <w:tcPr>
            <w:tcW w:w="720" w:type="dxa"/>
            <w:vAlign w:val="center"/>
          </w:tcPr>
          <w:p w14:paraId="36E49D9D"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p>
        </w:tc>
        <w:tc>
          <w:tcPr>
            <w:tcW w:w="3357" w:type="dxa"/>
            <w:vAlign w:val="center"/>
          </w:tcPr>
          <w:p w14:paraId="7B7F5E2F" w14:textId="77777777" w:rsidR="00DA315C" w:rsidRDefault="00CC2E83">
            <w:pPr>
              <w:spacing w:before="29"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银行存款和结算备付金合计</w:t>
            </w:r>
          </w:p>
        </w:tc>
        <w:tc>
          <w:tcPr>
            <w:tcW w:w="3119" w:type="dxa"/>
            <w:vAlign w:val="center"/>
          </w:tcPr>
          <w:p w14:paraId="604D1C38"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3,778,568,528.97</w:t>
            </w:r>
          </w:p>
        </w:tc>
        <w:tc>
          <w:tcPr>
            <w:tcW w:w="1843" w:type="dxa"/>
            <w:vAlign w:val="center"/>
          </w:tcPr>
          <w:p w14:paraId="094086F5"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32.22</w:t>
            </w:r>
          </w:p>
        </w:tc>
      </w:tr>
      <w:tr w:rsidR="00DA315C" w14:paraId="26EEE927" w14:textId="77777777">
        <w:tc>
          <w:tcPr>
            <w:tcW w:w="720" w:type="dxa"/>
            <w:vAlign w:val="center"/>
          </w:tcPr>
          <w:p w14:paraId="357C74CB"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p>
        </w:tc>
        <w:tc>
          <w:tcPr>
            <w:tcW w:w="3357" w:type="dxa"/>
            <w:vAlign w:val="center"/>
          </w:tcPr>
          <w:p w14:paraId="02995462" w14:textId="77777777" w:rsidR="00DA315C" w:rsidRDefault="00CC2E83">
            <w:pPr>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其他资产</w:t>
            </w:r>
          </w:p>
        </w:tc>
        <w:tc>
          <w:tcPr>
            <w:tcW w:w="3119" w:type="dxa"/>
            <w:vAlign w:val="center"/>
          </w:tcPr>
          <w:p w14:paraId="4F46F5C3"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7,163,043.89</w:t>
            </w:r>
          </w:p>
        </w:tc>
        <w:tc>
          <w:tcPr>
            <w:tcW w:w="1843" w:type="dxa"/>
            <w:vAlign w:val="center"/>
          </w:tcPr>
          <w:p w14:paraId="704F2297"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0.06</w:t>
            </w:r>
          </w:p>
        </w:tc>
      </w:tr>
      <w:tr w:rsidR="00DA315C" w14:paraId="44B5CF1F" w14:textId="77777777">
        <w:tc>
          <w:tcPr>
            <w:tcW w:w="720" w:type="dxa"/>
            <w:vAlign w:val="center"/>
          </w:tcPr>
          <w:p w14:paraId="36733F08"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5</w:t>
            </w:r>
          </w:p>
        </w:tc>
        <w:tc>
          <w:tcPr>
            <w:tcW w:w="3357" w:type="dxa"/>
            <w:vAlign w:val="center"/>
          </w:tcPr>
          <w:p w14:paraId="7E45E2C7" w14:textId="77777777" w:rsidR="00DA315C" w:rsidRDefault="00CC2E83">
            <w:pPr>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合计</w:t>
            </w:r>
          </w:p>
        </w:tc>
        <w:tc>
          <w:tcPr>
            <w:tcW w:w="3119" w:type="dxa"/>
            <w:vAlign w:val="center"/>
          </w:tcPr>
          <w:p w14:paraId="5A19FA6E"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11,728,364,292.60</w:t>
            </w:r>
          </w:p>
        </w:tc>
        <w:tc>
          <w:tcPr>
            <w:tcW w:w="1843" w:type="dxa"/>
            <w:vAlign w:val="center"/>
          </w:tcPr>
          <w:p w14:paraId="31A93DD4"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100.00</w:t>
            </w:r>
          </w:p>
        </w:tc>
      </w:tr>
    </w:tbl>
    <w:p w14:paraId="0DD7C1B0" w14:textId="77777777" w:rsidR="00C83121" w:rsidRDefault="004763DD">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w:t>
      </w: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银行存款和结算备付金合计其中银行存款</w:t>
      </w:r>
      <w:r>
        <w:rPr>
          <w:rFonts w:asciiTheme="minorEastAsia" w:eastAsiaTheme="minorEastAsia" w:hAnsiTheme="minorEastAsia" w:hint="eastAsia"/>
          <w:color w:val="000000" w:themeColor="text1"/>
          <w:sz w:val="24"/>
        </w:rPr>
        <w:t>3,760,442,886.07</w:t>
      </w:r>
      <w:r>
        <w:rPr>
          <w:rFonts w:asciiTheme="minorEastAsia" w:eastAsiaTheme="minorEastAsia" w:hAnsiTheme="minorEastAsia" w:hint="eastAsia"/>
          <w:color w:val="000000" w:themeColor="text1"/>
          <w:sz w:val="24"/>
        </w:rPr>
        <w:t>元。</w:t>
      </w:r>
    </w:p>
    <w:p w14:paraId="292E4638" w14:textId="77777777" w:rsidR="00DA315C"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2.买入返售金融资产其中买入返售金融资产（交易所）为 708,204,971.46 元。</w:t>
      </w:r>
    </w:p>
    <w:p w14:paraId="6F489E8B"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5.2 </w:t>
      </w:r>
      <w:r>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4A0" w:firstRow="1" w:lastRow="0" w:firstColumn="1" w:lastColumn="0" w:noHBand="0" w:noVBand="1"/>
      </w:tblPr>
      <w:tblGrid>
        <w:gridCol w:w="861"/>
        <w:gridCol w:w="3108"/>
        <w:gridCol w:w="2977"/>
        <w:gridCol w:w="2126"/>
      </w:tblGrid>
      <w:tr w:rsidR="00DA315C" w14:paraId="06F6ACEA" w14:textId="77777777">
        <w:tc>
          <w:tcPr>
            <w:tcW w:w="861" w:type="dxa"/>
            <w:tcBorders>
              <w:top w:val="single" w:sz="8" w:space="0" w:color="000000"/>
              <w:left w:val="single" w:sz="8" w:space="0" w:color="000000"/>
              <w:bottom w:val="single" w:sz="8" w:space="0" w:color="000000"/>
              <w:right w:val="single" w:sz="8" w:space="0" w:color="000000"/>
            </w:tcBorders>
            <w:vAlign w:val="center"/>
          </w:tcPr>
          <w:p w14:paraId="4FF73048" w14:textId="77777777" w:rsidR="00DA315C" w:rsidRDefault="00CC2E83">
            <w:pPr>
              <w:spacing w:line="360" w:lineRule="auto"/>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14:paraId="590428AD" w14:textId="77777777" w:rsidR="00DA315C" w:rsidRDefault="00CC2E83">
            <w:pPr>
              <w:spacing w:line="360" w:lineRule="auto"/>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14:paraId="0F994B9E" w14:textId="77777777" w:rsidR="00DA315C" w:rsidRDefault="00CC2E83">
            <w:pPr>
              <w:spacing w:line="360" w:lineRule="auto"/>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占基金资产净值</w:t>
            </w:r>
            <w:r w:rsidR="004417A1">
              <w:rPr>
                <w:rFonts w:asciiTheme="minorEastAsia" w:eastAsiaTheme="minorEastAsia" w:hAnsiTheme="minorEastAsia" w:cs="Arial" w:hint="eastAsia"/>
                <w:color w:val="000000" w:themeColor="text1"/>
                <w:kern w:val="0"/>
                <w:sz w:val="24"/>
              </w:rPr>
              <w:t>的</w:t>
            </w:r>
            <w:r>
              <w:rPr>
                <w:rFonts w:asciiTheme="minorEastAsia" w:eastAsiaTheme="minorEastAsia" w:hAnsiTheme="minorEastAsia" w:cs="Arial" w:hint="eastAsia"/>
                <w:color w:val="000000" w:themeColor="text1"/>
                <w:kern w:val="0"/>
                <w:sz w:val="24"/>
              </w:rPr>
              <w:t>比例（％）</w:t>
            </w:r>
          </w:p>
        </w:tc>
      </w:tr>
      <w:tr w:rsidR="00DA315C" w14:paraId="775256ED" w14:textId="77777777">
        <w:tc>
          <w:tcPr>
            <w:tcW w:w="861" w:type="dxa"/>
            <w:tcBorders>
              <w:top w:val="single" w:sz="8" w:space="0" w:color="000000"/>
              <w:left w:val="single" w:sz="8" w:space="0" w:color="000000"/>
              <w:right w:val="single" w:sz="8" w:space="0" w:color="000000"/>
            </w:tcBorders>
            <w:vAlign w:val="center"/>
          </w:tcPr>
          <w:p w14:paraId="40544F8B" w14:textId="77777777" w:rsidR="00DA315C" w:rsidRDefault="00CC2E83">
            <w:pPr>
              <w:spacing w:line="360" w:lineRule="auto"/>
              <w:jc w:val="center"/>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14:paraId="7D7C6CB9" w14:textId="77777777" w:rsidR="00DA315C" w:rsidRDefault="00CC2E83">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14:paraId="2963DE42"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0.09</w:t>
            </w:r>
          </w:p>
        </w:tc>
      </w:tr>
      <w:tr w:rsidR="00DA315C" w14:paraId="13DD03A5" w14:textId="77777777">
        <w:trPr>
          <w:trHeight w:val="712"/>
        </w:trPr>
        <w:tc>
          <w:tcPr>
            <w:tcW w:w="861" w:type="dxa"/>
            <w:tcBorders>
              <w:left w:val="single" w:sz="8" w:space="0" w:color="000000"/>
              <w:bottom w:val="single" w:sz="8" w:space="0" w:color="000000"/>
              <w:right w:val="single" w:sz="8" w:space="0" w:color="000000"/>
            </w:tcBorders>
            <w:vAlign w:val="center"/>
          </w:tcPr>
          <w:p w14:paraId="2CDDB0D8" w14:textId="77777777" w:rsidR="00DA315C" w:rsidRDefault="00DA315C">
            <w:pPr>
              <w:spacing w:line="360" w:lineRule="auto"/>
              <w:jc w:val="center"/>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14:paraId="4FD613ED" w14:textId="77777777" w:rsidR="00DA315C" w:rsidRDefault="00CC2E83">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14:paraId="62C7538C"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p>
        </w:tc>
      </w:tr>
      <w:tr w:rsidR="00DA315C" w14:paraId="0ACA21CE" w14:textId="77777777">
        <w:tc>
          <w:tcPr>
            <w:tcW w:w="861" w:type="dxa"/>
            <w:tcBorders>
              <w:left w:val="single" w:sz="8" w:space="0" w:color="000000"/>
              <w:bottom w:val="single" w:sz="8" w:space="0" w:color="000000"/>
              <w:right w:val="single" w:sz="8" w:space="0" w:color="000000"/>
            </w:tcBorders>
            <w:vAlign w:val="center"/>
          </w:tcPr>
          <w:p w14:paraId="20E185FE"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14:paraId="06DE2BD5"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14:paraId="14443398"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177BFDF3"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cs="Arial" w:hint="eastAsia"/>
                <w:color w:val="000000" w:themeColor="text1"/>
                <w:kern w:val="0"/>
                <w:sz w:val="24"/>
              </w:rPr>
              <w:t>占基金资产净值比例（％）</w:t>
            </w:r>
          </w:p>
        </w:tc>
      </w:tr>
      <w:tr w:rsidR="00DA315C" w14:paraId="67BC4AE7" w14:textId="77777777">
        <w:tc>
          <w:tcPr>
            <w:tcW w:w="861" w:type="dxa"/>
            <w:vMerge w:val="restart"/>
            <w:tcBorders>
              <w:top w:val="single" w:sz="8" w:space="0" w:color="000000"/>
              <w:left w:val="single" w:sz="8" w:space="0" w:color="000000"/>
              <w:right w:val="single" w:sz="8" w:space="0" w:color="000000"/>
            </w:tcBorders>
            <w:vAlign w:val="center"/>
          </w:tcPr>
          <w:p w14:paraId="077F9D1A"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p>
        </w:tc>
        <w:tc>
          <w:tcPr>
            <w:tcW w:w="3108" w:type="dxa"/>
            <w:tcBorders>
              <w:top w:val="single" w:sz="8" w:space="0" w:color="000000"/>
              <w:left w:val="single" w:sz="8" w:space="0" w:color="000000"/>
              <w:bottom w:val="single" w:sz="8" w:space="0" w:color="000000"/>
              <w:right w:val="single" w:sz="8" w:space="0" w:color="000000"/>
            </w:tcBorders>
          </w:tcPr>
          <w:p w14:paraId="45BAA9F0" w14:textId="77777777" w:rsidR="00DA315C" w:rsidRDefault="00CC2E83">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14:paraId="25163E92"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616B2D78"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w:t>
            </w:r>
          </w:p>
        </w:tc>
      </w:tr>
      <w:tr w:rsidR="00DA315C" w14:paraId="4EE9C637" w14:textId="77777777">
        <w:tc>
          <w:tcPr>
            <w:tcW w:w="861" w:type="dxa"/>
            <w:vMerge/>
            <w:tcBorders>
              <w:left w:val="single" w:sz="8" w:space="0" w:color="000000"/>
              <w:bottom w:val="single" w:sz="8" w:space="0" w:color="000000"/>
              <w:right w:val="single" w:sz="8" w:space="0" w:color="000000"/>
            </w:tcBorders>
            <w:vAlign w:val="center"/>
          </w:tcPr>
          <w:p w14:paraId="3D9278DA" w14:textId="77777777" w:rsidR="00DA315C" w:rsidRDefault="00DA315C">
            <w:pPr>
              <w:spacing w:line="360" w:lineRule="auto"/>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14:paraId="3733237B" w14:textId="77777777" w:rsidR="00DA315C" w:rsidRDefault="00CC2E83">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14:paraId="3FE4E8D2"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4BC49089"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w:t>
            </w:r>
          </w:p>
        </w:tc>
      </w:tr>
    </w:tbl>
    <w:p w14:paraId="7965FBC7"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债券正回购的资金余额超过基金资产净值的</w:t>
      </w:r>
      <w:r>
        <w:rPr>
          <w:rFonts w:asciiTheme="minorEastAsia" w:eastAsiaTheme="minorEastAsia" w:hAnsiTheme="minorEastAsia" w:cs="Arial"/>
          <w:b/>
          <w:color w:val="000000" w:themeColor="text1"/>
          <w:kern w:val="0"/>
          <w:sz w:val="24"/>
        </w:rPr>
        <w:t>20</w:t>
      </w:r>
      <w:r>
        <w:rPr>
          <w:rFonts w:asciiTheme="minorEastAsia" w:eastAsiaTheme="minorEastAsia" w:hAnsiTheme="minorEastAsia" w:cs="Arial" w:hint="eastAsia"/>
          <w:b/>
          <w:color w:val="000000" w:themeColor="text1"/>
          <w:kern w:val="0"/>
          <w:sz w:val="24"/>
        </w:rPr>
        <w:t>％的说明</w:t>
      </w:r>
    </w:p>
    <w:p w14:paraId="5878EC4A" w14:textId="77777777" w:rsidR="00DA315C"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在本报告期内本货币市场基金债券正回购的资金余额未超过资产净值的20%。</w:t>
      </w:r>
    </w:p>
    <w:p w14:paraId="320DBB69"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5.3 </w:t>
      </w:r>
      <w:r>
        <w:rPr>
          <w:rFonts w:asciiTheme="minorEastAsia" w:eastAsiaTheme="minorEastAsia" w:hAnsiTheme="minorEastAsia" w:cs="Arial" w:hint="eastAsia"/>
          <w:b/>
          <w:color w:val="000000" w:themeColor="text1"/>
          <w:kern w:val="0"/>
          <w:sz w:val="24"/>
        </w:rPr>
        <w:t>基金投资组合平均剩余期限</w:t>
      </w:r>
    </w:p>
    <w:p w14:paraId="53DB6D88" w14:textId="77777777" w:rsidR="00DA315C" w:rsidRDefault="00CC2E83" w:rsidP="0017387C">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lastRenderedPageBreak/>
        <w:t xml:space="preserve">5.3.1 </w:t>
      </w:r>
      <w:r>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4A0" w:firstRow="1" w:lastRow="0" w:firstColumn="1" w:lastColumn="0" w:noHBand="0" w:noVBand="1"/>
      </w:tblPr>
      <w:tblGrid>
        <w:gridCol w:w="4056"/>
        <w:gridCol w:w="5016"/>
      </w:tblGrid>
      <w:tr w:rsidR="00DA315C" w14:paraId="5CC1A50E" w14:textId="77777777">
        <w:tc>
          <w:tcPr>
            <w:tcW w:w="4056" w:type="dxa"/>
            <w:tcBorders>
              <w:top w:val="single" w:sz="8" w:space="0" w:color="000000"/>
              <w:left w:val="single" w:sz="8" w:space="0" w:color="000000"/>
              <w:bottom w:val="single" w:sz="8" w:space="0" w:color="000000"/>
              <w:right w:val="single" w:sz="8" w:space="0" w:color="000000"/>
            </w:tcBorders>
            <w:vAlign w:val="center"/>
          </w:tcPr>
          <w:p w14:paraId="2405D1B3"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项目</w:t>
            </w:r>
          </w:p>
        </w:tc>
        <w:tc>
          <w:tcPr>
            <w:tcW w:w="5016" w:type="dxa"/>
            <w:tcBorders>
              <w:top w:val="single" w:sz="8" w:space="0" w:color="000000"/>
              <w:left w:val="single" w:sz="8" w:space="0" w:color="000000"/>
              <w:bottom w:val="single" w:sz="8" w:space="0" w:color="000000"/>
              <w:right w:val="single" w:sz="8" w:space="0" w:color="000000"/>
            </w:tcBorders>
            <w:vAlign w:val="center"/>
          </w:tcPr>
          <w:p w14:paraId="0E4A8AF6"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天数</w:t>
            </w:r>
          </w:p>
        </w:tc>
      </w:tr>
      <w:tr w:rsidR="00DA315C" w14:paraId="22DCD483" w14:textId="77777777">
        <w:tc>
          <w:tcPr>
            <w:tcW w:w="4056" w:type="dxa"/>
            <w:tcBorders>
              <w:top w:val="single" w:sz="8" w:space="0" w:color="000000"/>
              <w:left w:val="single" w:sz="8" w:space="0" w:color="000000"/>
              <w:bottom w:val="single" w:sz="8" w:space="0" w:color="000000"/>
              <w:right w:val="single" w:sz="8" w:space="0" w:color="000000"/>
            </w:tcBorders>
            <w:vAlign w:val="center"/>
          </w:tcPr>
          <w:p w14:paraId="0BE5F1F1"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tcPr>
          <w:p w14:paraId="0F7F5497" w14:textId="77777777" w:rsidR="00DA315C" w:rsidRDefault="00CC2E83">
            <w:pPr>
              <w:spacing w:line="360" w:lineRule="auto"/>
              <w:ind w:right="120"/>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101</w:t>
            </w:r>
          </w:p>
        </w:tc>
      </w:tr>
      <w:tr w:rsidR="00DA315C" w14:paraId="2F5AE2EC" w14:textId="77777777">
        <w:tc>
          <w:tcPr>
            <w:tcW w:w="4056" w:type="dxa"/>
            <w:tcBorders>
              <w:top w:val="single" w:sz="8" w:space="0" w:color="000000"/>
              <w:left w:val="single" w:sz="8" w:space="0" w:color="000000"/>
              <w:bottom w:val="single" w:sz="8" w:space="0" w:color="000000"/>
              <w:right w:val="single" w:sz="8" w:space="0" w:color="000000"/>
            </w:tcBorders>
            <w:vAlign w:val="center"/>
          </w:tcPr>
          <w:p w14:paraId="0CD16D26"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tcPr>
          <w:p w14:paraId="59551030" w14:textId="77777777" w:rsidR="00DA315C" w:rsidRDefault="00CC2E83">
            <w:pPr>
              <w:spacing w:line="360" w:lineRule="auto"/>
              <w:ind w:right="120"/>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106</w:t>
            </w:r>
          </w:p>
        </w:tc>
      </w:tr>
      <w:tr w:rsidR="00DA315C" w14:paraId="1E2FF0AC" w14:textId="77777777">
        <w:tc>
          <w:tcPr>
            <w:tcW w:w="4056" w:type="dxa"/>
            <w:tcBorders>
              <w:top w:val="single" w:sz="8" w:space="0" w:color="000000"/>
              <w:left w:val="single" w:sz="8" w:space="0" w:color="000000"/>
              <w:bottom w:val="single" w:sz="8" w:space="0" w:color="000000"/>
              <w:right w:val="single" w:sz="8" w:space="0" w:color="000000"/>
            </w:tcBorders>
            <w:vAlign w:val="center"/>
          </w:tcPr>
          <w:p w14:paraId="4CC03746"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报告期内投资组合平均剩余期限最低值</w:t>
            </w:r>
          </w:p>
        </w:tc>
        <w:tc>
          <w:tcPr>
            <w:tcW w:w="5016" w:type="dxa"/>
            <w:tcBorders>
              <w:top w:val="single" w:sz="8" w:space="0" w:color="000000"/>
              <w:left w:val="single" w:sz="8" w:space="0" w:color="000000"/>
              <w:bottom w:val="single" w:sz="8" w:space="0" w:color="000000"/>
              <w:right w:val="single" w:sz="8" w:space="0" w:color="000000"/>
            </w:tcBorders>
            <w:vAlign w:val="center"/>
          </w:tcPr>
          <w:p w14:paraId="05155379" w14:textId="77777777" w:rsidR="00DA315C" w:rsidRDefault="00CC2E83">
            <w:pPr>
              <w:spacing w:line="360" w:lineRule="auto"/>
              <w:ind w:right="120"/>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59</w:t>
            </w:r>
          </w:p>
        </w:tc>
      </w:tr>
    </w:tbl>
    <w:p w14:paraId="3030B44D"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20天情况说明</w:t>
      </w:r>
    </w:p>
    <w:p w14:paraId="5781C231" w14:textId="77777777" w:rsidR="00DA315C"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根据基金合同约定，本基金投资组合的平均剩余期限不超过120天。在本报告期内本基金未出现投资组合平均剩余期限超过120天的情况。</w:t>
      </w:r>
    </w:p>
    <w:p w14:paraId="2803B1F0"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5.3.2  </w:t>
      </w:r>
      <w:r>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4A0" w:firstRow="1" w:lastRow="0" w:firstColumn="1" w:lastColumn="0" w:noHBand="0" w:noVBand="1"/>
      </w:tblPr>
      <w:tblGrid>
        <w:gridCol w:w="851"/>
        <w:gridCol w:w="3351"/>
        <w:gridCol w:w="2529"/>
        <w:gridCol w:w="2431"/>
      </w:tblGrid>
      <w:tr w:rsidR="00DA315C" w14:paraId="29D43FFA"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30CDF963"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14:paraId="68E52374"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14:paraId="398E06D6"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各期限资产占基金资产净值的比例（</w:t>
            </w:r>
            <w:r>
              <w:rPr>
                <w:rFonts w:asciiTheme="minorEastAsia" w:eastAsiaTheme="minorEastAsia" w:hAnsiTheme="minorEastAsia" w:cs="Arial"/>
                <w:color w:val="000000" w:themeColor="text1"/>
                <w:kern w:val="0"/>
                <w:sz w:val="24"/>
              </w:rPr>
              <w:t>%</w:t>
            </w:r>
            <w:r>
              <w:rPr>
                <w:rFonts w:asciiTheme="minorEastAsia" w:eastAsiaTheme="minorEastAsia" w:hAnsiTheme="minorEastAsia" w:cs="Arial" w:hint="eastAsia"/>
                <w:color w:val="000000" w:themeColor="text1"/>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18A91696"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各期限负债占基金资产净值的比例（％）</w:t>
            </w:r>
          </w:p>
        </w:tc>
      </w:tr>
      <w:tr w:rsidR="00DA315C" w14:paraId="444D717D"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4EA7183C"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hint="eastAsia"/>
                <w:color w:val="000000" w:themeColor="text1"/>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14:paraId="7B599B65"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30天以内</w:t>
            </w:r>
          </w:p>
        </w:tc>
        <w:tc>
          <w:tcPr>
            <w:tcW w:w="2529" w:type="dxa"/>
            <w:tcBorders>
              <w:top w:val="single" w:sz="8" w:space="0" w:color="000000"/>
              <w:left w:val="single" w:sz="8" w:space="0" w:color="000000"/>
              <w:bottom w:val="single" w:sz="8" w:space="0" w:color="000000"/>
              <w:right w:val="single" w:sz="8" w:space="0" w:color="000000"/>
            </w:tcBorders>
            <w:vAlign w:val="center"/>
          </w:tcPr>
          <w:p w14:paraId="37AB7D95"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33.62</w:t>
            </w:r>
          </w:p>
        </w:tc>
        <w:tc>
          <w:tcPr>
            <w:tcW w:w="2431" w:type="dxa"/>
            <w:tcBorders>
              <w:top w:val="single" w:sz="8" w:space="0" w:color="000000"/>
              <w:left w:val="single" w:sz="8" w:space="0" w:color="000000"/>
              <w:bottom w:val="single" w:sz="8" w:space="0" w:color="000000"/>
              <w:right w:val="single" w:sz="8" w:space="0" w:color="000000"/>
            </w:tcBorders>
            <w:vAlign w:val="center"/>
          </w:tcPr>
          <w:p w14:paraId="48FD9BC3"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0.02</w:t>
            </w:r>
          </w:p>
        </w:tc>
      </w:tr>
      <w:tr w:rsidR="00DA315C" w14:paraId="2B48505A"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6A07A698"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428EFB6C"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hint="eastAsia"/>
                <w:color w:val="000000" w:themeColor="text1"/>
                <w:sz w:val="24"/>
              </w:rPr>
              <w:t>其中：剩余存续期超过</w:t>
            </w:r>
            <w:r>
              <w:rPr>
                <w:rFonts w:asciiTheme="minorEastAsia" w:eastAsiaTheme="minorEastAsia" w:hAnsiTheme="minorEastAsia"/>
                <w:color w:val="000000" w:themeColor="text1"/>
                <w:sz w:val="24"/>
              </w:rPr>
              <w:t>397</w:t>
            </w:r>
            <w:r>
              <w:rPr>
                <w:rFonts w:asciiTheme="minorEastAsia" w:eastAsiaTheme="minorEastAsia" w:hAnsiTheme="minorEastAsia" w:hint="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02502EC9"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591F929C"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77A007A6"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103F69D6"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14:paraId="6BCBE1C0"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30天（含）—60天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07A066A2"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10.14</w:t>
            </w:r>
          </w:p>
        </w:tc>
        <w:tc>
          <w:tcPr>
            <w:tcW w:w="2431" w:type="dxa"/>
            <w:tcBorders>
              <w:top w:val="single" w:sz="8" w:space="0" w:color="000000"/>
              <w:left w:val="single" w:sz="8" w:space="0" w:color="000000"/>
              <w:bottom w:val="single" w:sz="8" w:space="0" w:color="000000"/>
              <w:right w:val="single" w:sz="8" w:space="0" w:color="000000"/>
            </w:tcBorders>
            <w:vAlign w:val="center"/>
          </w:tcPr>
          <w:p w14:paraId="2F8E0D46"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39BFF2D9"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5152679C"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615DB2B2"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hint="eastAsia"/>
                <w:color w:val="000000" w:themeColor="text1"/>
                <w:sz w:val="24"/>
              </w:rPr>
              <w:t>其中：剩余存续期超过</w:t>
            </w:r>
            <w:r>
              <w:rPr>
                <w:rFonts w:asciiTheme="minorEastAsia" w:eastAsiaTheme="minorEastAsia" w:hAnsiTheme="minorEastAsia"/>
                <w:color w:val="000000" w:themeColor="text1"/>
                <w:sz w:val="24"/>
              </w:rPr>
              <w:t>397</w:t>
            </w:r>
            <w:r>
              <w:rPr>
                <w:rFonts w:asciiTheme="minorEastAsia" w:eastAsiaTheme="minorEastAsia" w:hAnsiTheme="minorEastAsia" w:hint="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629D4D80"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47B3047C"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54FF603A"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13D43498"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14:paraId="4EF262D1"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60天（含）—90天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43C5BD39"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12.70</w:t>
            </w:r>
          </w:p>
        </w:tc>
        <w:tc>
          <w:tcPr>
            <w:tcW w:w="2431" w:type="dxa"/>
            <w:tcBorders>
              <w:top w:val="single" w:sz="8" w:space="0" w:color="000000"/>
              <w:left w:val="single" w:sz="8" w:space="0" w:color="000000"/>
              <w:bottom w:val="single" w:sz="8" w:space="0" w:color="000000"/>
              <w:right w:val="single" w:sz="8" w:space="0" w:color="000000"/>
            </w:tcBorders>
            <w:vAlign w:val="center"/>
          </w:tcPr>
          <w:p w14:paraId="13F9109F"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4A35E140"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641B8150"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0E3CB7A7"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其中：剩余存续期超过</w:t>
            </w:r>
            <w:r>
              <w:rPr>
                <w:rFonts w:asciiTheme="minorEastAsia" w:eastAsiaTheme="minorEastAsia" w:hAnsiTheme="minorEastAsia"/>
                <w:color w:val="000000" w:themeColor="text1"/>
                <w:sz w:val="24"/>
              </w:rPr>
              <w:t>397</w:t>
            </w:r>
            <w:r>
              <w:rPr>
                <w:rFonts w:asciiTheme="minorEastAsia" w:eastAsiaTheme="minorEastAsia" w:hAnsiTheme="minorEastAsia" w:hint="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4A5E3020"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1A6906C8"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6076B2BE"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100F2FBE"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14:paraId="31A7372F"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90天（含）—1</w:t>
            </w: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0天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76FCD186"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6.60</w:t>
            </w:r>
          </w:p>
        </w:tc>
        <w:tc>
          <w:tcPr>
            <w:tcW w:w="2431" w:type="dxa"/>
            <w:tcBorders>
              <w:top w:val="single" w:sz="8" w:space="0" w:color="000000"/>
              <w:left w:val="single" w:sz="8" w:space="0" w:color="000000"/>
              <w:bottom w:val="single" w:sz="8" w:space="0" w:color="000000"/>
              <w:right w:val="single" w:sz="8" w:space="0" w:color="000000"/>
            </w:tcBorders>
            <w:vAlign w:val="center"/>
          </w:tcPr>
          <w:p w14:paraId="5BFEFE82"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59D2962D"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44B403FB"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49098FAC"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其中：剩余存续期超过</w:t>
            </w:r>
            <w:r>
              <w:rPr>
                <w:rFonts w:asciiTheme="minorEastAsia" w:eastAsiaTheme="minorEastAsia" w:hAnsiTheme="minorEastAsia"/>
                <w:color w:val="000000" w:themeColor="text1"/>
                <w:sz w:val="24"/>
              </w:rPr>
              <w:t>397</w:t>
            </w:r>
            <w:r>
              <w:rPr>
                <w:rFonts w:asciiTheme="minorEastAsia" w:eastAsiaTheme="minorEastAsia" w:hAnsiTheme="minorEastAsia" w:hint="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0ED98B02"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4AB6972E"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1EF3E5C1"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7ED82DB6"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5</w:t>
            </w:r>
          </w:p>
        </w:tc>
        <w:tc>
          <w:tcPr>
            <w:tcW w:w="3351" w:type="dxa"/>
            <w:tcBorders>
              <w:top w:val="single" w:sz="8" w:space="0" w:color="000000"/>
              <w:left w:val="single" w:sz="8" w:space="0" w:color="000000"/>
              <w:bottom w:val="single" w:sz="8" w:space="0" w:color="000000"/>
              <w:right w:val="single" w:sz="8" w:space="0" w:color="000000"/>
            </w:tcBorders>
            <w:vAlign w:val="center"/>
          </w:tcPr>
          <w:p w14:paraId="465E9880"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Pr>
                <w:rFonts w:asciiTheme="minorEastAsia" w:eastAsiaTheme="minorEastAsia" w:hAnsiTheme="minorEastAsia"/>
                <w:color w:val="000000" w:themeColor="text1"/>
                <w:sz w:val="24"/>
              </w:rPr>
              <w:t>天（含）—397天（含）</w:t>
            </w:r>
          </w:p>
        </w:tc>
        <w:tc>
          <w:tcPr>
            <w:tcW w:w="2529" w:type="dxa"/>
            <w:tcBorders>
              <w:top w:val="single" w:sz="8" w:space="0" w:color="000000"/>
              <w:left w:val="single" w:sz="8" w:space="0" w:color="000000"/>
              <w:bottom w:val="single" w:sz="8" w:space="0" w:color="000000"/>
              <w:right w:val="single" w:sz="8" w:space="0" w:color="000000"/>
            </w:tcBorders>
            <w:vAlign w:val="center"/>
          </w:tcPr>
          <w:p w14:paraId="360D4A3B"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36.48</w:t>
            </w:r>
          </w:p>
        </w:tc>
        <w:tc>
          <w:tcPr>
            <w:tcW w:w="2431" w:type="dxa"/>
            <w:tcBorders>
              <w:top w:val="single" w:sz="8" w:space="0" w:color="000000"/>
              <w:left w:val="single" w:sz="8" w:space="0" w:color="000000"/>
              <w:bottom w:val="single" w:sz="8" w:space="0" w:color="000000"/>
              <w:right w:val="single" w:sz="8" w:space="0" w:color="000000"/>
            </w:tcBorders>
            <w:vAlign w:val="center"/>
          </w:tcPr>
          <w:p w14:paraId="36E58A35"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2E767765"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0DC1D011"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5F57E36E"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其中：剩余存续期超过</w:t>
            </w:r>
            <w:r>
              <w:rPr>
                <w:rFonts w:asciiTheme="minorEastAsia" w:eastAsiaTheme="minorEastAsia" w:hAnsiTheme="minorEastAsia"/>
                <w:color w:val="000000" w:themeColor="text1"/>
                <w:sz w:val="24"/>
              </w:rPr>
              <w:t>397</w:t>
            </w:r>
            <w:r>
              <w:rPr>
                <w:rFonts w:asciiTheme="minorEastAsia" w:eastAsiaTheme="minorEastAsia" w:hAnsiTheme="minorEastAsia" w:hint="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49BCE933"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6F4B1521"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3FE312CE" w14:textId="77777777">
        <w:tc>
          <w:tcPr>
            <w:tcW w:w="4202" w:type="dxa"/>
            <w:gridSpan w:val="2"/>
            <w:tcBorders>
              <w:top w:val="single" w:sz="8" w:space="0" w:color="000000"/>
              <w:left w:val="single" w:sz="8" w:space="0" w:color="000000"/>
              <w:bottom w:val="single" w:sz="8" w:space="0" w:color="000000"/>
              <w:right w:val="single" w:sz="8" w:space="0" w:color="000000"/>
            </w:tcBorders>
            <w:vAlign w:val="center"/>
          </w:tcPr>
          <w:p w14:paraId="11CF2075"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14:paraId="521CD5E9"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99.54</w:t>
            </w:r>
          </w:p>
        </w:tc>
        <w:tc>
          <w:tcPr>
            <w:tcW w:w="2431" w:type="dxa"/>
            <w:tcBorders>
              <w:top w:val="single" w:sz="8" w:space="0" w:color="000000"/>
              <w:left w:val="single" w:sz="8" w:space="0" w:color="000000"/>
              <w:bottom w:val="single" w:sz="8" w:space="0" w:color="000000"/>
              <w:right w:val="single" w:sz="8" w:space="0" w:color="000000"/>
            </w:tcBorders>
            <w:vAlign w:val="center"/>
          </w:tcPr>
          <w:p w14:paraId="37472855"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0.02</w:t>
            </w:r>
          </w:p>
        </w:tc>
      </w:tr>
    </w:tbl>
    <w:p w14:paraId="05553F15"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Theme="minorEastAsia" w:eastAsiaTheme="minorEastAsia" w:hAnsiTheme="minorEastAsia" w:cs="Arial"/>
          <w:b/>
          <w:color w:val="000000" w:themeColor="text1"/>
          <w:kern w:val="0"/>
          <w:sz w:val="24"/>
        </w:rPr>
        <w:t xml:space="preserve"> </w:t>
      </w:r>
      <w:r w:rsidRPr="0017387C">
        <w:rPr>
          <w:rFonts w:asciiTheme="minorEastAsia" w:eastAsiaTheme="minorEastAsia" w:hAnsiTheme="minorEastAsia" w:cs="Arial" w:hint="eastAsia"/>
          <w:b/>
          <w:color w:val="000000" w:themeColor="text1"/>
          <w:kern w:val="0"/>
          <w:sz w:val="24"/>
        </w:rPr>
        <w:t>报告期内投资组合平均剩余存续期超过240天情况说明</w:t>
      </w:r>
    </w:p>
    <w:p w14:paraId="3261BEBA" w14:textId="77777777" w:rsidR="00DA315C" w:rsidRPr="00FB6FB2"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在本报告期内本基金未出现投资组合平均剩余存续期超过240天的情况。</w:t>
      </w:r>
    </w:p>
    <w:p w14:paraId="6ADEC4F4"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5.5 </w:t>
      </w:r>
      <w:r>
        <w:rPr>
          <w:rFonts w:asciiTheme="minorEastAsia" w:eastAsiaTheme="minorEastAsia" w:hAnsiTheme="minorEastAsia" w:cs="Arial" w:hint="eastAsia"/>
          <w:b/>
          <w:color w:val="000000" w:themeColor="text1"/>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119"/>
        <w:gridCol w:w="1984"/>
      </w:tblGrid>
      <w:tr w:rsidR="00DA315C" w14:paraId="005AE60E" w14:textId="77777777">
        <w:tc>
          <w:tcPr>
            <w:tcW w:w="817" w:type="dxa"/>
            <w:vAlign w:val="center"/>
          </w:tcPr>
          <w:p w14:paraId="7F36A73E"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序号</w:t>
            </w:r>
          </w:p>
        </w:tc>
        <w:tc>
          <w:tcPr>
            <w:tcW w:w="3260" w:type="dxa"/>
            <w:vAlign w:val="center"/>
          </w:tcPr>
          <w:p w14:paraId="6EBAF739"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债券品种</w:t>
            </w:r>
          </w:p>
        </w:tc>
        <w:tc>
          <w:tcPr>
            <w:tcW w:w="3119" w:type="dxa"/>
            <w:vAlign w:val="center"/>
          </w:tcPr>
          <w:p w14:paraId="15AB2FBC"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宋体" w:hAnsi="宋体" w:hint="eastAsia"/>
                <w:color w:val="000000" w:themeColor="text1"/>
                <w:sz w:val="24"/>
              </w:rPr>
              <w:t>摊余成本（元）</w:t>
            </w:r>
          </w:p>
        </w:tc>
        <w:tc>
          <w:tcPr>
            <w:tcW w:w="1984" w:type="dxa"/>
            <w:vAlign w:val="center"/>
          </w:tcPr>
          <w:p w14:paraId="6352F3AC"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占基金资产净值比例(％)</w:t>
            </w:r>
          </w:p>
        </w:tc>
      </w:tr>
      <w:tr w:rsidR="00DA315C" w14:paraId="26D40A72" w14:textId="77777777">
        <w:tc>
          <w:tcPr>
            <w:tcW w:w="817" w:type="dxa"/>
            <w:vAlign w:val="center"/>
          </w:tcPr>
          <w:p w14:paraId="3A384F06"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c>
          <w:tcPr>
            <w:tcW w:w="3260" w:type="dxa"/>
            <w:vAlign w:val="center"/>
          </w:tcPr>
          <w:p w14:paraId="1D3C6BE8"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国家债券</w:t>
            </w:r>
          </w:p>
        </w:tc>
        <w:tc>
          <w:tcPr>
            <w:tcW w:w="3119" w:type="dxa"/>
            <w:vAlign w:val="center"/>
          </w:tcPr>
          <w:p w14:paraId="32045329"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c>
          <w:tcPr>
            <w:tcW w:w="1984" w:type="dxa"/>
            <w:vAlign w:val="center"/>
          </w:tcPr>
          <w:p w14:paraId="6AF7285B"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r>
      <w:tr w:rsidR="00DA315C" w14:paraId="31C19488" w14:textId="77777777">
        <w:tc>
          <w:tcPr>
            <w:tcW w:w="817" w:type="dxa"/>
            <w:vAlign w:val="center"/>
          </w:tcPr>
          <w:p w14:paraId="2FA173BC"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p>
        </w:tc>
        <w:tc>
          <w:tcPr>
            <w:tcW w:w="3260" w:type="dxa"/>
            <w:vAlign w:val="center"/>
          </w:tcPr>
          <w:p w14:paraId="5FE1AF3D"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央行票据</w:t>
            </w:r>
          </w:p>
        </w:tc>
        <w:tc>
          <w:tcPr>
            <w:tcW w:w="3119" w:type="dxa"/>
            <w:vAlign w:val="center"/>
          </w:tcPr>
          <w:p w14:paraId="700C9CFC"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c>
          <w:tcPr>
            <w:tcW w:w="1984" w:type="dxa"/>
            <w:vAlign w:val="center"/>
          </w:tcPr>
          <w:p w14:paraId="2EEF69FB"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r>
      <w:tr w:rsidR="00DA315C" w14:paraId="664FABEA" w14:textId="77777777">
        <w:tc>
          <w:tcPr>
            <w:tcW w:w="817" w:type="dxa"/>
            <w:vAlign w:val="center"/>
          </w:tcPr>
          <w:p w14:paraId="6A6BF0C8"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w:t>
            </w:r>
          </w:p>
        </w:tc>
        <w:tc>
          <w:tcPr>
            <w:tcW w:w="3260" w:type="dxa"/>
            <w:vAlign w:val="center"/>
          </w:tcPr>
          <w:p w14:paraId="4A011E85"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金融债券</w:t>
            </w:r>
          </w:p>
        </w:tc>
        <w:tc>
          <w:tcPr>
            <w:tcW w:w="3119" w:type="dxa"/>
            <w:vAlign w:val="center"/>
          </w:tcPr>
          <w:p w14:paraId="27FCA371"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805,807,083.16</w:t>
            </w:r>
          </w:p>
        </w:tc>
        <w:tc>
          <w:tcPr>
            <w:tcW w:w="1984" w:type="dxa"/>
            <w:vAlign w:val="center"/>
          </w:tcPr>
          <w:p w14:paraId="2216F8B3"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6.88</w:t>
            </w:r>
          </w:p>
        </w:tc>
      </w:tr>
      <w:tr w:rsidR="00DA315C" w14:paraId="29A736AF" w14:textId="77777777">
        <w:tc>
          <w:tcPr>
            <w:tcW w:w="817" w:type="dxa"/>
            <w:vAlign w:val="center"/>
          </w:tcPr>
          <w:p w14:paraId="19831563" w14:textId="77777777" w:rsidR="00DA315C" w:rsidRDefault="00DA315C">
            <w:pPr>
              <w:spacing w:before="29" w:line="360" w:lineRule="auto"/>
              <w:ind w:left="17"/>
              <w:jc w:val="center"/>
              <w:rPr>
                <w:rFonts w:asciiTheme="minorEastAsia" w:eastAsiaTheme="minorEastAsia" w:hAnsiTheme="minorEastAsia" w:cs="宋体"/>
                <w:color w:val="000000" w:themeColor="text1"/>
                <w:sz w:val="24"/>
              </w:rPr>
            </w:pPr>
          </w:p>
        </w:tc>
        <w:tc>
          <w:tcPr>
            <w:tcW w:w="3260" w:type="dxa"/>
            <w:vAlign w:val="center"/>
          </w:tcPr>
          <w:p w14:paraId="54D84796"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其中：政策性金融债</w:t>
            </w:r>
          </w:p>
        </w:tc>
        <w:tc>
          <w:tcPr>
            <w:tcW w:w="3119" w:type="dxa"/>
            <w:vAlign w:val="center"/>
          </w:tcPr>
          <w:p w14:paraId="083F306B"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652,845,763.29</w:t>
            </w:r>
          </w:p>
        </w:tc>
        <w:tc>
          <w:tcPr>
            <w:tcW w:w="1984" w:type="dxa"/>
            <w:vAlign w:val="center"/>
          </w:tcPr>
          <w:p w14:paraId="7B313410"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5.57</w:t>
            </w:r>
          </w:p>
        </w:tc>
      </w:tr>
      <w:tr w:rsidR="00DA315C" w14:paraId="29DFD437" w14:textId="77777777">
        <w:tc>
          <w:tcPr>
            <w:tcW w:w="817" w:type="dxa"/>
            <w:vAlign w:val="center"/>
          </w:tcPr>
          <w:p w14:paraId="0EE9AE92"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w:t>
            </w:r>
          </w:p>
        </w:tc>
        <w:tc>
          <w:tcPr>
            <w:tcW w:w="3260" w:type="dxa"/>
            <w:vAlign w:val="center"/>
          </w:tcPr>
          <w:p w14:paraId="35DAC618"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企业债券</w:t>
            </w:r>
          </w:p>
        </w:tc>
        <w:tc>
          <w:tcPr>
            <w:tcW w:w="3119" w:type="dxa"/>
            <w:vAlign w:val="center"/>
          </w:tcPr>
          <w:p w14:paraId="24EE6342"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91,805,430.23</w:t>
            </w:r>
          </w:p>
        </w:tc>
        <w:tc>
          <w:tcPr>
            <w:tcW w:w="1984" w:type="dxa"/>
            <w:vAlign w:val="center"/>
          </w:tcPr>
          <w:p w14:paraId="68629AF7"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0.78</w:t>
            </w:r>
          </w:p>
        </w:tc>
      </w:tr>
      <w:tr w:rsidR="00DA315C" w14:paraId="2DFE8B5F" w14:textId="77777777">
        <w:tc>
          <w:tcPr>
            <w:tcW w:w="817" w:type="dxa"/>
            <w:vAlign w:val="center"/>
          </w:tcPr>
          <w:p w14:paraId="0ADD1DB2"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w:t>
            </w:r>
          </w:p>
        </w:tc>
        <w:tc>
          <w:tcPr>
            <w:tcW w:w="3260" w:type="dxa"/>
            <w:vAlign w:val="center"/>
          </w:tcPr>
          <w:p w14:paraId="5FC8F5BA"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企业短期融资</w:t>
            </w:r>
            <w:proofErr w:type="gramStart"/>
            <w:r>
              <w:rPr>
                <w:rFonts w:asciiTheme="minorEastAsia" w:eastAsiaTheme="minorEastAsia" w:hAnsiTheme="minorEastAsia" w:cs="宋体" w:hint="eastAsia"/>
                <w:color w:val="000000" w:themeColor="text1"/>
                <w:sz w:val="24"/>
              </w:rPr>
              <w:t>券</w:t>
            </w:r>
            <w:proofErr w:type="gramEnd"/>
          </w:p>
        </w:tc>
        <w:tc>
          <w:tcPr>
            <w:tcW w:w="3119" w:type="dxa"/>
            <w:vAlign w:val="center"/>
          </w:tcPr>
          <w:p w14:paraId="3B87C606"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1,527,307,658.97</w:t>
            </w:r>
          </w:p>
        </w:tc>
        <w:tc>
          <w:tcPr>
            <w:tcW w:w="1984" w:type="dxa"/>
            <w:vAlign w:val="center"/>
          </w:tcPr>
          <w:p w14:paraId="62C4ABC5"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13.04</w:t>
            </w:r>
          </w:p>
        </w:tc>
      </w:tr>
      <w:tr w:rsidR="00DA315C" w14:paraId="1696921A" w14:textId="77777777">
        <w:tc>
          <w:tcPr>
            <w:tcW w:w="817" w:type="dxa"/>
            <w:vAlign w:val="center"/>
          </w:tcPr>
          <w:p w14:paraId="19357715"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6</w:t>
            </w:r>
          </w:p>
        </w:tc>
        <w:tc>
          <w:tcPr>
            <w:tcW w:w="3260" w:type="dxa"/>
            <w:vAlign w:val="center"/>
          </w:tcPr>
          <w:p w14:paraId="3326239E"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中期票据</w:t>
            </w:r>
          </w:p>
        </w:tc>
        <w:tc>
          <w:tcPr>
            <w:tcW w:w="3119" w:type="dxa"/>
            <w:vAlign w:val="center"/>
          </w:tcPr>
          <w:p w14:paraId="593126B5"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71,682,044.60</w:t>
            </w:r>
          </w:p>
        </w:tc>
        <w:tc>
          <w:tcPr>
            <w:tcW w:w="1984" w:type="dxa"/>
            <w:vAlign w:val="center"/>
          </w:tcPr>
          <w:p w14:paraId="4DA6E471"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0.61</w:t>
            </w:r>
          </w:p>
        </w:tc>
      </w:tr>
      <w:tr w:rsidR="00DA315C" w14:paraId="2F75018E" w14:textId="77777777">
        <w:tc>
          <w:tcPr>
            <w:tcW w:w="817" w:type="dxa"/>
            <w:vAlign w:val="center"/>
          </w:tcPr>
          <w:p w14:paraId="296FBB20"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7</w:t>
            </w:r>
          </w:p>
        </w:tc>
        <w:tc>
          <w:tcPr>
            <w:tcW w:w="3260" w:type="dxa"/>
            <w:vAlign w:val="center"/>
          </w:tcPr>
          <w:p w14:paraId="3E6A7FA2"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同业存单</w:t>
            </w:r>
          </w:p>
        </w:tc>
        <w:tc>
          <w:tcPr>
            <w:tcW w:w="3119" w:type="dxa"/>
            <w:vAlign w:val="center"/>
          </w:tcPr>
          <w:p w14:paraId="16AF4EDC"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4,201,649,071.61</w:t>
            </w:r>
          </w:p>
        </w:tc>
        <w:tc>
          <w:tcPr>
            <w:tcW w:w="1984" w:type="dxa"/>
            <w:vAlign w:val="center"/>
          </w:tcPr>
          <w:p w14:paraId="5E70FBB4"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35.86</w:t>
            </w:r>
          </w:p>
        </w:tc>
      </w:tr>
      <w:tr w:rsidR="00DA315C" w14:paraId="2DD6DF57" w14:textId="77777777">
        <w:tc>
          <w:tcPr>
            <w:tcW w:w="817" w:type="dxa"/>
            <w:vAlign w:val="center"/>
          </w:tcPr>
          <w:p w14:paraId="36C98445"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8</w:t>
            </w:r>
          </w:p>
        </w:tc>
        <w:tc>
          <w:tcPr>
            <w:tcW w:w="3260" w:type="dxa"/>
            <w:vAlign w:val="center"/>
          </w:tcPr>
          <w:p w14:paraId="6BE4232E"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其他</w:t>
            </w:r>
          </w:p>
        </w:tc>
        <w:tc>
          <w:tcPr>
            <w:tcW w:w="3119" w:type="dxa"/>
            <w:vAlign w:val="center"/>
          </w:tcPr>
          <w:p w14:paraId="2A268CEE"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c>
          <w:tcPr>
            <w:tcW w:w="1984" w:type="dxa"/>
            <w:vAlign w:val="center"/>
          </w:tcPr>
          <w:p w14:paraId="23F94B9F"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r>
      <w:tr w:rsidR="00DA315C" w14:paraId="7F0DD522" w14:textId="77777777">
        <w:tc>
          <w:tcPr>
            <w:tcW w:w="817" w:type="dxa"/>
            <w:vAlign w:val="center"/>
          </w:tcPr>
          <w:p w14:paraId="2742D882"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9</w:t>
            </w:r>
          </w:p>
        </w:tc>
        <w:tc>
          <w:tcPr>
            <w:tcW w:w="3260" w:type="dxa"/>
            <w:vAlign w:val="center"/>
          </w:tcPr>
          <w:p w14:paraId="4A78CD24"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合计</w:t>
            </w:r>
          </w:p>
        </w:tc>
        <w:tc>
          <w:tcPr>
            <w:tcW w:w="3119" w:type="dxa"/>
            <w:vAlign w:val="center"/>
          </w:tcPr>
          <w:p w14:paraId="1762B6B9"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6,698,251,288.57</w:t>
            </w:r>
          </w:p>
        </w:tc>
        <w:tc>
          <w:tcPr>
            <w:tcW w:w="1984" w:type="dxa"/>
            <w:vAlign w:val="center"/>
          </w:tcPr>
          <w:p w14:paraId="4108861D"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57.17</w:t>
            </w:r>
          </w:p>
        </w:tc>
      </w:tr>
      <w:tr w:rsidR="00DA315C" w14:paraId="2350056B" w14:textId="77777777">
        <w:tc>
          <w:tcPr>
            <w:tcW w:w="817" w:type="dxa"/>
            <w:vAlign w:val="center"/>
          </w:tcPr>
          <w:p w14:paraId="50B667F2"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10</w:t>
            </w:r>
          </w:p>
        </w:tc>
        <w:tc>
          <w:tcPr>
            <w:tcW w:w="3260" w:type="dxa"/>
            <w:vAlign w:val="center"/>
          </w:tcPr>
          <w:p w14:paraId="00BE8CA7"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剩余存续期超过397天的浮动利率债券</w:t>
            </w:r>
          </w:p>
        </w:tc>
        <w:tc>
          <w:tcPr>
            <w:tcW w:w="3119" w:type="dxa"/>
            <w:vAlign w:val="center"/>
          </w:tcPr>
          <w:p w14:paraId="29269F10"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c>
          <w:tcPr>
            <w:tcW w:w="1984" w:type="dxa"/>
            <w:vAlign w:val="center"/>
          </w:tcPr>
          <w:p w14:paraId="49B0EBB9"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r>
    </w:tbl>
    <w:p w14:paraId="4FEC9690"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5.6 </w:t>
      </w:r>
      <w:r>
        <w:rPr>
          <w:rFonts w:asciiTheme="minorEastAsia" w:eastAsiaTheme="minorEastAsia" w:hAnsiTheme="minorEastAsia" w:cs="Arial" w:hint="eastAsia"/>
          <w:b/>
          <w:color w:val="000000" w:themeColor="text1"/>
          <w:kern w:val="0"/>
          <w:sz w:val="24"/>
        </w:rPr>
        <w:t>报告期末</w:t>
      </w:r>
      <w:proofErr w:type="gramStart"/>
      <w:r>
        <w:rPr>
          <w:rFonts w:asciiTheme="minorEastAsia" w:eastAsiaTheme="minorEastAsia" w:hAnsiTheme="minorEastAsia" w:cs="Arial" w:hint="eastAsia"/>
          <w:b/>
          <w:color w:val="000000" w:themeColor="text1"/>
          <w:kern w:val="0"/>
          <w:sz w:val="24"/>
        </w:rPr>
        <w:t>按摊余成本</w:t>
      </w:r>
      <w:proofErr w:type="gramEnd"/>
      <w:r>
        <w:rPr>
          <w:rFonts w:asciiTheme="minorEastAsia" w:eastAsiaTheme="minorEastAsia" w:hAnsiTheme="minorEastAsia" w:cs="Arial" w:hint="eastAsia"/>
          <w:b/>
          <w:color w:val="000000" w:themeColor="text1"/>
          <w:kern w:val="0"/>
          <w:sz w:val="24"/>
        </w:rPr>
        <w:t>占基金资产净值比例大小排名的前十名债券投资明细</w:t>
      </w:r>
    </w:p>
    <w:tbl>
      <w:tblPr>
        <w:tblStyle w:val="af2"/>
        <w:tblW w:w="0" w:type="auto"/>
        <w:tblInd w:w="15" w:type="dxa"/>
        <w:tblLook w:val="04A0" w:firstRow="1" w:lastRow="0" w:firstColumn="1" w:lastColumn="0" w:noHBand="0" w:noVBand="1"/>
      </w:tblPr>
      <w:tblGrid>
        <w:gridCol w:w="924"/>
        <w:gridCol w:w="1402"/>
        <w:gridCol w:w="2206"/>
        <w:gridCol w:w="1656"/>
        <w:gridCol w:w="1896"/>
        <w:gridCol w:w="1203"/>
      </w:tblGrid>
      <w:tr w:rsidR="00DA315C" w14:paraId="5D8534D3" w14:textId="77777777">
        <w:tc>
          <w:tcPr>
            <w:tcW w:w="1547" w:type="dxa"/>
            <w:vAlign w:val="center"/>
          </w:tcPr>
          <w:p w14:paraId="4258F119"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序号</w:t>
            </w:r>
          </w:p>
        </w:tc>
        <w:tc>
          <w:tcPr>
            <w:tcW w:w="1548" w:type="dxa"/>
            <w:vAlign w:val="center"/>
          </w:tcPr>
          <w:p w14:paraId="69261D4D"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债券代码</w:t>
            </w:r>
          </w:p>
        </w:tc>
        <w:tc>
          <w:tcPr>
            <w:tcW w:w="1548" w:type="dxa"/>
            <w:vAlign w:val="center"/>
          </w:tcPr>
          <w:p w14:paraId="763F0F47"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债券名称</w:t>
            </w:r>
          </w:p>
        </w:tc>
        <w:tc>
          <w:tcPr>
            <w:tcW w:w="1548" w:type="dxa"/>
            <w:vAlign w:val="center"/>
          </w:tcPr>
          <w:p w14:paraId="6C39FDBE"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债券数量</w:t>
            </w:r>
          </w:p>
          <w:p w14:paraId="07C8520C"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color w:val="000000" w:themeColor="text1"/>
                <w:kern w:val="0"/>
                <w:sz w:val="24"/>
              </w:rPr>
              <w:t>(</w:t>
            </w:r>
            <w:r>
              <w:rPr>
                <w:rFonts w:asciiTheme="minorEastAsia" w:eastAsiaTheme="minorEastAsia" w:hAnsiTheme="minorEastAsia" w:cs="Arial" w:hint="eastAsia"/>
                <w:color w:val="000000" w:themeColor="text1"/>
                <w:kern w:val="0"/>
                <w:sz w:val="24"/>
              </w:rPr>
              <w:t>张</w:t>
            </w:r>
            <w:r>
              <w:rPr>
                <w:rFonts w:asciiTheme="minorEastAsia" w:eastAsiaTheme="minorEastAsia" w:hAnsiTheme="minorEastAsia" w:cs="Arial"/>
                <w:color w:val="000000" w:themeColor="text1"/>
                <w:kern w:val="0"/>
                <w:sz w:val="24"/>
              </w:rPr>
              <w:t>)</w:t>
            </w:r>
          </w:p>
        </w:tc>
        <w:tc>
          <w:tcPr>
            <w:tcW w:w="1548" w:type="dxa"/>
            <w:vAlign w:val="center"/>
          </w:tcPr>
          <w:p w14:paraId="2B0038C1"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摊余成本（元）</w:t>
            </w:r>
          </w:p>
        </w:tc>
        <w:tc>
          <w:tcPr>
            <w:tcW w:w="1548" w:type="dxa"/>
            <w:vAlign w:val="center"/>
          </w:tcPr>
          <w:p w14:paraId="428E05E7"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占基金资产净值比例（％）</w:t>
            </w:r>
          </w:p>
        </w:tc>
      </w:tr>
      <w:tr w:rsidR="00C83121" w14:paraId="0A4FBFAB" w14:textId="77777777">
        <w:tc>
          <w:tcPr>
            <w:tcW w:w="0" w:type="auto"/>
            <w:vAlign w:val="center"/>
          </w:tcPr>
          <w:p w14:paraId="5A486E8C" w14:textId="77777777" w:rsidR="00C83121" w:rsidRDefault="004763DD">
            <w:pPr>
              <w:jc w:val="center"/>
            </w:pPr>
            <w:r>
              <w:rPr>
                <w:rFonts w:asciiTheme="minorEastAsia" w:eastAsiaTheme="minorEastAsia" w:hAnsiTheme="minorEastAsia"/>
                <w:color w:val="000000" w:themeColor="text1"/>
                <w:sz w:val="24"/>
              </w:rPr>
              <w:lastRenderedPageBreak/>
              <w:t>1</w:t>
            </w:r>
          </w:p>
        </w:tc>
        <w:tc>
          <w:tcPr>
            <w:tcW w:w="0" w:type="auto"/>
            <w:vAlign w:val="center"/>
          </w:tcPr>
          <w:p w14:paraId="27C5E048" w14:textId="77777777" w:rsidR="00C83121" w:rsidRDefault="004763DD">
            <w:pPr>
              <w:jc w:val="center"/>
            </w:pPr>
            <w:r>
              <w:rPr>
                <w:rFonts w:asciiTheme="minorEastAsia" w:eastAsiaTheme="minorEastAsia" w:hAnsiTheme="minorEastAsia"/>
                <w:color w:val="000000" w:themeColor="text1"/>
                <w:sz w:val="24"/>
              </w:rPr>
              <w:t>112405202</w:t>
            </w:r>
          </w:p>
        </w:tc>
        <w:tc>
          <w:tcPr>
            <w:tcW w:w="0" w:type="auto"/>
            <w:vAlign w:val="center"/>
          </w:tcPr>
          <w:p w14:paraId="6D39E173" w14:textId="77777777" w:rsidR="00C83121" w:rsidRDefault="004763D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建设银行</w:t>
            </w:r>
            <w:r>
              <w:rPr>
                <w:rFonts w:asciiTheme="minorEastAsia" w:eastAsiaTheme="minorEastAsia" w:hAnsiTheme="minorEastAsia"/>
                <w:color w:val="000000" w:themeColor="text1"/>
                <w:sz w:val="24"/>
              </w:rPr>
              <w:t>CD202</w:t>
            </w:r>
          </w:p>
        </w:tc>
        <w:tc>
          <w:tcPr>
            <w:tcW w:w="0" w:type="auto"/>
            <w:vAlign w:val="center"/>
          </w:tcPr>
          <w:p w14:paraId="608AFAED" w14:textId="77777777" w:rsidR="00C83121" w:rsidRDefault="004763DD">
            <w:pPr>
              <w:jc w:val="right"/>
            </w:pPr>
            <w:r>
              <w:rPr>
                <w:rFonts w:asciiTheme="minorEastAsia" w:eastAsiaTheme="minorEastAsia" w:hAnsiTheme="minorEastAsia"/>
                <w:color w:val="000000" w:themeColor="text1"/>
                <w:sz w:val="24"/>
              </w:rPr>
              <w:t>2,000,000.00</w:t>
            </w:r>
          </w:p>
        </w:tc>
        <w:tc>
          <w:tcPr>
            <w:tcW w:w="0" w:type="auto"/>
            <w:vAlign w:val="center"/>
          </w:tcPr>
          <w:p w14:paraId="4EC94391" w14:textId="77777777" w:rsidR="00C83121" w:rsidRDefault="004763DD">
            <w:pPr>
              <w:jc w:val="right"/>
            </w:pPr>
            <w:r>
              <w:rPr>
                <w:rFonts w:asciiTheme="minorEastAsia" w:eastAsiaTheme="minorEastAsia" w:hAnsiTheme="minorEastAsia"/>
                <w:color w:val="000000" w:themeColor="text1"/>
                <w:sz w:val="24"/>
              </w:rPr>
              <w:t>199,169,939.57</w:t>
            </w:r>
          </w:p>
        </w:tc>
        <w:tc>
          <w:tcPr>
            <w:tcW w:w="0" w:type="auto"/>
            <w:vAlign w:val="center"/>
          </w:tcPr>
          <w:p w14:paraId="1A31F9FB" w14:textId="77777777" w:rsidR="00C83121" w:rsidRDefault="004763DD">
            <w:pPr>
              <w:jc w:val="right"/>
            </w:pPr>
            <w:r>
              <w:rPr>
                <w:rFonts w:asciiTheme="minorEastAsia" w:eastAsiaTheme="minorEastAsia" w:hAnsiTheme="minorEastAsia"/>
                <w:color w:val="000000" w:themeColor="text1"/>
                <w:sz w:val="24"/>
              </w:rPr>
              <w:t>1.70</w:t>
            </w:r>
          </w:p>
        </w:tc>
      </w:tr>
      <w:tr w:rsidR="00C83121" w14:paraId="411A412A" w14:textId="77777777">
        <w:tc>
          <w:tcPr>
            <w:tcW w:w="0" w:type="auto"/>
            <w:vAlign w:val="center"/>
          </w:tcPr>
          <w:p w14:paraId="3078C06A" w14:textId="77777777" w:rsidR="00C83121" w:rsidRDefault="004763DD">
            <w:pPr>
              <w:jc w:val="center"/>
            </w:pPr>
            <w:r>
              <w:rPr>
                <w:rFonts w:asciiTheme="minorEastAsia" w:eastAsiaTheme="minorEastAsia" w:hAnsiTheme="minorEastAsia"/>
                <w:color w:val="000000" w:themeColor="text1"/>
                <w:sz w:val="24"/>
              </w:rPr>
              <w:t>2</w:t>
            </w:r>
          </w:p>
        </w:tc>
        <w:tc>
          <w:tcPr>
            <w:tcW w:w="0" w:type="auto"/>
            <w:vAlign w:val="center"/>
          </w:tcPr>
          <w:p w14:paraId="237A6C50" w14:textId="77777777" w:rsidR="00C83121" w:rsidRDefault="004763DD">
            <w:pPr>
              <w:jc w:val="center"/>
            </w:pPr>
            <w:r>
              <w:rPr>
                <w:rFonts w:asciiTheme="minorEastAsia" w:eastAsiaTheme="minorEastAsia" w:hAnsiTheme="minorEastAsia"/>
                <w:color w:val="000000" w:themeColor="text1"/>
                <w:sz w:val="24"/>
              </w:rPr>
              <w:t>230411</w:t>
            </w:r>
          </w:p>
        </w:tc>
        <w:tc>
          <w:tcPr>
            <w:tcW w:w="0" w:type="auto"/>
            <w:vAlign w:val="center"/>
          </w:tcPr>
          <w:p w14:paraId="2A9A0FAE" w14:textId="77777777" w:rsidR="00C83121" w:rsidRDefault="004763DD">
            <w:pPr>
              <w:jc w:val="center"/>
            </w:pPr>
            <w:r>
              <w:rPr>
                <w:rFonts w:asciiTheme="minorEastAsia" w:eastAsiaTheme="minorEastAsia" w:hAnsiTheme="minorEastAsia"/>
                <w:color w:val="000000" w:themeColor="text1"/>
                <w:sz w:val="24"/>
              </w:rPr>
              <w:t>23</w:t>
            </w:r>
            <w:r>
              <w:rPr>
                <w:rFonts w:asciiTheme="minorEastAsia" w:eastAsiaTheme="minorEastAsia" w:hAnsiTheme="minorEastAsia"/>
                <w:color w:val="000000" w:themeColor="text1"/>
                <w:sz w:val="24"/>
              </w:rPr>
              <w:t>农发</w:t>
            </w:r>
            <w:r>
              <w:rPr>
                <w:rFonts w:asciiTheme="minorEastAsia" w:eastAsiaTheme="minorEastAsia" w:hAnsiTheme="minorEastAsia"/>
                <w:color w:val="000000" w:themeColor="text1"/>
                <w:sz w:val="24"/>
              </w:rPr>
              <w:t>11</w:t>
            </w:r>
          </w:p>
        </w:tc>
        <w:tc>
          <w:tcPr>
            <w:tcW w:w="0" w:type="auto"/>
            <w:vAlign w:val="center"/>
          </w:tcPr>
          <w:p w14:paraId="73585F26" w14:textId="77777777" w:rsidR="00C83121" w:rsidRDefault="004763DD">
            <w:pPr>
              <w:jc w:val="right"/>
            </w:pPr>
            <w:r>
              <w:rPr>
                <w:rFonts w:asciiTheme="minorEastAsia" w:eastAsiaTheme="minorEastAsia" w:hAnsiTheme="minorEastAsia"/>
                <w:color w:val="000000" w:themeColor="text1"/>
                <w:sz w:val="24"/>
              </w:rPr>
              <w:t>1,200,000.00</w:t>
            </w:r>
          </w:p>
        </w:tc>
        <w:tc>
          <w:tcPr>
            <w:tcW w:w="0" w:type="auto"/>
            <w:vAlign w:val="center"/>
          </w:tcPr>
          <w:p w14:paraId="204725F3" w14:textId="77777777" w:rsidR="00C83121" w:rsidRDefault="004763DD">
            <w:pPr>
              <w:jc w:val="right"/>
            </w:pPr>
            <w:r>
              <w:rPr>
                <w:rFonts w:asciiTheme="minorEastAsia" w:eastAsiaTheme="minorEastAsia" w:hAnsiTheme="minorEastAsia"/>
                <w:color w:val="000000" w:themeColor="text1"/>
                <w:sz w:val="24"/>
              </w:rPr>
              <w:t>122,162,428.80</w:t>
            </w:r>
          </w:p>
        </w:tc>
        <w:tc>
          <w:tcPr>
            <w:tcW w:w="0" w:type="auto"/>
            <w:vAlign w:val="center"/>
          </w:tcPr>
          <w:p w14:paraId="6487998A" w14:textId="77777777" w:rsidR="00C83121" w:rsidRDefault="004763DD">
            <w:pPr>
              <w:jc w:val="right"/>
            </w:pPr>
            <w:r>
              <w:rPr>
                <w:rFonts w:asciiTheme="minorEastAsia" w:eastAsiaTheme="minorEastAsia" w:hAnsiTheme="minorEastAsia"/>
                <w:color w:val="000000" w:themeColor="text1"/>
                <w:sz w:val="24"/>
              </w:rPr>
              <w:t>1.04</w:t>
            </w:r>
          </w:p>
        </w:tc>
      </w:tr>
      <w:tr w:rsidR="00C83121" w14:paraId="3C18A6B1" w14:textId="77777777">
        <w:tc>
          <w:tcPr>
            <w:tcW w:w="0" w:type="auto"/>
            <w:vAlign w:val="center"/>
          </w:tcPr>
          <w:p w14:paraId="2742AFAB" w14:textId="77777777" w:rsidR="00C83121" w:rsidRDefault="004763DD">
            <w:pPr>
              <w:jc w:val="center"/>
            </w:pPr>
            <w:r>
              <w:rPr>
                <w:rFonts w:asciiTheme="minorEastAsia" w:eastAsiaTheme="minorEastAsia" w:hAnsiTheme="minorEastAsia"/>
                <w:color w:val="000000" w:themeColor="text1"/>
                <w:sz w:val="24"/>
              </w:rPr>
              <w:t>3</w:t>
            </w:r>
          </w:p>
        </w:tc>
        <w:tc>
          <w:tcPr>
            <w:tcW w:w="0" w:type="auto"/>
            <w:vAlign w:val="center"/>
          </w:tcPr>
          <w:p w14:paraId="4459EA91" w14:textId="77777777" w:rsidR="00C83121" w:rsidRDefault="004763DD">
            <w:pPr>
              <w:jc w:val="center"/>
            </w:pPr>
            <w:r>
              <w:rPr>
                <w:rFonts w:asciiTheme="minorEastAsia" w:eastAsiaTheme="minorEastAsia" w:hAnsiTheme="minorEastAsia"/>
                <w:color w:val="000000" w:themeColor="text1"/>
                <w:sz w:val="24"/>
              </w:rPr>
              <w:t>190208</w:t>
            </w:r>
          </w:p>
        </w:tc>
        <w:tc>
          <w:tcPr>
            <w:tcW w:w="0" w:type="auto"/>
            <w:vAlign w:val="center"/>
          </w:tcPr>
          <w:p w14:paraId="4888A666" w14:textId="77777777" w:rsidR="00C83121" w:rsidRDefault="004763DD">
            <w:pPr>
              <w:jc w:val="center"/>
            </w:pPr>
            <w:r>
              <w:rPr>
                <w:rFonts w:asciiTheme="minorEastAsia" w:eastAsiaTheme="minorEastAsia" w:hAnsiTheme="minorEastAsia"/>
                <w:color w:val="000000" w:themeColor="text1"/>
                <w:sz w:val="24"/>
              </w:rPr>
              <w:t>19</w:t>
            </w:r>
            <w:r>
              <w:rPr>
                <w:rFonts w:asciiTheme="minorEastAsia" w:eastAsiaTheme="minorEastAsia" w:hAnsiTheme="minorEastAsia"/>
                <w:color w:val="000000" w:themeColor="text1"/>
                <w:sz w:val="24"/>
              </w:rPr>
              <w:t>国开</w:t>
            </w:r>
            <w:r>
              <w:rPr>
                <w:rFonts w:asciiTheme="minorEastAsia" w:eastAsiaTheme="minorEastAsia" w:hAnsiTheme="minorEastAsia"/>
                <w:color w:val="000000" w:themeColor="text1"/>
                <w:sz w:val="24"/>
              </w:rPr>
              <w:t>08</w:t>
            </w:r>
          </w:p>
        </w:tc>
        <w:tc>
          <w:tcPr>
            <w:tcW w:w="0" w:type="auto"/>
            <w:vAlign w:val="center"/>
          </w:tcPr>
          <w:p w14:paraId="3D647C35" w14:textId="77777777" w:rsidR="00C83121" w:rsidRDefault="004763DD">
            <w:pPr>
              <w:jc w:val="right"/>
            </w:pPr>
            <w:r>
              <w:rPr>
                <w:rFonts w:asciiTheme="minorEastAsia" w:eastAsiaTheme="minorEastAsia" w:hAnsiTheme="minorEastAsia"/>
                <w:color w:val="000000" w:themeColor="text1"/>
                <w:sz w:val="24"/>
              </w:rPr>
              <w:t>1,100,000.00</w:t>
            </w:r>
          </w:p>
        </w:tc>
        <w:tc>
          <w:tcPr>
            <w:tcW w:w="0" w:type="auto"/>
            <w:vAlign w:val="center"/>
          </w:tcPr>
          <w:p w14:paraId="52FDDF56" w14:textId="77777777" w:rsidR="00C83121" w:rsidRDefault="004763DD">
            <w:pPr>
              <w:jc w:val="right"/>
            </w:pPr>
            <w:r>
              <w:rPr>
                <w:rFonts w:asciiTheme="minorEastAsia" w:eastAsiaTheme="minorEastAsia" w:hAnsiTheme="minorEastAsia"/>
                <w:color w:val="000000" w:themeColor="text1"/>
                <w:sz w:val="24"/>
              </w:rPr>
              <w:t>113,755,515.72</w:t>
            </w:r>
          </w:p>
        </w:tc>
        <w:tc>
          <w:tcPr>
            <w:tcW w:w="0" w:type="auto"/>
            <w:vAlign w:val="center"/>
          </w:tcPr>
          <w:p w14:paraId="706DB72A" w14:textId="77777777" w:rsidR="00C83121" w:rsidRDefault="004763DD">
            <w:pPr>
              <w:jc w:val="right"/>
            </w:pPr>
            <w:r>
              <w:rPr>
                <w:rFonts w:asciiTheme="minorEastAsia" w:eastAsiaTheme="minorEastAsia" w:hAnsiTheme="minorEastAsia"/>
                <w:color w:val="000000" w:themeColor="text1"/>
                <w:sz w:val="24"/>
              </w:rPr>
              <w:t>0.97</w:t>
            </w:r>
          </w:p>
        </w:tc>
      </w:tr>
      <w:tr w:rsidR="00C83121" w14:paraId="375537D8" w14:textId="77777777">
        <w:tc>
          <w:tcPr>
            <w:tcW w:w="0" w:type="auto"/>
            <w:vAlign w:val="center"/>
          </w:tcPr>
          <w:p w14:paraId="18BFA573" w14:textId="77777777" w:rsidR="00C83121" w:rsidRDefault="004763DD">
            <w:pPr>
              <w:jc w:val="center"/>
            </w:pPr>
            <w:r>
              <w:rPr>
                <w:rFonts w:asciiTheme="minorEastAsia" w:eastAsiaTheme="minorEastAsia" w:hAnsiTheme="minorEastAsia"/>
                <w:color w:val="000000" w:themeColor="text1"/>
                <w:sz w:val="24"/>
              </w:rPr>
              <w:t>4</w:t>
            </w:r>
          </w:p>
        </w:tc>
        <w:tc>
          <w:tcPr>
            <w:tcW w:w="0" w:type="auto"/>
            <w:vAlign w:val="center"/>
          </w:tcPr>
          <w:p w14:paraId="0B3AFBC1" w14:textId="77777777" w:rsidR="00C83121" w:rsidRDefault="004763DD">
            <w:pPr>
              <w:jc w:val="center"/>
            </w:pPr>
            <w:r>
              <w:rPr>
                <w:rFonts w:asciiTheme="minorEastAsia" w:eastAsiaTheme="minorEastAsia" w:hAnsiTheme="minorEastAsia"/>
                <w:color w:val="000000" w:themeColor="text1"/>
                <w:sz w:val="24"/>
              </w:rPr>
              <w:t>200203</w:t>
            </w:r>
          </w:p>
        </w:tc>
        <w:tc>
          <w:tcPr>
            <w:tcW w:w="0" w:type="auto"/>
            <w:vAlign w:val="center"/>
          </w:tcPr>
          <w:p w14:paraId="70D8DFD2" w14:textId="77777777" w:rsidR="00C83121" w:rsidRDefault="004763DD">
            <w:pPr>
              <w:jc w:val="center"/>
            </w:pPr>
            <w:r>
              <w:rPr>
                <w:rFonts w:asciiTheme="minorEastAsia" w:eastAsiaTheme="minorEastAsia" w:hAnsiTheme="minorEastAsia"/>
                <w:color w:val="000000" w:themeColor="text1"/>
                <w:sz w:val="24"/>
              </w:rPr>
              <w:t>20</w:t>
            </w:r>
            <w:r>
              <w:rPr>
                <w:rFonts w:asciiTheme="minorEastAsia" w:eastAsiaTheme="minorEastAsia" w:hAnsiTheme="minorEastAsia"/>
                <w:color w:val="000000" w:themeColor="text1"/>
                <w:sz w:val="24"/>
              </w:rPr>
              <w:t>国开</w:t>
            </w:r>
            <w:r>
              <w:rPr>
                <w:rFonts w:asciiTheme="minorEastAsia" w:eastAsiaTheme="minorEastAsia" w:hAnsiTheme="minorEastAsia"/>
                <w:color w:val="000000" w:themeColor="text1"/>
                <w:sz w:val="24"/>
              </w:rPr>
              <w:t>03</w:t>
            </w:r>
          </w:p>
        </w:tc>
        <w:tc>
          <w:tcPr>
            <w:tcW w:w="0" w:type="auto"/>
            <w:vAlign w:val="center"/>
          </w:tcPr>
          <w:p w14:paraId="4B0F6AC8" w14:textId="77777777" w:rsidR="00C83121" w:rsidRDefault="004763DD">
            <w:pPr>
              <w:jc w:val="right"/>
            </w:pPr>
            <w:r>
              <w:rPr>
                <w:rFonts w:asciiTheme="minorEastAsia" w:eastAsiaTheme="minorEastAsia" w:hAnsiTheme="minorEastAsia"/>
                <w:color w:val="000000" w:themeColor="text1"/>
                <w:sz w:val="24"/>
              </w:rPr>
              <w:t>1,000,000.00</w:t>
            </w:r>
          </w:p>
        </w:tc>
        <w:tc>
          <w:tcPr>
            <w:tcW w:w="0" w:type="auto"/>
            <w:vAlign w:val="center"/>
          </w:tcPr>
          <w:p w14:paraId="29805F49" w14:textId="77777777" w:rsidR="00C83121" w:rsidRDefault="004763DD">
            <w:pPr>
              <w:jc w:val="right"/>
            </w:pPr>
            <w:r>
              <w:rPr>
                <w:rFonts w:asciiTheme="minorEastAsia" w:eastAsiaTheme="minorEastAsia" w:hAnsiTheme="minorEastAsia"/>
                <w:color w:val="000000" w:themeColor="text1"/>
                <w:sz w:val="24"/>
              </w:rPr>
              <w:t>102,298,113.14</w:t>
            </w:r>
          </w:p>
        </w:tc>
        <w:tc>
          <w:tcPr>
            <w:tcW w:w="0" w:type="auto"/>
            <w:vAlign w:val="center"/>
          </w:tcPr>
          <w:p w14:paraId="3CD44B30" w14:textId="77777777" w:rsidR="00C83121" w:rsidRDefault="004763DD">
            <w:pPr>
              <w:jc w:val="right"/>
            </w:pPr>
            <w:r>
              <w:rPr>
                <w:rFonts w:asciiTheme="minorEastAsia" w:eastAsiaTheme="minorEastAsia" w:hAnsiTheme="minorEastAsia"/>
                <w:color w:val="000000" w:themeColor="text1"/>
                <w:sz w:val="24"/>
              </w:rPr>
              <w:t>0.87</w:t>
            </w:r>
          </w:p>
        </w:tc>
      </w:tr>
      <w:tr w:rsidR="00C83121" w14:paraId="05916D0B" w14:textId="77777777">
        <w:tc>
          <w:tcPr>
            <w:tcW w:w="0" w:type="auto"/>
            <w:vAlign w:val="center"/>
          </w:tcPr>
          <w:p w14:paraId="5B4C3747" w14:textId="77777777" w:rsidR="00C83121" w:rsidRDefault="004763DD">
            <w:pPr>
              <w:jc w:val="center"/>
            </w:pPr>
            <w:r>
              <w:rPr>
                <w:rFonts w:asciiTheme="minorEastAsia" w:eastAsiaTheme="minorEastAsia" w:hAnsiTheme="minorEastAsia"/>
                <w:color w:val="000000" w:themeColor="text1"/>
                <w:sz w:val="24"/>
              </w:rPr>
              <w:t>5</w:t>
            </w:r>
          </w:p>
        </w:tc>
        <w:tc>
          <w:tcPr>
            <w:tcW w:w="0" w:type="auto"/>
            <w:vAlign w:val="center"/>
          </w:tcPr>
          <w:p w14:paraId="15F18885" w14:textId="77777777" w:rsidR="00C83121" w:rsidRDefault="004763DD">
            <w:pPr>
              <w:jc w:val="center"/>
            </w:pPr>
            <w:r>
              <w:rPr>
                <w:rFonts w:asciiTheme="minorEastAsia" w:eastAsiaTheme="minorEastAsia" w:hAnsiTheme="minorEastAsia"/>
                <w:color w:val="000000" w:themeColor="text1"/>
                <w:sz w:val="24"/>
              </w:rPr>
              <w:t>012480169</w:t>
            </w:r>
          </w:p>
        </w:tc>
        <w:tc>
          <w:tcPr>
            <w:tcW w:w="0" w:type="auto"/>
            <w:vAlign w:val="center"/>
          </w:tcPr>
          <w:p w14:paraId="6E0F151B" w14:textId="77777777" w:rsidR="00C83121" w:rsidRDefault="004763D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北控</w:t>
            </w:r>
            <w:r>
              <w:rPr>
                <w:rFonts w:asciiTheme="minorEastAsia" w:eastAsiaTheme="minorEastAsia" w:hAnsiTheme="minorEastAsia"/>
                <w:color w:val="000000" w:themeColor="text1"/>
                <w:sz w:val="24"/>
              </w:rPr>
              <w:t>SCP001</w:t>
            </w:r>
          </w:p>
        </w:tc>
        <w:tc>
          <w:tcPr>
            <w:tcW w:w="0" w:type="auto"/>
            <w:vAlign w:val="center"/>
          </w:tcPr>
          <w:p w14:paraId="53A98EE4" w14:textId="77777777" w:rsidR="00C83121" w:rsidRDefault="004763DD">
            <w:pPr>
              <w:jc w:val="right"/>
            </w:pPr>
            <w:r>
              <w:rPr>
                <w:rFonts w:asciiTheme="minorEastAsia" w:eastAsiaTheme="minorEastAsia" w:hAnsiTheme="minorEastAsia"/>
                <w:color w:val="000000" w:themeColor="text1"/>
                <w:sz w:val="24"/>
              </w:rPr>
              <w:t>1,000,000.00</w:t>
            </w:r>
          </w:p>
        </w:tc>
        <w:tc>
          <w:tcPr>
            <w:tcW w:w="0" w:type="auto"/>
            <w:vAlign w:val="center"/>
          </w:tcPr>
          <w:p w14:paraId="2ADB91D4" w14:textId="77777777" w:rsidR="00C83121" w:rsidRDefault="004763DD">
            <w:pPr>
              <w:jc w:val="right"/>
            </w:pPr>
            <w:r>
              <w:rPr>
                <w:rFonts w:asciiTheme="minorEastAsia" w:eastAsiaTheme="minorEastAsia" w:hAnsiTheme="minorEastAsia"/>
                <w:color w:val="000000" w:themeColor="text1"/>
                <w:sz w:val="24"/>
              </w:rPr>
              <w:t>101,108,856.30</w:t>
            </w:r>
          </w:p>
        </w:tc>
        <w:tc>
          <w:tcPr>
            <w:tcW w:w="0" w:type="auto"/>
            <w:vAlign w:val="center"/>
          </w:tcPr>
          <w:p w14:paraId="4476330E" w14:textId="77777777" w:rsidR="00C83121" w:rsidRDefault="004763DD">
            <w:pPr>
              <w:jc w:val="right"/>
            </w:pPr>
            <w:r>
              <w:rPr>
                <w:rFonts w:asciiTheme="minorEastAsia" w:eastAsiaTheme="minorEastAsia" w:hAnsiTheme="minorEastAsia"/>
                <w:color w:val="000000" w:themeColor="text1"/>
                <w:sz w:val="24"/>
              </w:rPr>
              <w:t>0.86</w:t>
            </w:r>
          </w:p>
        </w:tc>
      </w:tr>
      <w:tr w:rsidR="00C83121" w14:paraId="1EBD8BF7" w14:textId="77777777">
        <w:tc>
          <w:tcPr>
            <w:tcW w:w="0" w:type="auto"/>
            <w:vAlign w:val="center"/>
          </w:tcPr>
          <w:p w14:paraId="3710E104" w14:textId="77777777" w:rsidR="00C83121" w:rsidRDefault="004763DD">
            <w:pPr>
              <w:jc w:val="center"/>
            </w:pPr>
            <w:r>
              <w:rPr>
                <w:rFonts w:asciiTheme="minorEastAsia" w:eastAsiaTheme="minorEastAsia" w:hAnsiTheme="minorEastAsia"/>
                <w:color w:val="000000" w:themeColor="text1"/>
                <w:sz w:val="24"/>
              </w:rPr>
              <w:t>6</w:t>
            </w:r>
          </w:p>
        </w:tc>
        <w:tc>
          <w:tcPr>
            <w:tcW w:w="0" w:type="auto"/>
            <w:vAlign w:val="center"/>
          </w:tcPr>
          <w:p w14:paraId="1D951BC4" w14:textId="77777777" w:rsidR="00C83121" w:rsidRDefault="004763DD">
            <w:pPr>
              <w:jc w:val="center"/>
            </w:pPr>
            <w:r>
              <w:rPr>
                <w:rFonts w:asciiTheme="minorEastAsia" w:eastAsiaTheme="minorEastAsia" w:hAnsiTheme="minorEastAsia"/>
                <w:color w:val="000000" w:themeColor="text1"/>
                <w:sz w:val="24"/>
              </w:rPr>
              <w:t>012481202</w:t>
            </w:r>
          </w:p>
        </w:tc>
        <w:tc>
          <w:tcPr>
            <w:tcW w:w="0" w:type="auto"/>
            <w:vAlign w:val="center"/>
          </w:tcPr>
          <w:p w14:paraId="7C56E25A" w14:textId="77777777" w:rsidR="00C83121" w:rsidRDefault="004763D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苏交通</w:t>
            </w:r>
            <w:r>
              <w:rPr>
                <w:rFonts w:asciiTheme="minorEastAsia" w:eastAsiaTheme="minorEastAsia" w:hAnsiTheme="minorEastAsia"/>
                <w:color w:val="000000" w:themeColor="text1"/>
                <w:sz w:val="24"/>
              </w:rPr>
              <w:t>SCP008</w:t>
            </w:r>
          </w:p>
        </w:tc>
        <w:tc>
          <w:tcPr>
            <w:tcW w:w="0" w:type="auto"/>
            <w:vAlign w:val="center"/>
          </w:tcPr>
          <w:p w14:paraId="2C3680B8" w14:textId="77777777" w:rsidR="00C83121" w:rsidRDefault="004763DD">
            <w:pPr>
              <w:jc w:val="right"/>
            </w:pPr>
            <w:r>
              <w:rPr>
                <w:rFonts w:asciiTheme="minorEastAsia" w:eastAsiaTheme="minorEastAsia" w:hAnsiTheme="minorEastAsia"/>
                <w:color w:val="000000" w:themeColor="text1"/>
                <w:sz w:val="24"/>
              </w:rPr>
              <w:t>1,000,000.00</w:t>
            </w:r>
          </w:p>
        </w:tc>
        <w:tc>
          <w:tcPr>
            <w:tcW w:w="0" w:type="auto"/>
            <w:vAlign w:val="center"/>
          </w:tcPr>
          <w:p w14:paraId="41F4ED95" w14:textId="77777777" w:rsidR="00C83121" w:rsidRDefault="004763DD">
            <w:pPr>
              <w:jc w:val="right"/>
            </w:pPr>
            <w:r>
              <w:rPr>
                <w:rFonts w:asciiTheme="minorEastAsia" w:eastAsiaTheme="minorEastAsia" w:hAnsiTheme="minorEastAsia"/>
                <w:color w:val="000000" w:themeColor="text1"/>
                <w:sz w:val="24"/>
              </w:rPr>
              <w:t>100,380,513.30</w:t>
            </w:r>
          </w:p>
        </w:tc>
        <w:tc>
          <w:tcPr>
            <w:tcW w:w="0" w:type="auto"/>
            <w:vAlign w:val="center"/>
          </w:tcPr>
          <w:p w14:paraId="6C4B45B1" w14:textId="77777777" w:rsidR="00C83121" w:rsidRDefault="004763DD">
            <w:pPr>
              <w:jc w:val="right"/>
            </w:pPr>
            <w:r>
              <w:rPr>
                <w:rFonts w:asciiTheme="minorEastAsia" w:eastAsiaTheme="minorEastAsia" w:hAnsiTheme="minorEastAsia"/>
                <w:color w:val="000000" w:themeColor="text1"/>
                <w:sz w:val="24"/>
              </w:rPr>
              <w:t>0.86</w:t>
            </w:r>
          </w:p>
        </w:tc>
      </w:tr>
      <w:tr w:rsidR="00C83121" w14:paraId="7AF1F7C3" w14:textId="77777777">
        <w:tc>
          <w:tcPr>
            <w:tcW w:w="0" w:type="auto"/>
            <w:vAlign w:val="center"/>
          </w:tcPr>
          <w:p w14:paraId="68AF5586" w14:textId="77777777" w:rsidR="00C83121" w:rsidRDefault="004763DD">
            <w:pPr>
              <w:jc w:val="center"/>
            </w:pPr>
            <w:r>
              <w:rPr>
                <w:rFonts w:asciiTheme="minorEastAsia" w:eastAsiaTheme="minorEastAsia" w:hAnsiTheme="minorEastAsia"/>
                <w:color w:val="000000" w:themeColor="text1"/>
                <w:sz w:val="24"/>
              </w:rPr>
              <w:t>7</w:t>
            </w:r>
          </w:p>
        </w:tc>
        <w:tc>
          <w:tcPr>
            <w:tcW w:w="0" w:type="auto"/>
            <w:vAlign w:val="center"/>
          </w:tcPr>
          <w:p w14:paraId="2970EADF" w14:textId="77777777" w:rsidR="00C83121" w:rsidRDefault="004763DD">
            <w:pPr>
              <w:jc w:val="center"/>
            </w:pPr>
            <w:r>
              <w:rPr>
                <w:rFonts w:asciiTheme="minorEastAsia" w:eastAsiaTheme="minorEastAsia" w:hAnsiTheme="minorEastAsia"/>
                <w:color w:val="000000" w:themeColor="text1"/>
                <w:sz w:val="24"/>
              </w:rPr>
              <w:t>012481213</w:t>
            </w:r>
          </w:p>
        </w:tc>
        <w:tc>
          <w:tcPr>
            <w:tcW w:w="0" w:type="auto"/>
            <w:vAlign w:val="center"/>
          </w:tcPr>
          <w:p w14:paraId="6BEF23C8" w14:textId="77777777" w:rsidR="00C83121" w:rsidRDefault="004763D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招商局</w:t>
            </w:r>
            <w:r>
              <w:rPr>
                <w:rFonts w:asciiTheme="minorEastAsia" w:eastAsiaTheme="minorEastAsia" w:hAnsiTheme="minorEastAsia"/>
                <w:color w:val="000000" w:themeColor="text1"/>
                <w:sz w:val="24"/>
              </w:rPr>
              <w:t>SCP005</w:t>
            </w:r>
          </w:p>
        </w:tc>
        <w:tc>
          <w:tcPr>
            <w:tcW w:w="0" w:type="auto"/>
            <w:vAlign w:val="center"/>
          </w:tcPr>
          <w:p w14:paraId="503CA764" w14:textId="77777777" w:rsidR="00C83121" w:rsidRDefault="004763DD">
            <w:pPr>
              <w:jc w:val="right"/>
            </w:pPr>
            <w:r>
              <w:rPr>
                <w:rFonts w:asciiTheme="minorEastAsia" w:eastAsiaTheme="minorEastAsia" w:hAnsiTheme="minorEastAsia"/>
                <w:color w:val="000000" w:themeColor="text1"/>
                <w:sz w:val="24"/>
              </w:rPr>
              <w:t>1,000,000.00</w:t>
            </w:r>
          </w:p>
        </w:tc>
        <w:tc>
          <w:tcPr>
            <w:tcW w:w="0" w:type="auto"/>
            <w:vAlign w:val="center"/>
          </w:tcPr>
          <w:p w14:paraId="41EE8B5C" w14:textId="77777777" w:rsidR="00C83121" w:rsidRDefault="004763DD">
            <w:pPr>
              <w:jc w:val="right"/>
            </w:pPr>
            <w:r>
              <w:rPr>
                <w:rFonts w:asciiTheme="minorEastAsia" w:eastAsiaTheme="minorEastAsia" w:hAnsiTheme="minorEastAsia"/>
                <w:color w:val="000000" w:themeColor="text1"/>
                <w:sz w:val="24"/>
              </w:rPr>
              <w:t>100,380,099.26</w:t>
            </w:r>
          </w:p>
        </w:tc>
        <w:tc>
          <w:tcPr>
            <w:tcW w:w="0" w:type="auto"/>
            <w:vAlign w:val="center"/>
          </w:tcPr>
          <w:p w14:paraId="77650EB4" w14:textId="77777777" w:rsidR="00C83121" w:rsidRDefault="004763DD">
            <w:pPr>
              <w:jc w:val="right"/>
            </w:pPr>
            <w:r>
              <w:rPr>
                <w:rFonts w:asciiTheme="minorEastAsia" w:eastAsiaTheme="minorEastAsia" w:hAnsiTheme="minorEastAsia"/>
                <w:color w:val="000000" w:themeColor="text1"/>
                <w:sz w:val="24"/>
              </w:rPr>
              <w:t>0.86</w:t>
            </w:r>
          </w:p>
        </w:tc>
      </w:tr>
      <w:tr w:rsidR="00C83121" w14:paraId="4C9D9263" w14:textId="77777777">
        <w:tc>
          <w:tcPr>
            <w:tcW w:w="0" w:type="auto"/>
            <w:vAlign w:val="center"/>
          </w:tcPr>
          <w:p w14:paraId="2FBAF518" w14:textId="77777777" w:rsidR="00C83121" w:rsidRDefault="004763DD">
            <w:pPr>
              <w:jc w:val="center"/>
            </w:pPr>
            <w:r>
              <w:rPr>
                <w:rFonts w:asciiTheme="minorEastAsia" w:eastAsiaTheme="minorEastAsia" w:hAnsiTheme="minorEastAsia"/>
                <w:color w:val="000000" w:themeColor="text1"/>
                <w:sz w:val="24"/>
              </w:rPr>
              <w:t>8</w:t>
            </w:r>
          </w:p>
        </w:tc>
        <w:tc>
          <w:tcPr>
            <w:tcW w:w="0" w:type="auto"/>
            <w:vAlign w:val="center"/>
          </w:tcPr>
          <w:p w14:paraId="325959EF" w14:textId="77777777" w:rsidR="00C83121" w:rsidRDefault="004763DD">
            <w:pPr>
              <w:jc w:val="center"/>
            </w:pPr>
            <w:r>
              <w:rPr>
                <w:rFonts w:asciiTheme="minorEastAsia" w:eastAsiaTheme="minorEastAsia" w:hAnsiTheme="minorEastAsia"/>
                <w:color w:val="000000" w:themeColor="text1"/>
                <w:sz w:val="24"/>
              </w:rPr>
              <w:t>012481238</w:t>
            </w:r>
          </w:p>
        </w:tc>
        <w:tc>
          <w:tcPr>
            <w:tcW w:w="0" w:type="auto"/>
            <w:vAlign w:val="center"/>
          </w:tcPr>
          <w:p w14:paraId="28DBF2DA" w14:textId="77777777" w:rsidR="00C83121" w:rsidRDefault="004763D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万华化学</w:t>
            </w:r>
            <w:r>
              <w:rPr>
                <w:rFonts w:asciiTheme="minorEastAsia" w:eastAsiaTheme="minorEastAsia" w:hAnsiTheme="minorEastAsia"/>
                <w:color w:val="000000" w:themeColor="text1"/>
                <w:sz w:val="24"/>
              </w:rPr>
              <w:t>SCP006(</w:t>
            </w:r>
            <w:r>
              <w:rPr>
                <w:rFonts w:asciiTheme="minorEastAsia" w:eastAsiaTheme="minorEastAsia" w:hAnsiTheme="minorEastAsia"/>
                <w:color w:val="000000" w:themeColor="text1"/>
                <w:sz w:val="24"/>
              </w:rPr>
              <w:t>科创票据</w:t>
            </w:r>
            <w:r>
              <w:rPr>
                <w:rFonts w:asciiTheme="minorEastAsia" w:eastAsiaTheme="minorEastAsia" w:hAnsiTheme="minorEastAsia"/>
                <w:color w:val="000000" w:themeColor="text1"/>
                <w:sz w:val="24"/>
              </w:rPr>
              <w:t>)</w:t>
            </w:r>
          </w:p>
        </w:tc>
        <w:tc>
          <w:tcPr>
            <w:tcW w:w="0" w:type="auto"/>
            <w:vAlign w:val="center"/>
          </w:tcPr>
          <w:p w14:paraId="1900648C" w14:textId="77777777" w:rsidR="00C83121" w:rsidRDefault="004763DD">
            <w:pPr>
              <w:jc w:val="right"/>
            </w:pPr>
            <w:r>
              <w:rPr>
                <w:rFonts w:asciiTheme="minorEastAsia" w:eastAsiaTheme="minorEastAsia" w:hAnsiTheme="minorEastAsia"/>
                <w:color w:val="000000" w:themeColor="text1"/>
                <w:sz w:val="24"/>
              </w:rPr>
              <w:t>1,000,000.00</w:t>
            </w:r>
          </w:p>
        </w:tc>
        <w:tc>
          <w:tcPr>
            <w:tcW w:w="0" w:type="auto"/>
            <w:vAlign w:val="center"/>
          </w:tcPr>
          <w:p w14:paraId="3F1E100C" w14:textId="77777777" w:rsidR="00C83121" w:rsidRDefault="004763DD">
            <w:pPr>
              <w:jc w:val="right"/>
            </w:pPr>
            <w:r>
              <w:rPr>
                <w:rFonts w:asciiTheme="minorEastAsia" w:eastAsiaTheme="minorEastAsia" w:hAnsiTheme="minorEastAsia"/>
                <w:color w:val="000000" w:themeColor="text1"/>
                <w:sz w:val="24"/>
              </w:rPr>
              <w:t>100,352,330.04</w:t>
            </w:r>
          </w:p>
        </w:tc>
        <w:tc>
          <w:tcPr>
            <w:tcW w:w="0" w:type="auto"/>
            <w:vAlign w:val="center"/>
          </w:tcPr>
          <w:p w14:paraId="7F5A773E" w14:textId="77777777" w:rsidR="00C83121" w:rsidRDefault="004763DD">
            <w:pPr>
              <w:jc w:val="right"/>
            </w:pPr>
            <w:r>
              <w:rPr>
                <w:rFonts w:asciiTheme="minorEastAsia" w:eastAsiaTheme="minorEastAsia" w:hAnsiTheme="minorEastAsia"/>
                <w:color w:val="000000" w:themeColor="text1"/>
                <w:sz w:val="24"/>
              </w:rPr>
              <w:t>0.86</w:t>
            </w:r>
          </w:p>
        </w:tc>
      </w:tr>
      <w:tr w:rsidR="00C83121" w14:paraId="76C603DE" w14:textId="77777777">
        <w:tc>
          <w:tcPr>
            <w:tcW w:w="0" w:type="auto"/>
            <w:vAlign w:val="center"/>
          </w:tcPr>
          <w:p w14:paraId="5405CC63" w14:textId="77777777" w:rsidR="00C83121" w:rsidRDefault="004763DD">
            <w:pPr>
              <w:jc w:val="center"/>
            </w:pPr>
            <w:r>
              <w:rPr>
                <w:rFonts w:asciiTheme="minorEastAsia" w:eastAsiaTheme="minorEastAsia" w:hAnsiTheme="minorEastAsia"/>
                <w:color w:val="000000" w:themeColor="text1"/>
                <w:sz w:val="24"/>
              </w:rPr>
              <w:t>9</w:t>
            </w:r>
          </w:p>
        </w:tc>
        <w:tc>
          <w:tcPr>
            <w:tcW w:w="0" w:type="auto"/>
            <w:vAlign w:val="center"/>
          </w:tcPr>
          <w:p w14:paraId="7D7EC56E" w14:textId="77777777" w:rsidR="00C83121" w:rsidRDefault="004763DD">
            <w:pPr>
              <w:jc w:val="center"/>
            </w:pPr>
            <w:r>
              <w:rPr>
                <w:rFonts w:asciiTheme="minorEastAsia" w:eastAsiaTheme="minorEastAsia" w:hAnsiTheme="minorEastAsia"/>
                <w:color w:val="000000" w:themeColor="text1"/>
                <w:sz w:val="24"/>
              </w:rPr>
              <w:t>012481301</w:t>
            </w:r>
          </w:p>
        </w:tc>
        <w:tc>
          <w:tcPr>
            <w:tcW w:w="0" w:type="auto"/>
            <w:vAlign w:val="center"/>
          </w:tcPr>
          <w:p w14:paraId="03691A81" w14:textId="77777777" w:rsidR="00C83121" w:rsidRDefault="004763D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龙源电力</w:t>
            </w:r>
            <w:r>
              <w:rPr>
                <w:rFonts w:asciiTheme="minorEastAsia" w:eastAsiaTheme="minorEastAsia" w:hAnsiTheme="minorEastAsia"/>
                <w:color w:val="000000" w:themeColor="text1"/>
                <w:sz w:val="24"/>
              </w:rPr>
              <w:t>SCP007</w:t>
            </w:r>
          </w:p>
        </w:tc>
        <w:tc>
          <w:tcPr>
            <w:tcW w:w="0" w:type="auto"/>
            <w:vAlign w:val="center"/>
          </w:tcPr>
          <w:p w14:paraId="722A7EFB" w14:textId="77777777" w:rsidR="00C83121" w:rsidRDefault="004763DD">
            <w:pPr>
              <w:jc w:val="right"/>
            </w:pPr>
            <w:r>
              <w:rPr>
                <w:rFonts w:asciiTheme="minorEastAsia" w:eastAsiaTheme="minorEastAsia" w:hAnsiTheme="minorEastAsia"/>
                <w:color w:val="000000" w:themeColor="text1"/>
                <w:sz w:val="24"/>
              </w:rPr>
              <w:t>1,000,000.00</w:t>
            </w:r>
          </w:p>
        </w:tc>
        <w:tc>
          <w:tcPr>
            <w:tcW w:w="0" w:type="auto"/>
            <w:vAlign w:val="center"/>
          </w:tcPr>
          <w:p w14:paraId="63566542" w14:textId="77777777" w:rsidR="00C83121" w:rsidRDefault="004763DD">
            <w:pPr>
              <w:jc w:val="right"/>
            </w:pPr>
            <w:r>
              <w:rPr>
                <w:rFonts w:asciiTheme="minorEastAsia" w:eastAsiaTheme="minorEastAsia" w:hAnsiTheme="minorEastAsia"/>
                <w:color w:val="000000" w:themeColor="text1"/>
                <w:sz w:val="24"/>
              </w:rPr>
              <w:t>100,284,312.55</w:t>
            </w:r>
          </w:p>
        </w:tc>
        <w:tc>
          <w:tcPr>
            <w:tcW w:w="0" w:type="auto"/>
            <w:vAlign w:val="center"/>
          </w:tcPr>
          <w:p w14:paraId="04777B68" w14:textId="77777777" w:rsidR="00C83121" w:rsidRDefault="004763DD">
            <w:pPr>
              <w:jc w:val="right"/>
            </w:pPr>
            <w:r>
              <w:rPr>
                <w:rFonts w:asciiTheme="minorEastAsia" w:eastAsiaTheme="minorEastAsia" w:hAnsiTheme="minorEastAsia"/>
                <w:color w:val="000000" w:themeColor="text1"/>
                <w:sz w:val="24"/>
              </w:rPr>
              <w:t>0.86</w:t>
            </w:r>
          </w:p>
        </w:tc>
      </w:tr>
      <w:tr w:rsidR="00C83121" w14:paraId="1DADDECF" w14:textId="77777777">
        <w:tc>
          <w:tcPr>
            <w:tcW w:w="0" w:type="auto"/>
            <w:vAlign w:val="center"/>
          </w:tcPr>
          <w:p w14:paraId="258F599B" w14:textId="77777777" w:rsidR="00C83121" w:rsidRDefault="004763DD">
            <w:pPr>
              <w:jc w:val="center"/>
            </w:pPr>
            <w:r>
              <w:rPr>
                <w:rFonts w:asciiTheme="minorEastAsia" w:eastAsiaTheme="minorEastAsia" w:hAnsiTheme="minorEastAsia"/>
                <w:color w:val="000000" w:themeColor="text1"/>
                <w:sz w:val="24"/>
              </w:rPr>
              <w:t>10</w:t>
            </w:r>
          </w:p>
        </w:tc>
        <w:tc>
          <w:tcPr>
            <w:tcW w:w="0" w:type="auto"/>
            <w:vAlign w:val="center"/>
          </w:tcPr>
          <w:p w14:paraId="076D4FD3" w14:textId="77777777" w:rsidR="00C83121" w:rsidRDefault="004763DD">
            <w:pPr>
              <w:jc w:val="center"/>
            </w:pPr>
            <w:r>
              <w:rPr>
                <w:rFonts w:asciiTheme="minorEastAsia" w:eastAsiaTheme="minorEastAsia" w:hAnsiTheme="minorEastAsia"/>
                <w:color w:val="000000" w:themeColor="text1"/>
                <w:sz w:val="24"/>
              </w:rPr>
              <w:t>012481369</w:t>
            </w:r>
          </w:p>
        </w:tc>
        <w:tc>
          <w:tcPr>
            <w:tcW w:w="0" w:type="auto"/>
            <w:vAlign w:val="center"/>
          </w:tcPr>
          <w:p w14:paraId="079C1431" w14:textId="77777777" w:rsidR="00C83121" w:rsidRDefault="004763D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龙源电力</w:t>
            </w:r>
            <w:r>
              <w:rPr>
                <w:rFonts w:asciiTheme="minorEastAsia" w:eastAsiaTheme="minorEastAsia" w:hAnsiTheme="minorEastAsia"/>
                <w:color w:val="000000" w:themeColor="text1"/>
                <w:sz w:val="24"/>
              </w:rPr>
              <w:t>SCP008</w:t>
            </w:r>
          </w:p>
        </w:tc>
        <w:tc>
          <w:tcPr>
            <w:tcW w:w="0" w:type="auto"/>
            <w:vAlign w:val="center"/>
          </w:tcPr>
          <w:p w14:paraId="09BF5AAB" w14:textId="77777777" w:rsidR="00C83121" w:rsidRDefault="004763DD">
            <w:pPr>
              <w:jc w:val="right"/>
            </w:pPr>
            <w:r>
              <w:rPr>
                <w:rFonts w:asciiTheme="minorEastAsia" w:eastAsiaTheme="minorEastAsia" w:hAnsiTheme="minorEastAsia"/>
                <w:color w:val="000000" w:themeColor="text1"/>
                <w:sz w:val="24"/>
              </w:rPr>
              <w:t>1,000,000.00</w:t>
            </w:r>
          </w:p>
        </w:tc>
        <w:tc>
          <w:tcPr>
            <w:tcW w:w="0" w:type="auto"/>
            <w:vAlign w:val="center"/>
          </w:tcPr>
          <w:p w14:paraId="0D0614D0" w14:textId="77777777" w:rsidR="00C83121" w:rsidRDefault="004763DD">
            <w:pPr>
              <w:jc w:val="right"/>
            </w:pPr>
            <w:r>
              <w:rPr>
                <w:rFonts w:asciiTheme="minorEastAsia" w:eastAsiaTheme="minorEastAsia" w:hAnsiTheme="minorEastAsia"/>
                <w:color w:val="000000" w:themeColor="text1"/>
                <w:sz w:val="24"/>
              </w:rPr>
              <w:t>100,258,150.62</w:t>
            </w:r>
          </w:p>
        </w:tc>
        <w:tc>
          <w:tcPr>
            <w:tcW w:w="0" w:type="auto"/>
            <w:vAlign w:val="center"/>
          </w:tcPr>
          <w:p w14:paraId="3D591600" w14:textId="77777777" w:rsidR="00C83121" w:rsidRDefault="004763DD">
            <w:pPr>
              <w:jc w:val="right"/>
            </w:pPr>
            <w:r>
              <w:rPr>
                <w:rFonts w:asciiTheme="minorEastAsia" w:eastAsiaTheme="minorEastAsia" w:hAnsiTheme="minorEastAsia"/>
                <w:color w:val="000000" w:themeColor="text1"/>
                <w:sz w:val="24"/>
              </w:rPr>
              <w:t>0.86</w:t>
            </w:r>
          </w:p>
        </w:tc>
      </w:tr>
    </w:tbl>
    <w:p w14:paraId="324978C0"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5.7 </w:t>
      </w:r>
      <w:r>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4A0" w:firstRow="1" w:lastRow="0" w:firstColumn="1" w:lastColumn="0" w:noHBand="0" w:noVBand="1"/>
      </w:tblPr>
      <w:tblGrid>
        <w:gridCol w:w="5812"/>
        <w:gridCol w:w="3382"/>
      </w:tblGrid>
      <w:tr w:rsidR="00DA315C" w14:paraId="43E7438B" w14:textId="77777777">
        <w:tc>
          <w:tcPr>
            <w:tcW w:w="5812" w:type="dxa"/>
            <w:tcBorders>
              <w:top w:val="single" w:sz="8" w:space="0" w:color="000000"/>
              <w:left w:val="single" w:sz="8" w:space="0" w:color="000000"/>
              <w:bottom w:val="single" w:sz="8" w:space="0" w:color="000000"/>
              <w:right w:val="single" w:sz="8" w:space="0" w:color="000000"/>
            </w:tcBorders>
            <w:vAlign w:val="center"/>
          </w:tcPr>
          <w:p w14:paraId="47AA3784"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14:paraId="68208DA8"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偏离情况</w:t>
            </w:r>
          </w:p>
        </w:tc>
      </w:tr>
      <w:tr w:rsidR="00DA315C" w14:paraId="0E000CE5" w14:textId="77777777">
        <w:tc>
          <w:tcPr>
            <w:tcW w:w="5812" w:type="dxa"/>
            <w:tcBorders>
              <w:top w:val="single" w:sz="8" w:space="0" w:color="000000"/>
              <w:left w:val="single" w:sz="8" w:space="0" w:color="000000"/>
              <w:bottom w:val="single" w:sz="8" w:space="0" w:color="000000"/>
              <w:right w:val="single" w:sz="8" w:space="0" w:color="000000"/>
            </w:tcBorders>
            <w:vAlign w:val="center"/>
          </w:tcPr>
          <w:p w14:paraId="1A16F959"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报告期内偏离度的绝对值在</w:t>
            </w:r>
            <w:r>
              <w:rPr>
                <w:rFonts w:asciiTheme="minorEastAsia" w:eastAsiaTheme="minorEastAsia" w:hAnsiTheme="minorEastAsia" w:cs="Arial"/>
                <w:color w:val="000000" w:themeColor="text1"/>
                <w:kern w:val="0"/>
                <w:sz w:val="24"/>
              </w:rPr>
              <w:t>0.25(</w:t>
            </w:r>
            <w:r>
              <w:rPr>
                <w:rFonts w:asciiTheme="minorEastAsia" w:eastAsiaTheme="minorEastAsia" w:hAnsiTheme="minorEastAsia" w:cs="Arial" w:hint="eastAsia"/>
                <w:color w:val="000000" w:themeColor="text1"/>
                <w:kern w:val="0"/>
                <w:sz w:val="24"/>
              </w:rPr>
              <w:t>含</w:t>
            </w:r>
            <w:r>
              <w:rPr>
                <w:rFonts w:asciiTheme="minorEastAsia" w:eastAsiaTheme="minorEastAsia" w:hAnsiTheme="minorEastAsia" w:cs="Arial"/>
                <w:color w:val="000000" w:themeColor="text1"/>
                <w:kern w:val="0"/>
                <w:sz w:val="24"/>
              </w:rPr>
              <w:t>)-0.5%</w:t>
            </w:r>
            <w:r>
              <w:rPr>
                <w:rFonts w:asciiTheme="minorEastAsia" w:eastAsiaTheme="minorEastAsia" w:hAnsiTheme="minorEastAsia" w:cs="Arial" w:hint="eastAsia"/>
                <w:color w:val="000000" w:themeColor="text1"/>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bottom"/>
          </w:tcPr>
          <w:p w14:paraId="7E689A9A"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0</w:t>
            </w:r>
            <w:r>
              <w:rPr>
                <w:rFonts w:asciiTheme="minorEastAsia" w:eastAsiaTheme="minorEastAsia" w:hAnsiTheme="minorEastAsia" w:hint="eastAsia"/>
                <w:color w:val="000000" w:themeColor="text1"/>
                <w:sz w:val="24"/>
              </w:rPr>
              <w:t>次</w:t>
            </w:r>
          </w:p>
        </w:tc>
      </w:tr>
      <w:tr w:rsidR="00DA315C" w14:paraId="1167A67C" w14:textId="77777777">
        <w:tc>
          <w:tcPr>
            <w:tcW w:w="5812" w:type="dxa"/>
            <w:tcBorders>
              <w:top w:val="single" w:sz="8" w:space="0" w:color="000000"/>
              <w:left w:val="single" w:sz="8" w:space="0" w:color="000000"/>
              <w:bottom w:val="single" w:sz="8" w:space="0" w:color="000000"/>
              <w:right w:val="single" w:sz="8" w:space="0" w:color="000000"/>
            </w:tcBorders>
            <w:vAlign w:val="center"/>
          </w:tcPr>
          <w:p w14:paraId="32FB65EA"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bottom"/>
          </w:tcPr>
          <w:p w14:paraId="718188BD"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0.0667%</w:t>
            </w:r>
          </w:p>
        </w:tc>
      </w:tr>
      <w:tr w:rsidR="00DA315C" w14:paraId="0488BCA9" w14:textId="77777777">
        <w:tc>
          <w:tcPr>
            <w:tcW w:w="5812" w:type="dxa"/>
            <w:tcBorders>
              <w:top w:val="single" w:sz="8" w:space="0" w:color="000000"/>
              <w:left w:val="single" w:sz="8" w:space="0" w:color="000000"/>
              <w:bottom w:val="single" w:sz="8" w:space="0" w:color="000000"/>
              <w:right w:val="single" w:sz="8" w:space="0" w:color="000000"/>
            </w:tcBorders>
            <w:vAlign w:val="center"/>
          </w:tcPr>
          <w:p w14:paraId="506AA535"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bottom"/>
          </w:tcPr>
          <w:p w14:paraId="2650CB01"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0.0169%</w:t>
            </w:r>
          </w:p>
        </w:tc>
      </w:tr>
      <w:tr w:rsidR="00DA315C" w14:paraId="59F2F0B8" w14:textId="77777777">
        <w:tc>
          <w:tcPr>
            <w:tcW w:w="5812" w:type="dxa"/>
            <w:tcBorders>
              <w:top w:val="single" w:sz="8" w:space="0" w:color="000000"/>
              <w:left w:val="single" w:sz="8" w:space="0" w:color="000000"/>
              <w:bottom w:val="single" w:sz="8" w:space="0" w:color="000000"/>
              <w:right w:val="single" w:sz="8" w:space="0" w:color="000000"/>
            </w:tcBorders>
            <w:vAlign w:val="center"/>
          </w:tcPr>
          <w:p w14:paraId="0CBA43F7"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报告期内每个工作日偏离度的绝对值的简单平均值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bottom"/>
          </w:tcPr>
          <w:p w14:paraId="60CE006B"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0.0377%</w:t>
            </w:r>
          </w:p>
        </w:tc>
      </w:tr>
    </w:tbl>
    <w:p w14:paraId="5809B99B" w14:textId="77777777" w:rsidR="00DA315C" w:rsidRPr="0017387C" w:rsidRDefault="00CC2E83" w:rsidP="0017387C">
      <w:pPr>
        <w:spacing w:beforeLines="100" w:before="240" w:line="360" w:lineRule="auto"/>
        <w:rPr>
          <w:rFonts w:asciiTheme="minorEastAsia" w:eastAsiaTheme="minorEastAsia" w:hAnsiTheme="minorEastAsia" w:cs="Arial"/>
          <w:b/>
          <w:color w:val="000000" w:themeColor="text1"/>
          <w:kern w:val="0"/>
          <w:sz w:val="24"/>
        </w:rPr>
      </w:pPr>
      <w:r w:rsidRPr="0017387C">
        <w:rPr>
          <w:rFonts w:asciiTheme="minorEastAsia" w:eastAsiaTheme="minorEastAsia" w:hAnsiTheme="minorEastAsia" w:cs="Arial"/>
          <w:b/>
          <w:color w:val="000000" w:themeColor="text1"/>
          <w:kern w:val="0"/>
          <w:sz w:val="24"/>
        </w:rPr>
        <w:t>报告期内负偏离度的绝对值达到0.25%情况说明</w:t>
      </w:r>
    </w:p>
    <w:p w14:paraId="08224554" w14:textId="77777777" w:rsidR="00DA315C" w:rsidRDefault="00CC2E83" w:rsidP="001B75F9">
      <w:pPr>
        <w:autoSpaceDE w:val="0"/>
        <w:autoSpaceDN w:val="0"/>
        <w:adjustRightInd w:val="0"/>
        <w:spacing w:beforeLines="50" w:before="120" w:line="360" w:lineRule="auto"/>
        <w:ind w:firstLineChars="200" w:firstLine="480"/>
        <w:jc w:val="left"/>
        <w:rPr>
          <w:color w:val="000000"/>
          <w:sz w:val="24"/>
        </w:rPr>
      </w:pPr>
      <w:r>
        <w:rPr>
          <w:color w:val="000000"/>
          <w:sz w:val="24"/>
        </w:rPr>
        <w:t>本报告期未发生负偏离度的绝对值达到</w:t>
      </w:r>
      <w:r>
        <w:rPr>
          <w:color w:val="000000"/>
          <w:sz w:val="24"/>
        </w:rPr>
        <w:t>0.25%</w:t>
      </w:r>
      <w:r>
        <w:rPr>
          <w:color w:val="000000"/>
          <w:sz w:val="24"/>
        </w:rPr>
        <w:t>的情况。</w:t>
      </w:r>
    </w:p>
    <w:p w14:paraId="25CA6F13" w14:textId="77777777" w:rsidR="00DA315C" w:rsidRPr="0017387C" w:rsidRDefault="00CC2E83" w:rsidP="0017387C">
      <w:pPr>
        <w:spacing w:beforeLines="100" w:before="240" w:line="360" w:lineRule="auto"/>
        <w:rPr>
          <w:rFonts w:asciiTheme="minorEastAsia" w:eastAsiaTheme="minorEastAsia" w:hAnsiTheme="minorEastAsia" w:cs="Arial"/>
          <w:b/>
          <w:color w:val="000000" w:themeColor="text1"/>
          <w:kern w:val="0"/>
          <w:sz w:val="24"/>
        </w:rPr>
      </w:pPr>
      <w:r w:rsidRPr="0017387C">
        <w:rPr>
          <w:rFonts w:asciiTheme="minorEastAsia" w:eastAsiaTheme="minorEastAsia" w:hAnsiTheme="minorEastAsia" w:cs="Arial"/>
          <w:b/>
          <w:color w:val="000000" w:themeColor="text1"/>
          <w:kern w:val="0"/>
          <w:sz w:val="24"/>
        </w:rPr>
        <w:t>报告期内正偏离度的绝对值达到0.5%情况说明</w:t>
      </w:r>
    </w:p>
    <w:p w14:paraId="6213F149" w14:textId="77777777" w:rsidR="00DA315C" w:rsidRDefault="00CC2E83" w:rsidP="001B75F9">
      <w:pPr>
        <w:autoSpaceDE w:val="0"/>
        <w:autoSpaceDN w:val="0"/>
        <w:adjustRightInd w:val="0"/>
        <w:spacing w:beforeLines="50" w:before="120" w:line="360" w:lineRule="auto"/>
        <w:ind w:firstLineChars="200" w:firstLine="480"/>
        <w:jc w:val="left"/>
        <w:rPr>
          <w:rFonts w:asciiTheme="minorEastAsia" w:eastAsiaTheme="minorEastAsia" w:hAnsiTheme="minorEastAsia" w:cs="Arial"/>
          <w:color w:val="000000" w:themeColor="text1"/>
          <w:kern w:val="0"/>
          <w:sz w:val="24"/>
        </w:rPr>
      </w:pPr>
      <w:r>
        <w:rPr>
          <w:color w:val="000000"/>
          <w:sz w:val="24"/>
        </w:rPr>
        <w:t>本报告期未发生正偏离度的绝对值达到</w:t>
      </w:r>
      <w:r>
        <w:rPr>
          <w:color w:val="000000"/>
          <w:sz w:val="24"/>
        </w:rPr>
        <w:t>0.5%</w:t>
      </w:r>
      <w:r>
        <w:rPr>
          <w:color w:val="000000"/>
          <w:sz w:val="24"/>
        </w:rPr>
        <w:t>的情况。</w:t>
      </w:r>
    </w:p>
    <w:p w14:paraId="321C5F01"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5.8 </w:t>
      </w:r>
      <w:r>
        <w:rPr>
          <w:rFonts w:asciiTheme="minorEastAsia" w:eastAsiaTheme="minorEastAsia" w:hAnsiTheme="minorEastAsia" w:cs="Arial" w:hint="eastAsia"/>
          <w:b/>
          <w:color w:val="000000" w:themeColor="text1"/>
          <w:kern w:val="0"/>
          <w:sz w:val="24"/>
        </w:rPr>
        <w:t>报告期末</w:t>
      </w:r>
      <w:proofErr w:type="gramStart"/>
      <w:r>
        <w:rPr>
          <w:rFonts w:asciiTheme="minorEastAsia" w:eastAsiaTheme="minorEastAsia" w:hAnsiTheme="minorEastAsia" w:cs="Arial" w:hint="eastAsia"/>
          <w:b/>
          <w:color w:val="000000" w:themeColor="text1"/>
          <w:kern w:val="0"/>
          <w:sz w:val="24"/>
        </w:rPr>
        <w:t>按摊余成本</w:t>
      </w:r>
      <w:proofErr w:type="gramEnd"/>
      <w:r>
        <w:rPr>
          <w:rFonts w:asciiTheme="minorEastAsia" w:eastAsiaTheme="minorEastAsia" w:hAnsiTheme="minorEastAsia" w:cs="Arial" w:hint="eastAsia"/>
          <w:b/>
          <w:color w:val="000000" w:themeColor="text1"/>
          <w:kern w:val="0"/>
          <w:sz w:val="24"/>
        </w:rPr>
        <w:t>占基金资产净值比例大小排名的前十名资产支持证券投资明细</w:t>
      </w:r>
    </w:p>
    <w:p w14:paraId="057568E8" w14:textId="77777777" w:rsidR="00DA315C" w:rsidRDefault="00CC2E83" w:rsidP="001B75F9">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本基金本报告期末未持有资产支持证券。</w:t>
      </w:r>
    </w:p>
    <w:p w14:paraId="044640F6" w14:textId="77777777" w:rsidR="00DA315C" w:rsidRDefault="00CC2E83" w:rsidP="000515FA">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w:t>
      </w:r>
      <w:r>
        <w:rPr>
          <w:rFonts w:asciiTheme="minorEastAsia" w:eastAsiaTheme="minorEastAsia" w:hAnsiTheme="minorEastAsia" w:cs="Arial"/>
          <w:b/>
          <w:color w:val="000000" w:themeColor="text1"/>
          <w:kern w:val="0"/>
          <w:sz w:val="24"/>
        </w:rPr>
        <w:t>.</w:t>
      </w:r>
      <w:r>
        <w:rPr>
          <w:rFonts w:asciiTheme="minorEastAsia" w:eastAsiaTheme="minorEastAsia" w:hAnsiTheme="minorEastAsia" w:cs="Arial" w:hint="eastAsia"/>
          <w:b/>
          <w:color w:val="000000" w:themeColor="text1"/>
          <w:kern w:val="0"/>
          <w:sz w:val="24"/>
        </w:rPr>
        <w:t>9</w:t>
      </w:r>
      <w:r>
        <w:rPr>
          <w:rFonts w:asciiTheme="minorEastAsia" w:eastAsiaTheme="minorEastAsia" w:hAnsiTheme="minorEastAsia" w:cs="Arial"/>
          <w:b/>
          <w:color w:val="000000" w:themeColor="text1"/>
          <w:kern w:val="0"/>
          <w:sz w:val="24"/>
        </w:rPr>
        <w:t xml:space="preserve"> </w:t>
      </w:r>
      <w:r>
        <w:rPr>
          <w:rFonts w:asciiTheme="minorEastAsia" w:eastAsiaTheme="minorEastAsia" w:hAnsiTheme="minorEastAsia" w:cs="Arial" w:hint="eastAsia"/>
          <w:b/>
          <w:color w:val="000000" w:themeColor="text1"/>
          <w:kern w:val="0"/>
          <w:sz w:val="24"/>
        </w:rPr>
        <w:t>投资组合报告附注</w:t>
      </w:r>
    </w:p>
    <w:p w14:paraId="1636C515" w14:textId="77777777" w:rsidR="00DA315C" w:rsidRDefault="00CC2E83">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9</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1</w:t>
      </w:r>
      <w:r>
        <w:rPr>
          <w:rFonts w:asciiTheme="minorEastAsia" w:eastAsiaTheme="minorEastAsia" w:hAnsiTheme="minorEastAsia"/>
          <w:b/>
          <w:color w:val="000000" w:themeColor="text1"/>
          <w:sz w:val="24"/>
        </w:rPr>
        <w:t xml:space="preserve"> </w:t>
      </w:r>
      <w:r>
        <w:rPr>
          <w:rFonts w:asciiTheme="minorEastAsia" w:eastAsiaTheme="minorEastAsia" w:hAnsiTheme="minorEastAsia" w:hint="eastAsia"/>
          <w:b/>
          <w:color w:val="000000" w:themeColor="text1"/>
          <w:sz w:val="24"/>
        </w:rPr>
        <w:t>基金计价方法说明</w:t>
      </w:r>
    </w:p>
    <w:p w14:paraId="4E337472"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w:t>
      </w:r>
      <w:r>
        <w:rPr>
          <w:rFonts w:asciiTheme="minorEastAsia" w:eastAsiaTheme="minorEastAsia" w:hAnsiTheme="minorEastAsia"/>
          <w:color w:val="000000" w:themeColor="text1"/>
          <w:sz w:val="24"/>
        </w:rPr>
        <w:lastRenderedPageBreak/>
        <w:t>基金不采用市场利率和上市交易的债券和票据的市价计算基金资产净值。</w:t>
      </w:r>
    </w:p>
    <w:p w14:paraId="27070DA3" w14:textId="77777777" w:rsidR="00DA315C" w:rsidRDefault="00CC2E83" w:rsidP="00DE0807">
      <w:pPr>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b/>
          <w:color w:val="000000" w:themeColor="text1"/>
          <w:sz w:val="24"/>
        </w:rPr>
        <w:t xml:space="preserve">5.9.2 </w:t>
      </w:r>
      <w:r>
        <w:rPr>
          <w:rFonts w:asciiTheme="minorEastAsia" w:eastAsiaTheme="minorEastAsia" w:hAnsiTheme="minorEastAsia"/>
          <w:color w:val="000000" w:themeColor="text1"/>
          <w:sz w:val="24"/>
        </w:rPr>
        <w:t>本基金投资的前十名证券的发行主体中，中国建设银行股份有限公司在报告编制日前一年内曾受到国家金融监督管理总局的处罚。</w:t>
      </w:r>
    </w:p>
    <w:p w14:paraId="54A2DFFC" w14:textId="77777777" w:rsidR="00C83121" w:rsidRDefault="004763DD">
      <w:pPr>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本基金对上述主体所发行证券的投资决策程序符合相关法律法规、基金合同及公司投资制度的要求。</w:t>
      </w:r>
    </w:p>
    <w:p w14:paraId="0777A21D" w14:textId="77777777" w:rsidR="00C83121" w:rsidRDefault="004763DD">
      <w:pPr>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除上述主体外，本基金投资的其余前十名证券的发行主体本期未出现被监管部门立案调查，</w:t>
      </w:r>
      <w:r>
        <w:rPr>
          <w:rFonts w:asciiTheme="minorEastAsia" w:eastAsiaTheme="minorEastAsia" w:hAnsiTheme="minorEastAsia"/>
          <w:color w:val="000000" w:themeColor="text1"/>
          <w:sz w:val="24"/>
        </w:rPr>
        <w:t>或在报告编制日前一年内受到公开谴责、处罚的情形。</w:t>
      </w:r>
    </w:p>
    <w:p w14:paraId="1392E4AA" w14:textId="77777777" w:rsidR="00DA315C" w:rsidRPr="000515FA" w:rsidRDefault="00CC2E83" w:rsidP="000515FA">
      <w:pPr>
        <w:spacing w:beforeLines="100" w:before="240" w:line="360" w:lineRule="auto"/>
        <w:rPr>
          <w:rFonts w:asciiTheme="minorEastAsia" w:eastAsiaTheme="minorEastAsia" w:hAnsiTheme="minorEastAsia" w:cs="Arial"/>
          <w:b/>
          <w:color w:val="000000" w:themeColor="text1"/>
          <w:kern w:val="0"/>
          <w:sz w:val="24"/>
        </w:rPr>
      </w:pPr>
      <w:r w:rsidRPr="000515FA">
        <w:rPr>
          <w:rFonts w:asciiTheme="minorEastAsia" w:eastAsiaTheme="minorEastAsia" w:hAnsiTheme="minorEastAsia" w:cs="Arial" w:hint="eastAsia"/>
          <w:b/>
          <w:color w:val="000000" w:themeColor="text1"/>
          <w:kern w:val="0"/>
          <w:sz w:val="24"/>
        </w:rPr>
        <w:t>5</w:t>
      </w:r>
      <w:r w:rsidRPr="000515FA">
        <w:rPr>
          <w:rFonts w:asciiTheme="minorEastAsia" w:eastAsiaTheme="minorEastAsia" w:hAnsiTheme="minorEastAsia" w:cs="Arial"/>
          <w:b/>
          <w:color w:val="000000" w:themeColor="text1"/>
          <w:kern w:val="0"/>
          <w:sz w:val="24"/>
        </w:rPr>
        <w:t>.</w:t>
      </w:r>
      <w:r w:rsidRPr="000515FA">
        <w:rPr>
          <w:rFonts w:asciiTheme="minorEastAsia" w:eastAsiaTheme="minorEastAsia" w:hAnsiTheme="minorEastAsia" w:cs="Arial" w:hint="eastAsia"/>
          <w:b/>
          <w:color w:val="000000" w:themeColor="text1"/>
          <w:kern w:val="0"/>
          <w:sz w:val="24"/>
        </w:rPr>
        <w:t>9</w:t>
      </w:r>
      <w:r w:rsidRPr="000515FA">
        <w:rPr>
          <w:rFonts w:asciiTheme="minorEastAsia" w:eastAsiaTheme="minorEastAsia" w:hAnsiTheme="minorEastAsia" w:cs="Arial"/>
          <w:b/>
          <w:color w:val="000000" w:themeColor="text1"/>
          <w:kern w:val="0"/>
          <w:sz w:val="24"/>
        </w:rPr>
        <w:t>.</w:t>
      </w:r>
      <w:r w:rsidRPr="000515FA">
        <w:rPr>
          <w:rFonts w:asciiTheme="minorEastAsia" w:eastAsiaTheme="minorEastAsia" w:hAnsiTheme="minorEastAsia" w:cs="Arial" w:hint="eastAsia"/>
          <w:b/>
          <w:color w:val="000000" w:themeColor="text1"/>
          <w:kern w:val="0"/>
          <w:sz w:val="24"/>
        </w:rPr>
        <w:t>3</w:t>
      </w:r>
      <w:r w:rsidRPr="000515FA">
        <w:rPr>
          <w:rFonts w:asciiTheme="minorEastAsia" w:eastAsiaTheme="minorEastAsia" w:hAnsiTheme="minorEastAsia" w:cs="Arial"/>
          <w:b/>
          <w:color w:val="000000" w:themeColor="text1"/>
          <w:kern w:val="0"/>
          <w:sz w:val="24"/>
        </w:rPr>
        <w:t xml:space="preserve"> </w:t>
      </w:r>
      <w:r w:rsidRPr="000515FA">
        <w:rPr>
          <w:rFonts w:asciiTheme="minorEastAsia" w:eastAsiaTheme="minorEastAsia" w:hAnsiTheme="minorEastAsia" w:cs="Arial" w:hint="eastAsia"/>
          <w:b/>
          <w:color w:val="000000" w:themeColor="text1"/>
          <w:kern w:val="0"/>
          <w:sz w:val="24"/>
        </w:rPr>
        <w:t>其他资产构成</w:t>
      </w:r>
    </w:p>
    <w:tbl>
      <w:tblPr>
        <w:tblStyle w:val="af2"/>
        <w:tblW w:w="0" w:type="auto"/>
        <w:tblInd w:w="17" w:type="dxa"/>
        <w:tblLayout w:type="fixed"/>
        <w:tblLook w:val="04A0" w:firstRow="1" w:lastRow="0" w:firstColumn="1" w:lastColumn="0" w:noHBand="0" w:noVBand="1"/>
      </w:tblPr>
      <w:tblGrid>
        <w:gridCol w:w="942"/>
        <w:gridCol w:w="3535"/>
        <w:gridCol w:w="4808"/>
      </w:tblGrid>
      <w:tr w:rsidR="00DA315C" w14:paraId="485E2781" w14:textId="77777777">
        <w:tc>
          <w:tcPr>
            <w:tcW w:w="942" w:type="dxa"/>
            <w:vAlign w:val="center"/>
          </w:tcPr>
          <w:p w14:paraId="055B1518" w14:textId="77777777" w:rsidR="00DA315C" w:rsidRDefault="00CC2E83">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序号</w:t>
            </w:r>
          </w:p>
        </w:tc>
        <w:tc>
          <w:tcPr>
            <w:tcW w:w="3535" w:type="dxa"/>
            <w:vAlign w:val="center"/>
          </w:tcPr>
          <w:p w14:paraId="1244EA33" w14:textId="77777777" w:rsidR="00DA315C" w:rsidRDefault="00CC2E83">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名称</w:t>
            </w:r>
          </w:p>
        </w:tc>
        <w:tc>
          <w:tcPr>
            <w:tcW w:w="4808" w:type="dxa"/>
            <w:vAlign w:val="center"/>
          </w:tcPr>
          <w:p w14:paraId="78D96E01" w14:textId="77777777" w:rsidR="00DA315C" w:rsidRDefault="00CC2E83">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金额(元)</w:t>
            </w:r>
          </w:p>
        </w:tc>
      </w:tr>
      <w:tr w:rsidR="00DA315C" w14:paraId="504F1C27" w14:textId="77777777">
        <w:tc>
          <w:tcPr>
            <w:tcW w:w="942" w:type="dxa"/>
            <w:vAlign w:val="center"/>
          </w:tcPr>
          <w:p w14:paraId="5F1E658A"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sz w:val="24"/>
              </w:rPr>
              <w:t>1</w:t>
            </w:r>
          </w:p>
        </w:tc>
        <w:tc>
          <w:tcPr>
            <w:tcW w:w="3535" w:type="dxa"/>
            <w:vAlign w:val="center"/>
          </w:tcPr>
          <w:p w14:paraId="2C2A4BA1"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存出保证金</w:t>
            </w:r>
          </w:p>
        </w:tc>
        <w:tc>
          <w:tcPr>
            <w:tcW w:w="4808" w:type="dxa"/>
            <w:vAlign w:val="center"/>
          </w:tcPr>
          <w:p w14:paraId="6DA439ED"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18,318.99</w:t>
            </w:r>
          </w:p>
        </w:tc>
      </w:tr>
      <w:tr w:rsidR="00DA315C" w14:paraId="0D616F6E" w14:textId="77777777">
        <w:tc>
          <w:tcPr>
            <w:tcW w:w="942" w:type="dxa"/>
            <w:vAlign w:val="center"/>
          </w:tcPr>
          <w:p w14:paraId="05F7E31B"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p>
        </w:tc>
        <w:tc>
          <w:tcPr>
            <w:tcW w:w="3535" w:type="dxa"/>
            <w:vAlign w:val="center"/>
          </w:tcPr>
          <w:p w14:paraId="11D03B9B"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应收证券清算款</w:t>
            </w:r>
          </w:p>
        </w:tc>
        <w:tc>
          <w:tcPr>
            <w:tcW w:w="4808" w:type="dxa"/>
            <w:vAlign w:val="center"/>
          </w:tcPr>
          <w:p w14:paraId="7C8B7702"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44,060.08</w:t>
            </w:r>
          </w:p>
        </w:tc>
      </w:tr>
      <w:tr w:rsidR="00DA315C" w14:paraId="17F7B016" w14:textId="77777777">
        <w:tc>
          <w:tcPr>
            <w:tcW w:w="942" w:type="dxa"/>
            <w:vAlign w:val="center"/>
          </w:tcPr>
          <w:p w14:paraId="6DFC916B"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p>
        </w:tc>
        <w:tc>
          <w:tcPr>
            <w:tcW w:w="3535" w:type="dxa"/>
            <w:vAlign w:val="center"/>
          </w:tcPr>
          <w:p w14:paraId="0D63BA7F"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应收利息</w:t>
            </w:r>
          </w:p>
        </w:tc>
        <w:tc>
          <w:tcPr>
            <w:tcW w:w="4808" w:type="dxa"/>
            <w:vAlign w:val="center"/>
          </w:tcPr>
          <w:p w14:paraId="45F66118"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w:t>
            </w:r>
          </w:p>
        </w:tc>
      </w:tr>
      <w:tr w:rsidR="00DA315C" w14:paraId="28F30F07" w14:textId="77777777">
        <w:tc>
          <w:tcPr>
            <w:tcW w:w="942" w:type="dxa"/>
            <w:vAlign w:val="center"/>
          </w:tcPr>
          <w:p w14:paraId="142AF1B8"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p>
        </w:tc>
        <w:tc>
          <w:tcPr>
            <w:tcW w:w="3535" w:type="dxa"/>
            <w:vAlign w:val="center"/>
          </w:tcPr>
          <w:p w14:paraId="4E87DC63"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应收申购款</w:t>
            </w:r>
          </w:p>
        </w:tc>
        <w:tc>
          <w:tcPr>
            <w:tcW w:w="4808" w:type="dxa"/>
            <w:vAlign w:val="center"/>
          </w:tcPr>
          <w:p w14:paraId="4D1E92D0"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7,100,664.82</w:t>
            </w:r>
          </w:p>
        </w:tc>
      </w:tr>
      <w:tr w:rsidR="00DA315C" w14:paraId="01321DF2" w14:textId="77777777">
        <w:tc>
          <w:tcPr>
            <w:tcW w:w="942" w:type="dxa"/>
            <w:vAlign w:val="center"/>
          </w:tcPr>
          <w:p w14:paraId="0F9454BD"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p>
        </w:tc>
        <w:tc>
          <w:tcPr>
            <w:tcW w:w="3535" w:type="dxa"/>
            <w:vAlign w:val="center"/>
          </w:tcPr>
          <w:p w14:paraId="48839E4B"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其他应收款</w:t>
            </w:r>
          </w:p>
        </w:tc>
        <w:tc>
          <w:tcPr>
            <w:tcW w:w="4808" w:type="dxa"/>
            <w:vAlign w:val="center"/>
          </w:tcPr>
          <w:p w14:paraId="7C5C6F98"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w:t>
            </w:r>
          </w:p>
        </w:tc>
      </w:tr>
      <w:tr w:rsidR="00DA315C" w14:paraId="26382BB4" w14:textId="77777777">
        <w:tc>
          <w:tcPr>
            <w:tcW w:w="942" w:type="dxa"/>
            <w:vAlign w:val="center"/>
          </w:tcPr>
          <w:p w14:paraId="7AB38CF9"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w:t>
            </w:r>
          </w:p>
        </w:tc>
        <w:tc>
          <w:tcPr>
            <w:tcW w:w="3535" w:type="dxa"/>
            <w:vAlign w:val="center"/>
          </w:tcPr>
          <w:p w14:paraId="55343846"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待摊费用</w:t>
            </w:r>
          </w:p>
        </w:tc>
        <w:tc>
          <w:tcPr>
            <w:tcW w:w="4808" w:type="dxa"/>
            <w:vAlign w:val="center"/>
          </w:tcPr>
          <w:p w14:paraId="4F5FB88F"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w:t>
            </w:r>
          </w:p>
        </w:tc>
      </w:tr>
      <w:tr w:rsidR="00DA315C" w14:paraId="55164C5B" w14:textId="77777777">
        <w:tc>
          <w:tcPr>
            <w:tcW w:w="942" w:type="dxa"/>
            <w:vAlign w:val="center"/>
          </w:tcPr>
          <w:p w14:paraId="53F1657E"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w:t>
            </w:r>
          </w:p>
        </w:tc>
        <w:tc>
          <w:tcPr>
            <w:tcW w:w="3535" w:type="dxa"/>
            <w:vAlign w:val="center"/>
          </w:tcPr>
          <w:p w14:paraId="6ECF6917"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其他</w:t>
            </w:r>
          </w:p>
        </w:tc>
        <w:tc>
          <w:tcPr>
            <w:tcW w:w="4808" w:type="dxa"/>
            <w:vAlign w:val="center"/>
          </w:tcPr>
          <w:p w14:paraId="25FF7ACA"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w:t>
            </w:r>
          </w:p>
        </w:tc>
      </w:tr>
      <w:tr w:rsidR="00DA315C" w14:paraId="7DB6C3AF" w14:textId="77777777">
        <w:tc>
          <w:tcPr>
            <w:tcW w:w="942" w:type="dxa"/>
            <w:vAlign w:val="center"/>
          </w:tcPr>
          <w:p w14:paraId="537C2902"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p>
        </w:tc>
        <w:tc>
          <w:tcPr>
            <w:tcW w:w="3535" w:type="dxa"/>
            <w:vAlign w:val="center"/>
          </w:tcPr>
          <w:p w14:paraId="5D3E056C"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合计</w:t>
            </w:r>
          </w:p>
        </w:tc>
        <w:tc>
          <w:tcPr>
            <w:tcW w:w="4808" w:type="dxa"/>
            <w:vAlign w:val="center"/>
          </w:tcPr>
          <w:p w14:paraId="2F62D5F4"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7,163,043.89</w:t>
            </w:r>
          </w:p>
        </w:tc>
      </w:tr>
    </w:tbl>
    <w:p w14:paraId="677E0CCE" w14:textId="77777777" w:rsidR="00DA315C" w:rsidRPr="000515FA" w:rsidRDefault="00CC2E83" w:rsidP="000515FA">
      <w:pPr>
        <w:spacing w:beforeLines="100" w:before="240" w:line="360" w:lineRule="auto"/>
        <w:rPr>
          <w:rFonts w:asciiTheme="minorEastAsia" w:eastAsiaTheme="minorEastAsia" w:hAnsiTheme="minorEastAsia" w:cs="Arial"/>
          <w:b/>
          <w:color w:val="000000" w:themeColor="text1"/>
          <w:kern w:val="0"/>
          <w:sz w:val="24"/>
        </w:rPr>
      </w:pPr>
      <w:r w:rsidRPr="000515FA">
        <w:rPr>
          <w:rFonts w:asciiTheme="minorEastAsia" w:eastAsiaTheme="minorEastAsia" w:hAnsiTheme="minorEastAsia" w:cs="Arial" w:hint="eastAsia"/>
          <w:b/>
          <w:color w:val="000000" w:themeColor="text1"/>
          <w:kern w:val="0"/>
          <w:sz w:val="24"/>
        </w:rPr>
        <w:t>5</w:t>
      </w:r>
      <w:r w:rsidRPr="000515FA">
        <w:rPr>
          <w:rFonts w:asciiTheme="minorEastAsia" w:eastAsiaTheme="minorEastAsia" w:hAnsiTheme="minorEastAsia" w:cs="Arial"/>
          <w:b/>
          <w:color w:val="000000" w:themeColor="text1"/>
          <w:kern w:val="0"/>
          <w:sz w:val="24"/>
        </w:rPr>
        <w:t>.</w:t>
      </w:r>
      <w:r w:rsidRPr="000515FA">
        <w:rPr>
          <w:rFonts w:asciiTheme="minorEastAsia" w:eastAsiaTheme="minorEastAsia" w:hAnsiTheme="minorEastAsia" w:cs="Arial" w:hint="eastAsia"/>
          <w:b/>
          <w:color w:val="000000" w:themeColor="text1"/>
          <w:kern w:val="0"/>
          <w:sz w:val="24"/>
        </w:rPr>
        <w:t>9</w:t>
      </w:r>
      <w:r w:rsidRPr="000515FA">
        <w:rPr>
          <w:rFonts w:asciiTheme="minorEastAsia" w:eastAsiaTheme="minorEastAsia" w:hAnsiTheme="minorEastAsia" w:cs="Arial"/>
          <w:b/>
          <w:color w:val="000000" w:themeColor="text1"/>
          <w:kern w:val="0"/>
          <w:sz w:val="24"/>
        </w:rPr>
        <w:t>.</w:t>
      </w:r>
      <w:r w:rsidRPr="000515FA">
        <w:rPr>
          <w:rFonts w:asciiTheme="minorEastAsia" w:eastAsiaTheme="minorEastAsia" w:hAnsiTheme="minorEastAsia" w:cs="Arial" w:hint="eastAsia"/>
          <w:b/>
          <w:color w:val="000000" w:themeColor="text1"/>
          <w:kern w:val="0"/>
          <w:sz w:val="24"/>
        </w:rPr>
        <w:t>4</w:t>
      </w:r>
      <w:r w:rsidRPr="000515FA">
        <w:rPr>
          <w:rFonts w:asciiTheme="minorEastAsia" w:eastAsiaTheme="minorEastAsia" w:hAnsiTheme="minorEastAsia" w:cs="Arial"/>
          <w:b/>
          <w:color w:val="000000" w:themeColor="text1"/>
          <w:kern w:val="0"/>
          <w:sz w:val="24"/>
        </w:rPr>
        <w:t xml:space="preserve"> </w:t>
      </w:r>
      <w:r w:rsidRPr="000515FA">
        <w:rPr>
          <w:rFonts w:asciiTheme="minorEastAsia" w:eastAsiaTheme="minorEastAsia" w:hAnsiTheme="minorEastAsia" w:cs="Arial" w:hint="eastAsia"/>
          <w:b/>
          <w:color w:val="000000" w:themeColor="text1"/>
          <w:kern w:val="0"/>
          <w:sz w:val="24"/>
        </w:rPr>
        <w:t>投资组合报告附注的其他文字描述部分</w:t>
      </w:r>
    </w:p>
    <w:p w14:paraId="69BE1AF7"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因四舍五入原因，投资组合报告中分项之和与合计可能存在尾差。</w:t>
      </w:r>
    </w:p>
    <w:p w14:paraId="3D1D77A8"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6  </w:t>
      </w:r>
      <w:r>
        <w:rPr>
          <w:rFonts w:asciiTheme="minorEastAsia" w:eastAsiaTheme="minorEastAsia" w:hAnsiTheme="minorEastAsia" w:cs="Arial" w:hint="eastAsia"/>
          <w:color w:val="000000" w:themeColor="text1"/>
          <w:kern w:val="0"/>
          <w:sz w:val="24"/>
          <w:szCs w:val="24"/>
        </w:rPr>
        <w:t>开放式基金份额变动</w:t>
      </w:r>
    </w:p>
    <w:p w14:paraId="2E844086"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单位：份</w:t>
      </w:r>
    </w:p>
    <w:tbl>
      <w:tblPr>
        <w:tblStyle w:val="af2"/>
        <w:tblW w:w="0" w:type="auto"/>
        <w:tblLayout w:type="fixed"/>
        <w:tblLook w:val="04A0" w:firstRow="1" w:lastRow="0" w:firstColumn="1" w:lastColumn="0" w:noHBand="0" w:noVBand="1"/>
      </w:tblPr>
      <w:tblGrid>
        <w:gridCol w:w="1860"/>
        <w:gridCol w:w="1860"/>
        <w:gridCol w:w="1860"/>
        <w:gridCol w:w="1861"/>
        <w:gridCol w:w="1861"/>
      </w:tblGrid>
      <w:tr w:rsidR="00DA315C" w14:paraId="71A8243D" w14:textId="77777777">
        <w:tc>
          <w:tcPr>
            <w:tcW w:w="1860" w:type="dxa"/>
          </w:tcPr>
          <w:p w14:paraId="22AC1C03"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kern w:val="0"/>
                <w:sz w:val="24"/>
              </w:rPr>
              <w:t>项目</w:t>
            </w:r>
          </w:p>
        </w:tc>
        <w:tc>
          <w:tcPr>
            <w:tcW w:w="1860" w:type="dxa"/>
          </w:tcPr>
          <w:p w14:paraId="3FBB75EF"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sz w:val="24"/>
              </w:rPr>
              <w:t>摩根天添盈货币A类</w:t>
            </w:r>
          </w:p>
        </w:tc>
        <w:tc>
          <w:tcPr>
            <w:tcW w:w="1860" w:type="dxa"/>
          </w:tcPr>
          <w:p w14:paraId="15A8194F" w14:textId="77777777" w:rsidR="00DA315C" w:rsidRDefault="00050540">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sz w:val="24"/>
              </w:rPr>
              <w:t>摩根天添盈货币B类</w:t>
            </w:r>
          </w:p>
        </w:tc>
        <w:tc>
          <w:tcPr>
            <w:tcW w:w="1861" w:type="dxa"/>
          </w:tcPr>
          <w:p w14:paraId="6CDFAA1D" w14:textId="77777777" w:rsidR="00DA315C" w:rsidRDefault="00050540">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sz w:val="24"/>
              </w:rPr>
              <w:t>摩根天添盈货币E类</w:t>
            </w:r>
          </w:p>
        </w:tc>
        <w:tc>
          <w:tcPr>
            <w:tcW w:w="1861" w:type="dxa"/>
          </w:tcPr>
          <w:p w14:paraId="5B8E0023" w14:textId="77777777" w:rsidR="00DA315C" w:rsidRDefault="00050540" w:rsidP="0047722E">
            <w:pPr>
              <w:autoSpaceDE w:val="0"/>
              <w:autoSpaceDN w:val="0"/>
              <w:adjustRightInd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摩根天添盈货币C类</w:t>
            </w:r>
          </w:p>
        </w:tc>
      </w:tr>
      <w:tr w:rsidR="00DA315C" w14:paraId="2D6A68BB" w14:textId="77777777" w:rsidTr="0047722E">
        <w:tc>
          <w:tcPr>
            <w:tcW w:w="1860" w:type="dxa"/>
            <w:vAlign w:val="center"/>
          </w:tcPr>
          <w:p w14:paraId="5A833D15" w14:textId="77777777" w:rsidR="00DA315C" w:rsidRDefault="00CC2E83">
            <w:pPr>
              <w:autoSpaceDE w:val="0"/>
              <w:autoSpaceDN w:val="0"/>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报告期期</w:t>
            </w:r>
            <w:proofErr w:type="gramStart"/>
            <w:r>
              <w:rPr>
                <w:rFonts w:asciiTheme="minorEastAsia" w:eastAsiaTheme="minorEastAsia" w:hAnsiTheme="minorEastAsia" w:cs="宋体" w:hint="eastAsia"/>
                <w:color w:val="000000" w:themeColor="text1"/>
                <w:kern w:val="0"/>
                <w:sz w:val="24"/>
              </w:rPr>
              <w:t>初基</w:t>
            </w:r>
            <w:r>
              <w:rPr>
                <w:rFonts w:asciiTheme="minorEastAsia" w:eastAsiaTheme="minorEastAsia" w:hAnsiTheme="minorEastAsia" w:cs="宋体" w:hint="eastAsia"/>
                <w:color w:val="000000" w:themeColor="text1"/>
                <w:kern w:val="0"/>
                <w:sz w:val="24"/>
              </w:rPr>
              <w:lastRenderedPageBreak/>
              <w:t>金</w:t>
            </w:r>
            <w:proofErr w:type="gramEnd"/>
            <w:r>
              <w:rPr>
                <w:rFonts w:asciiTheme="minorEastAsia" w:eastAsiaTheme="minorEastAsia" w:hAnsiTheme="minorEastAsia" w:cs="宋体" w:hint="eastAsia"/>
                <w:color w:val="000000" w:themeColor="text1"/>
                <w:kern w:val="0"/>
                <w:sz w:val="24"/>
              </w:rPr>
              <w:t>份额总额</w:t>
            </w:r>
          </w:p>
        </w:tc>
        <w:tc>
          <w:tcPr>
            <w:tcW w:w="1860" w:type="dxa"/>
            <w:vAlign w:val="center"/>
          </w:tcPr>
          <w:p w14:paraId="77CB3175" w14:textId="77777777" w:rsidR="00DA315C" w:rsidRDefault="00CC2E83">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5,040,199,969</w:t>
            </w:r>
            <w:r>
              <w:rPr>
                <w:rFonts w:asciiTheme="minorEastAsia" w:eastAsiaTheme="minorEastAsia" w:hAnsiTheme="minorEastAsia" w:cs="宋体" w:hint="eastAsia"/>
                <w:color w:val="000000" w:themeColor="text1"/>
                <w:sz w:val="24"/>
              </w:rPr>
              <w:lastRenderedPageBreak/>
              <w:t>.79</w:t>
            </w:r>
          </w:p>
        </w:tc>
        <w:tc>
          <w:tcPr>
            <w:tcW w:w="1860" w:type="dxa"/>
            <w:vAlign w:val="center"/>
          </w:tcPr>
          <w:p w14:paraId="493545BF"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w:t>
            </w:r>
          </w:p>
        </w:tc>
        <w:tc>
          <w:tcPr>
            <w:tcW w:w="1861" w:type="dxa"/>
            <w:vAlign w:val="center"/>
          </w:tcPr>
          <w:p w14:paraId="1BC18E20"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4,358,193,617</w:t>
            </w:r>
            <w:r>
              <w:rPr>
                <w:rFonts w:asciiTheme="minorEastAsia" w:eastAsiaTheme="minorEastAsia" w:hAnsiTheme="minorEastAsia" w:cs="宋体" w:hint="eastAsia"/>
                <w:color w:val="000000" w:themeColor="text1"/>
                <w:sz w:val="24"/>
              </w:rPr>
              <w:lastRenderedPageBreak/>
              <w:t>.25</w:t>
            </w:r>
          </w:p>
        </w:tc>
        <w:tc>
          <w:tcPr>
            <w:tcW w:w="1861" w:type="dxa"/>
            <w:vAlign w:val="center"/>
          </w:tcPr>
          <w:p w14:paraId="6B761E04" w14:textId="77777777" w:rsidR="00DA315C" w:rsidRDefault="00050540" w:rsidP="0047722E">
            <w:pPr>
              <w:autoSpaceDE w:val="0"/>
              <w:autoSpaceDN w:val="0"/>
              <w:adjustRightInd w:val="0"/>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lastRenderedPageBreak/>
              <w:t>1,339,468,553</w:t>
            </w:r>
            <w:r>
              <w:rPr>
                <w:rFonts w:asciiTheme="minorEastAsia" w:eastAsiaTheme="minorEastAsia" w:hAnsiTheme="minorEastAsia" w:cs="宋体" w:hint="eastAsia"/>
                <w:color w:val="000000" w:themeColor="text1"/>
                <w:sz w:val="24"/>
              </w:rPr>
              <w:lastRenderedPageBreak/>
              <w:t>.38</w:t>
            </w:r>
          </w:p>
        </w:tc>
      </w:tr>
      <w:tr w:rsidR="00DA315C" w14:paraId="7ED29ECB" w14:textId="77777777" w:rsidTr="0047722E">
        <w:tc>
          <w:tcPr>
            <w:tcW w:w="1860" w:type="dxa"/>
          </w:tcPr>
          <w:p w14:paraId="6640895A" w14:textId="77777777" w:rsidR="00DA315C" w:rsidRDefault="00CC2E83">
            <w:pPr>
              <w:adjustRightInd w:val="0"/>
              <w:snapToGrid w:val="0"/>
              <w:spacing w:line="340" w:lineRule="exact"/>
              <w:rPr>
                <w:rFonts w:ascii="宋体" w:hAnsi="宋体"/>
                <w:color w:val="000000" w:themeColor="text1"/>
                <w:sz w:val="24"/>
              </w:rPr>
            </w:pPr>
            <w:r>
              <w:rPr>
                <w:rFonts w:asciiTheme="minorEastAsia" w:eastAsiaTheme="minorEastAsia" w:hAnsiTheme="minorEastAsia" w:cs="宋体"/>
                <w:color w:val="000000" w:themeColor="text1"/>
                <w:kern w:val="0"/>
                <w:sz w:val="24"/>
              </w:rPr>
              <w:lastRenderedPageBreak/>
              <w:t>报告期期间</w:t>
            </w:r>
            <w:r>
              <w:rPr>
                <w:rFonts w:ascii="宋体" w:hAnsi="宋体" w:hint="eastAsia"/>
                <w:color w:val="000000" w:themeColor="text1"/>
                <w:sz w:val="24"/>
              </w:rPr>
              <w:t>基金总申购份额</w:t>
            </w:r>
          </w:p>
        </w:tc>
        <w:tc>
          <w:tcPr>
            <w:tcW w:w="1860" w:type="dxa"/>
            <w:vAlign w:val="center"/>
          </w:tcPr>
          <w:p w14:paraId="54E21D1B" w14:textId="77777777" w:rsidR="00DA315C" w:rsidRDefault="00CC2E83">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416,019,538.79</w:t>
            </w:r>
          </w:p>
        </w:tc>
        <w:tc>
          <w:tcPr>
            <w:tcW w:w="1860" w:type="dxa"/>
            <w:vAlign w:val="center"/>
          </w:tcPr>
          <w:p w14:paraId="018385BB"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61" w:type="dxa"/>
            <w:vAlign w:val="center"/>
          </w:tcPr>
          <w:p w14:paraId="2DAE0025"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4,634,880,531.02</w:t>
            </w:r>
          </w:p>
        </w:tc>
        <w:tc>
          <w:tcPr>
            <w:tcW w:w="1861" w:type="dxa"/>
            <w:vAlign w:val="center"/>
          </w:tcPr>
          <w:p w14:paraId="0748618A" w14:textId="77777777" w:rsidR="00DA315C" w:rsidRDefault="00050540" w:rsidP="0047722E">
            <w:pPr>
              <w:autoSpaceDE w:val="0"/>
              <w:autoSpaceDN w:val="0"/>
              <w:adjustRightInd w:val="0"/>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7,250,016,549.69</w:t>
            </w:r>
          </w:p>
        </w:tc>
      </w:tr>
      <w:tr w:rsidR="00DA315C" w14:paraId="2740B920" w14:textId="77777777" w:rsidTr="0047722E">
        <w:tc>
          <w:tcPr>
            <w:tcW w:w="1860" w:type="dxa"/>
          </w:tcPr>
          <w:p w14:paraId="7122C805" w14:textId="77777777" w:rsidR="00DA315C" w:rsidRDefault="00CC2E83">
            <w:pPr>
              <w:adjustRightInd w:val="0"/>
              <w:snapToGrid w:val="0"/>
              <w:spacing w:line="340" w:lineRule="exact"/>
              <w:rPr>
                <w:rFonts w:ascii="宋体" w:hAnsi="宋体"/>
                <w:color w:val="000000" w:themeColor="text1"/>
                <w:sz w:val="24"/>
              </w:rPr>
            </w:pPr>
            <w:r>
              <w:rPr>
                <w:rFonts w:asciiTheme="minorEastAsia" w:eastAsiaTheme="minorEastAsia" w:hAnsiTheme="minorEastAsia" w:cs="宋体"/>
                <w:color w:val="000000" w:themeColor="text1"/>
                <w:kern w:val="0"/>
                <w:sz w:val="24"/>
              </w:rPr>
              <w:t>报告期期间</w:t>
            </w:r>
            <w:r>
              <w:rPr>
                <w:rFonts w:ascii="宋体" w:hAnsi="宋体" w:hint="eastAsia"/>
                <w:color w:val="000000" w:themeColor="text1"/>
                <w:sz w:val="24"/>
              </w:rPr>
              <w:t>基金总赎回份额</w:t>
            </w:r>
          </w:p>
        </w:tc>
        <w:tc>
          <w:tcPr>
            <w:tcW w:w="1860" w:type="dxa"/>
            <w:vAlign w:val="center"/>
          </w:tcPr>
          <w:p w14:paraId="5E604A32" w14:textId="77777777" w:rsidR="00DA315C" w:rsidRDefault="00CC2E83">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546,240,220.06</w:t>
            </w:r>
          </w:p>
        </w:tc>
        <w:tc>
          <w:tcPr>
            <w:tcW w:w="1860" w:type="dxa"/>
            <w:vAlign w:val="center"/>
          </w:tcPr>
          <w:p w14:paraId="2F0B4D09"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61" w:type="dxa"/>
            <w:vAlign w:val="center"/>
          </w:tcPr>
          <w:p w14:paraId="5F97292F"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4,458,995,281.15</w:t>
            </w:r>
          </w:p>
        </w:tc>
        <w:tc>
          <w:tcPr>
            <w:tcW w:w="1861" w:type="dxa"/>
            <w:vAlign w:val="center"/>
          </w:tcPr>
          <w:p w14:paraId="4513E4E3" w14:textId="77777777" w:rsidR="00DA315C" w:rsidRDefault="00050540" w:rsidP="0047722E">
            <w:pPr>
              <w:autoSpaceDE w:val="0"/>
              <w:autoSpaceDN w:val="0"/>
              <w:adjustRightInd w:val="0"/>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6,316,816,405.83</w:t>
            </w:r>
          </w:p>
        </w:tc>
      </w:tr>
      <w:tr w:rsidR="00DA315C" w14:paraId="1CEFDFAA" w14:textId="77777777" w:rsidTr="0047722E">
        <w:tc>
          <w:tcPr>
            <w:tcW w:w="1860" w:type="dxa"/>
          </w:tcPr>
          <w:p w14:paraId="790AC03C" w14:textId="77777777" w:rsidR="00DA315C" w:rsidRDefault="00CC2E83">
            <w:pPr>
              <w:adjustRightInd w:val="0"/>
              <w:snapToGrid w:val="0"/>
              <w:spacing w:line="340" w:lineRule="exact"/>
              <w:rPr>
                <w:rFonts w:ascii="宋体" w:hAnsi="宋体"/>
                <w:color w:val="000000" w:themeColor="text1"/>
                <w:sz w:val="24"/>
              </w:rPr>
            </w:pPr>
            <w:r>
              <w:rPr>
                <w:rFonts w:ascii="宋体" w:hAnsi="宋体" w:hint="eastAsia"/>
                <w:color w:val="000000" w:themeColor="text1"/>
                <w:sz w:val="24"/>
              </w:rPr>
              <w:t>报告期期末基金份额总额</w:t>
            </w:r>
          </w:p>
        </w:tc>
        <w:tc>
          <w:tcPr>
            <w:tcW w:w="1860" w:type="dxa"/>
            <w:vAlign w:val="center"/>
          </w:tcPr>
          <w:p w14:paraId="2C7DC62B" w14:textId="77777777" w:rsidR="00DA315C" w:rsidRDefault="00CC2E83">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4,909,979,288.52</w:t>
            </w:r>
          </w:p>
        </w:tc>
        <w:tc>
          <w:tcPr>
            <w:tcW w:w="1860" w:type="dxa"/>
            <w:vAlign w:val="center"/>
          </w:tcPr>
          <w:p w14:paraId="70282993"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61" w:type="dxa"/>
            <w:vAlign w:val="center"/>
          </w:tcPr>
          <w:p w14:paraId="4FCFD0F5"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4,534,078,867.12</w:t>
            </w:r>
          </w:p>
        </w:tc>
        <w:tc>
          <w:tcPr>
            <w:tcW w:w="1861" w:type="dxa"/>
            <w:vAlign w:val="center"/>
          </w:tcPr>
          <w:p w14:paraId="729017D9" w14:textId="77777777" w:rsidR="00DA315C" w:rsidRDefault="00050540" w:rsidP="0047722E">
            <w:pPr>
              <w:autoSpaceDE w:val="0"/>
              <w:autoSpaceDN w:val="0"/>
              <w:adjustRightInd w:val="0"/>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2,272,668,697.24</w:t>
            </w:r>
          </w:p>
        </w:tc>
      </w:tr>
    </w:tbl>
    <w:p w14:paraId="39642BBD" w14:textId="77777777" w:rsidR="00DA315C" w:rsidRDefault="00CC2E83" w:rsidP="00FC703D">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§7  基金管理人运用</w:t>
      </w:r>
      <w:proofErr w:type="gramStart"/>
      <w:r>
        <w:rPr>
          <w:rFonts w:asciiTheme="minorEastAsia" w:eastAsiaTheme="minorEastAsia" w:hAnsiTheme="minorEastAsia" w:cs="Arial" w:hint="eastAsia"/>
          <w:color w:val="000000" w:themeColor="text1"/>
          <w:kern w:val="0"/>
          <w:sz w:val="24"/>
          <w:szCs w:val="24"/>
        </w:rPr>
        <w:t>固有资金</w:t>
      </w:r>
      <w:proofErr w:type="gramEnd"/>
      <w:r>
        <w:rPr>
          <w:rFonts w:asciiTheme="minorEastAsia" w:eastAsiaTheme="minorEastAsia" w:hAnsiTheme="minorEastAsia" w:cs="Arial" w:hint="eastAsia"/>
          <w:color w:val="000000" w:themeColor="text1"/>
          <w:kern w:val="0"/>
          <w:sz w:val="24"/>
          <w:szCs w:val="24"/>
        </w:rPr>
        <w:t>投资本基金交易明细</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DA315C" w14:paraId="1C5E35F2" w14:textId="77777777">
        <w:trPr>
          <w:trHeight w:val="340"/>
          <w:jc w:val="center"/>
        </w:trPr>
        <w:tc>
          <w:tcPr>
            <w:tcW w:w="1070" w:type="dxa"/>
            <w:vAlign w:val="center"/>
          </w:tcPr>
          <w:p w14:paraId="52EEC73A" w14:textId="77777777" w:rsidR="00DA315C" w:rsidRDefault="00CC2E83">
            <w:pPr>
              <w:pStyle w:val="a7"/>
              <w:adjustRightInd w:val="0"/>
              <w:snapToGrid w:val="0"/>
              <w:spacing w:line="360" w:lineRule="exact"/>
              <w:jc w:val="center"/>
              <w:rPr>
                <w:color w:val="000000" w:themeColor="text1"/>
                <w:kern w:val="0"/>
                <w:szCs w:val="24"/>
              </w:rPr>
            </w:pPr>
            <w:r>
              <w:rPr>
                <w:color w:val="000000" w:themeColor="text1"/>
                <w:kern w:val="0"/>
                <w:szCs w:val="24"/>
              </w:rPr>
              <w:t>序号</w:t>
            </w:r>
          </w:p>
        </w:tc>
        <w:tc>
          <w:tcPr>
            <w:tcW w:w="1851" w:type="dxa"/>
          </w:tcPr>
          <w:p w14:paraId="2D5DE68B" w14:textId="77777777" w:rsidR="00DA315C" w:rsidRDefault="00CC2E83">
            <w:pPr>
              <w:adjustRightInd w:val="0"/>
              <w:snapToGrid w:val="0"/>
              <w:spacing w:line="360" w:lineRule="exact"/>
              <w:jc w:val="center"/>
              <w:rPr>
                <w:color w:val="000000" w:themeColor="text1"/>
                <w:kern w:val="0"/>
                <w:sz w:val="24"/>
              </w:rPr>
            </w:pPr>
            <w:r>
              <w:rPr>
                <w:color w:val="000000" w:themeColor="text1"/>
                <w:kern w:val="0"/>
                <w:sz w:val="24"/>
              </w:rPr>
              <w:t>交易方式</w:t>
            </w:r>
          </w:p>
        </w:tc>
        <w:tc>
          <w:tcPr>
            <w:tcW w:w="1370" w:type="dxa"/>
          </w:tcPr>
          <w:p w14:paraId="0662409C" w14:textId="77777777" w:rsidR="00DA315C" w:rsidRDefault="00CC2E83">
            <w:pPr>
              <w:adjustRightInd w:val="0"/>
              <w:snapToGrid w:val="0"/>
              <w:spacing w:line="360" w:lineRule="exact"/>
              <w:rPr>
                <w:color w:val="000000" w:themeColor="text1"/>
                <w:kern w:val="0"/>
                <w:sz w:val="24"/>
              </w:rPr>
            </w:pPr>
            <w:r>
              <w:rPr>
                <w:color w:val="000000" w:themeColor="text1"/>
                <w:kern w:val="0"/>
                <w:sz w:val="24"/>
              </w:rPr>
              <w:t>交易日期</w:t>
            </w:r>
          </w:p>
        </w:tc>
        <w:tc>
          <w:tcPr>
            <w:tcW w:w="1701" w:type="dxa"/>
          </w:tcPr>
          <w:p w14:paraId="0255598C" w14:textId="77777777" w:rsidR="00DA315C" w:rsidRDefault="00CC2E83">
            <w:pPr>
              <w:adjustRightInd w:val="0"/>
              <w:snapToGrid w:val="0"/>
              <w:spacing w:line="360" w:lineRule="exact"/>
              <w:jc w:val="center"/>
              <w:rPr>
                <w:color w:val="000000" w:themeColor="text1"/>
                <w:kern w:val="0"/>
                <w:sz w:val="24"/>
              </w:rPr>
            </w:pPr>
            <w:r>
              <w:rPr>
                <w:color w:val="000000" w:themeColor="text1"/>
                <w:kern w:val="0"/>
                <w:sz w:val="24"/>
              </w:rPr>
              <w:t>交易份额</w:t>
            </w:r>
            <w:r>
              <w:rPr>
                <w:rFonts w:hint="eastAsia"/>
                <w:color w:val="000000" w:themeColor="text1"/>
                <w:kern w:val="0"/>
                <w:sz w:val="24"/>
              </w:rPr>
              <w:t>（份）</w:t>
            </w:r>
          </w:p>
        </w:tc>
        <w:tc>
          <w:tcPr>
            <w:tcW w:w="1842" w:type="dxa"/>
          </w:tcPr>
          <w:p w14:paraId="1F58FE2B" w14:textId="77777777" w:rsidR="00DA315C" w:rsidRDefault="00CC2E83">
            <w:pPr>
              <w:adjustRightInd w:val="0"/>
              <w:snapToGrid w:val="0"/>
              <w:spacing w:line="360" w:lineRule="exact"/>
              <w:jc w:val="center"/>
              <w:rPr>
                <w:color w:val="000000" w:themeColor="text1"/>
                <w:kern w:val="0"/>
                <w:sz w:val="24"/>
              </w:rPr>
            </w:pPr>
            <w:r>
              <w:rPr>
                <w:color w:val="000000" w:themeColor="text1"/>
                <w:kern w:val="0"/>
                <w:sz w:val="24"/>
              </w:rPr>
              <w:t>交易金额</w:t>
            </w:r>
            <w:r>
              <w:rPr>
                <w:rFonts w:hint="eastAsia"/>
                <w:color w:val="000000" w:themeColor="text1"/>
                <w:kern w:val="0"/>
                <w:sz w:val="24"/>
              </w:rPr>
              <w:t>（元）</w:t>
            </w:r>
          </w:p>
        </w:tc>
        <w:tc>
          <w:tcPr>
            <w:tcW w:w="1397" w:type="dxa"/>
            <w:vAlign w:val="center"/>
          </w:tcPr>
          <w:p w14:paraId="341B74D7" w14:textId="77777777" w:rsidR="00DA315C" w:rsidRDefault="00CC2E83">
            <w:pPr>
              <w:adjustRightInd w:val="0"/>
              <w:snapToGrid w:val="0"/>
              <w:spacing w:line="360" w:lineRule="exact"/>
              <w:jc w:val="center"/>
              <w:rPr>
                <w:color w:val="000000" w:themeColor="text1"/>
                <w:kern w:val="0"/>
                <w:sz w:val="24"/>
              </w:rPr>
            </w:pPr>
            <w:r>
              <w:rPr>
                <w:color w:val="000000" w:themeColor="text1"/>
                <w:kern w:val="0"/>
                <w:sz w:val="24"/>
              </w:rPr>
              <w:t>适用费率</w:t>
            </w:r>
          </w:p>
        </w:tc>
      </w:tr>
      <w:tr w:rsidR="00C83121" w14:paraId="7B504854" w14:textId="77777777">
        <w:trPr>
          <w:jc w:val="center"/>
        </w:trPr>
        <w:tc>
          <w:tcPr>
            <w:tcW w:w="1070" w:type="dxa"/>
            <w:vAlign w:val="center"/>
          </w:tcPr>
          <w:p w14:paraId="65485695" w14:textId="77777777" w:rsidR="00C83121" w:rsidRDefault="004763DD">
            <w:pPr>
              <w:jc w:val="center"/>
            </w:pPr>
            <w:r>
              <w:rPr>
                <w:rFonts w:asciiTheme="minorEastAsia" w:eastAsiaTheme="minorEastAsia" w:hAnsiTheme="minorEastAsia" w:cs="宋体" w:hint="eastAsia"/>
                <w:color w:val="000000" w:themeColor="text1"/>
                <w:sz w:val="24"/>
              </w:rPr>
              <w:t>1</w:t>
            </w:r>
          </w:p>
        </w:tc>
        <w:tc>
          <w:tcPr>
            <w:tcW w:w="1851" w:type="dxa"/>
            <w:vAlign w:val="center"/>
          </w:tcPr>
          <w:p w14:paraId="232E91E2" w14:textId="77777777" w:rsidR="00C83121" w:rsidRDefault="004763DD">
            <w:pPr>
              <w:jc w:val="center"/>
            </w:pPr>
            <w:r>
              <w:rPr>
                <w:rFonts w:asciiTheme="minorEastAsia" w:eastAsiaTheme="minorEastAsia" w:hAnsiTheme="minorEastAsia" w:cs="宋体" w:hint="eastAsia"/>
                <w:color w:val="000000" w:themeColor="text1"/>
                <w:sz w:val="24"/>
              </w:rPr>
              <w:t>赎回</w:t>
            </w:r>
          </w:p>
        </w:tc>
        <w:tc>
          <w:tcPr>
            <w:tcW w:w="1370" w:type="dxa"/>
            <w:vAlign w:val="center"/>
          </w:tcPr>
          <w:p w14:paraId="4C9F5954" w14:textId="77777777" w:rsidR="00C83121" w:rsidRDefault="004763DD">
            <w:pPr>
              <w:jc w:val="center"/>
            </w:pPr>
            <w:r>
              <w:rPr>
                <w:rFonts w:asciiTheme="minorEastAsia" w:eastAsiaTheme="minorEastAsia" w:hAnsiTheme="minorEastAsia" w:cs="宋体" w:hint="eastAsia"/>
                <w:color w:val="000000" w:themeColor="text1"/>
                <w:sz w:val="24"/>
              </w:rPr>
              <w:t>2024-04-23</w:t>
            </w:r>
          </w:p>
        </w:tc>
        <w:tc>
          <w:tcPr>
            <w:tcW w:w="1701" w:type="dxa"/>
            <w:vAlign w:val="center"/>
          </w:tcPr>
          <w:p w14:paraId="1832B745" w14:textId="77777777" w:rsidR="00C83121" w:rsidRDefault="004763DD">
            <w:pPr>
              <w:jc w:val="right"/>
            </w:pPr>
            <w:r>
              <w:rPr>
                <w:rFonts w:asciiTheme="minorEastAsia" w:eastAsiaTheme="minorEastAsia" w:hAnsiTheme="minorEastAsia" w:cs="宋体" w:hint="eastAsia"/>
                <w:color w:val="000000" w:themeColor="text1"/>
                <w:sz w:val="24"/>
              </w:rPr>
              <w:t>527,230.54</w:t>
            </w:r>
          </w:p>
        </w:tc>
        <w:tc>
          <w:tcPr>
            <w:tcW w:w="1842" w:type="dxa"/>
            <w:vAlign w:val="center"/>
          </w:tcPr>
          <w:p w14:paraId="6CAD9E0B" w14:textId="77777777" w:rsidR="00C83121" w:rsidRDefault="004763DD">
            <w:pPr>
              <w:jc w:val="right"/>
            </w:pPr>
            <w:r>
              <w:rPr>
                <w:rFonts w:asciiTheme="minorEastAsia" w:eastAsiaTheme="minorEastAsia" w:hAnsiTheme="minorEastAsia" w:cs="宋体" w:hint="eastAsia"/>
                <w:color w:val="000000" w:themeColor="text1"/>
                <w:sz w:val="24"/>
              </w:rPr>
              <w:t>-527,230.54</w:t>
            </w:r>
          </w:p>
        </w:tc>
        <w:tc>
          <w:tcPr>
            <w:tcW w:w="1397" w:type="dxa"/>
            <w:vAlign w:val="center"/>
          </w:tcPr>
          <w:p w14:paraId="5B94ECE1" w14:textId="77777777" w:rsidR="00C83121" w:rsidRDefault="004763DD">
            <w:pPr>
              <w:jc w:val="center"/>
            </w:pPr>
            <w:r>
              <w:rPr>
                <w:rFonts w:asciiTheme="minorEastAsia" w:eastAsiaTheme="minorEastAsia" w:hAnsiTheme="minorEastAsia" w:cs="宋体" w:hint="eastAsia"/>
                <w:color w:val="000000" w:themeColor="text1"/>
                <w:sz w:val="24"/>
              </w:rPr>
              <w:t>-</w:t>
            </w:r>
          </w:p>
        </w:tc>
      </w:tr>
      <w:tr w:rsidR="00C83121" w14:paraId="257457D3" w14:textId="77777777">
        <w:trPr>
          <w:jc w:val="center"/>
        </w:trPr>
        <w:tc>
          <w:tcPr>
            <w:tcW w:w="1070" w:type="dxa"/>
            <w:vAlign w:val="center"/>
          </w:tcPr>
          <w:p w14:paraId="51F3C17D" w14:textId="77777777" w:rsidR="00C83121" w:rsidRDefault="004763DD">
            <w:pPr>
              <w:jc w:val="center"/>
            </w:pPr>
            <w:r>
              <w:rPr>
                <w:rFonts w:asciiTheme="minorEastAsia" w:eastAsiaTheme="minorEastAsia" w:hAnsiTheme="minorEastAsia" w:cs="宋体" w:hint="eastAsia"/>
                <w:color w:val="000000" w:themeColor="text1"/>
                <w:sz w:val="24"/>
              </w:rPr>
              <w:t>2</w:t>
            </w:r>
          </w:p>
        </w:tc>
        <w:tc>
          <w:tcPr>
            <w:tcW w:w="1851" w:type="dxa"/>
            <w:vAlign w:val="center"/>
          </w:tcPr>
          <w:p w14:paraId="0F52C5BC" w14:textId="77777777" w:rsidR="00C83121" w:rsidRDefault="004763DD">
            <w:pPr>
              <w:jc w:val="center"/>
            </w:pPr>
            <w:r>
              <w:rPr>
                <w:rFonts w:asciiTheme="minorEastAsia" w:eastAsiaTheme="minorEastAsia" w:hAnsiTheme="minorEastAsia" w:cs="宋体" w:hint="eastAsia"/>
                <w:color w:val="000000" w:themeColor="text1"/>
                <w:sz w:val="24"/>
              </w:rPr>
              <w:t>赎回</w:t>
            </w:r>
          </w:p>
        </w:tc>
        <w:tc>
          <w:tcPr>
            <w:tcW w:w="1370" w:type="dxa"/>
            <w:vAlign w:val="center"/>
          </w:tcPr>
          <w:p w14:paraId="7578714B" w14:textId="77777777" w:rsidR="00C83121" w:rsidRDefault="004763DD">
            <w:pPr>
              <w:jc w:val="center"/>
            </w:pPr>
            <w:r>
              <w:rPr>
                <w:rFonts w:asciiTheme="minorEastAsia" w:eastAsiaTheme="minorEastAsia" w:hAnsiTheme="minorEastAsia" w:cs="宋体" w:hint="eastAsia"/>
                <w:color w:val="000000" w:themeColor="text1"/>
                <w:sz w:val="24"/>
              </w:rPr>
              <w:t>2024-04-23</w:t>
            </w:r>
          </w:p>
        </w:tc>
        <w:tc>
          <w:tcPr>
            <w:tcW w:w="1701" w:type="dxa"/>
            <w:vAlign w:val="center"/>
          </w:tcPr>
          <w:p w14:paraId="289F4CB3" w14:textId="77777777" w:rsidR="00C83121" w:rsidRDefault="004763DD">
            <w:pPr>
              <w:jc w:val="right"/>
            </w:pPr>
            <w:r>
              <w:rPr>
                <w:rFonts w:asciiTheme="minorEastAsia" w:eastAsiaTheme="minorEastAsia" w:hAnsiTheme="minorEastAsia" w:cs="宋体" w:hint="eastAsia"/>
                <w:color w:val="000000" w:themeColor="text1"/>
                <w:sz w:val="24"/>
              </w:rPr>
              <w:t>387,174.30</w:t>
            </w:r>
          </w:p>
        </w:tc>
        <w:tc>
          <w:tcPr>
            <w:tcW w:w="1842" w:type="dxa"/>
            <w:vAlign w:val="center"/>
          </w:tcPr>
          <w:p w14:paraId="024E2BA6" w14:textId="77777777" w:rsidR="00C83121" w:rsidRDefault="004763DD">
            <w:pPr>
              <w:jc w:val="right"/>
            </w:pPr>
            <w:r>
              <w:rPr>
                <w:rFonts w:asciiTheme="minorEastAsia" w:eastAsiaTheme="minorEastAsia" w:hAnsiTheme="minorEastAsia" w:cs="宋体" w:hint="eastAsia"/>
                <w:color w:val="000000" w:themeColor="text1"/>
                <w:sz w:val="24"/>
              </w:rPr>
              <w:t>-387,174.30</w:t>
            </w:r>
          </w:p>
        </w:tc>
        <w:tc>
          <w:tcPr>
            <w:tcW w:w="1397" w:type="dxa"/>
            <w:vAlign w:val="center"/>
          </w:tcPr>
          <w:p w14:paraId="0BED30C3" w14:textId="77777777" w:rsidR="00C83121" w:rsidRDefault="004763DD">
            <w:pPr>
              <w:jc w:val="center"/>
            </w:pPr>
            <w:r>
              <w:rPr>
                <w:rFonts w:asciiTheme="minorEastAsia" w:eastAsiaTheme="minorEastAsia" w:hAnsiTheme="minorEastAsia" w:cs="宋体" w:hint="eastAsia"/>
                <w:color w:val="000000" w:themeColor="text1"/>
                <w:sz w:val="24"/>
              </w:rPr>
              <w:t>-</w:t>
            </w:r>
          </w:p>
        </w:tc>
      </w:tr>
      <w:tr w:rsidR="00C83121" w14:paraId="5C4CFA59" w14:textId="77777777">
        <w:trPr>
          <w:jc w:val="center"/>
        </w:trPr>
        <w:tc>
          <w:tcPr>
            <w:tcW w:w="1070" w:type="dxa"/>
            <w:vAlign w:val="center"/>
          </w:tcPr>
          <w:p w14:paraId="7B59FFD9" w14:textId="77777777" w:rsidR="00C83121" w:rsidRDefault="004763DD">
            <w:pPr>
              <w:jc w:val="center"/>
            </w:pPr>
            <w:r>
              <w:rPr>
                <w:rFonts w:asciiTheme="minorEastAsia" w:eastAsiaTheme="minorEastAsia" w:hAnsiTheme="minorEastAsia" w:cs="宋体" w:hint="eastAsia"/>
                <w:color w:val="000000" w:themeColor="text1"/>
                <w:sz w:val="24"/>
              </w:rPr>
              <w:t>3</w:t>
            </w:r>
          </w:p>
        </w:tc>
        <w:tc>
          <w:tcPr>
            <w:tcW w:w="1851" w:type="dxa"/>
            <w:vAlign w:val="center"/>
          </w:tcPr>
          <w:p w14:paraId="46B9205B" w14:textId="77777777" w:rsidR="00C83121" w:rsidRDefault="004763DD">
            <w:pPr>
              <w:jc w:val="center"/>
            </w:pPr>
            <w:r>
              <w:rPr>
                <w:rFonts w:asciiTheme="minorEastAsia" w:eastAsiaTheme="minorEastAsia" w:hAnsiTheme="minorEastAsia" w:cs="宋体" w:hint="eastAsia"/>
                <w:color w:val="000000" w:themeColor="text1"/>
                <w:sz w:val="24"/>
              </w:rPr>
              <w:t>申购</w:t>
            </w:r>
          </w:p>
        </w:tc>
        <w:tc>
          <w:tcPr>
            <w:tcW w:w="1370" w:type="dxa"/>
            <w:vAlign w:val="center"/>
          </w:tcPr>
          <w:p w14:paraId="471B104F" w14:textId="77777777" w:rsidR="00C83121" w:rsidRDefault="004763DD">
            <w:pPr>
              <w:jc w:val="center"/>
            </w:pPr>
            <w:r>
              <w:rPr>
                <w:rFonts w:asciiTheme="minorEastAsia" w:eastAsiaTheme="minorEastAsia" w:hAnsiTheme="minorEastAsia" w:cs="宋体" w:hint="eastAsia"/>
                <w:color w:val="000000" w:themeColor="text1"/>
                <w:sz w:val="24"/>
              </w:rPr>
              <w:t>2024-05-15</w:t>
            </w:r>
          </w:p>
        </w:tc>
        <w:tc>
          <w:tcPr>
            <w:tcW w:w="1701" w:type="dxa"/>
            <w:vAlign w:val="center"/>
          </w:tcPr>
          <w:p w14:paraId="744D8AF3" w14:textId="77777777" w:rsidR="00C83121" w:rsidRDefault="004763DD">
            <w:pPr>
              <w:jc w:val="right"/>
            </w:pPr>
            <w:r>
              <w:rPr>
                <w:rFonts w:asciiTheme="minorEastAsia" w:eastAsiaTheme="minorEastAsia" w:hAnsiTheme="minorEastAsia" w:cs="宋体" w:hint="eastAsia"/>
                <w:color w:val="000000" w:themeColor="text1"/>
                <w:sz w:val="24"/>
              </w:rPr>
              <w:t>425,000.00</w:t>
            </w:r>
          </w:p>
        </w:tc>
        <w:tc>
          <w:tcPr>
            <w:tcW w:w="1842" w:type="dxa"/>
            <w:vAlign w:val="center"/>
          </w:tcPr>
          <w:p w14:paraId="5DD88DD4" w14:textId="77777777" w:rsidR="00C83121" w:rsidRDefault="004763DD">
            <w:pPr>
              <w:jc w:val="right"/>
            </w:pPr>
            <w:r>
              <w:rPr>
                <w:rFonts w:asciiTheme="minorEastAsia" w:eastAsiaTheme="minorEastAsia" w:hAnsiTheme="minorEastAsia" w:cs="宋体" w:hint="eastAsia"/>
                <w:color w:val="000000" w:themeColor="text1"/>
                <w:sz w:val="24"/>
              </w:rPr>
              <w:t>425,000.00</w:t>
            </w:r>
          </w:p>
        </w:tc>
        <w:tc>
          <w:tcPr>
            <w:tcW w:w="1397" w:type="dxa"/>
            <w:vAlign w:val="center"/>
          </w:tcPr>
          <w:p w14:paraId="57C5DA1A" w14:textId="77777777" w:rsidR="00C83121" w:rsidRDefault="004763DD">
            <w:pPr>
              <w:jc w:val="center"/>
            </w:pPr>
            <w:r>
              <w:rPr>
                <w:rFonts w:asciiTheme="minorEastAsia" w:eastAsiaTheme="minorEastAsia" w:hAnsiTheme="minorEastAsia" w:cs="宋体" w:hint="eastAsia"/>
                <w:color w:val="000000" w:themeColor="text1"/>
                <w:sz w:val="24"/>
              </w:rPr>
              <w:t>-</w:t>
            </w:r>
          </w:p>
        </w:tc>
      </w:tr>
      <w:tr w:rsidR="00C83121" w14:paraId="7A9E3B16" w14:textId="77777777">
        <w:trPr>
          <w:jc w:val="center"/>
        </w:trPr>
        <w:tc>
          <w:tcPr>
            <w:tcW w:w="1070" w:type="dxa"/>
            <w:vAlign w:val="center"/>
          </w:tcPr>
          <w:p w14:paraId="102D1F8C" w14:textId="77777777" w:rsidR="00C83121" w:rsidRDefault="004763DD">
            <w:pPr>
              <w:jc w:val="center"/>
            </w:pPr>
            <w:r>
              <w:rPr>
                <w:rFonts w:asciiTheme="minorEastAsia" w:eastAsiaTheme="minorEastAsia" w:hAnsiTheme="minorEastAsia" w:cs="宋体" w:hint="eastAsia"/>
                <w:color w:val="000000" w:themeColor="text1"/>
                <w:sz w:val="24"/>
              </w:rPr>
              <w:t>4</w:t>
            </w:r>
          </w:p>
        </w:tc>
        <w:tc>
          <w:tcPr>
            <w:tcW w:w="1851" w:type="dxa"/>
            <w:vAlign w:val="center"/>
          </w:tcPr>
          <w:p w14:paraId="2E1FF0F6" w14:textId="77777777" w:rsidR="00C83121" w:rsidRDefault="004763DD">
            <w:pPr>
              <w:jc w:val="center"/>
            </w:pPr>
            <w:r>
              <w:rPr>
                <w:rFonts w:asciiTheme="minorEastAsia" w:eastAsiaTheme="minorEastAsia" w:hAnsiTheme="minorEastAsia" w:cs="宋体" w:hint="eastAsia"/>
                <w:color w:val="000000" w:themeColor="text1"/>
                <w:sz w:val="24"/>
              </w:rPr>
              <w:t>申购</w:t>
            </w:r>
          </w:p>
        </w:tc>
        <w:tc>
          <w:tcPr>
            <w:tcW w:w="1370" w:type="dxa"/>
            <w:vAlign w:val="center"/>
          </w:tcPr>
          <w:p w14:paraId="1A6BE290" w14:textId="77777777" w:rsidR="00C83121" w:rsidRDefault="004763DD">
            <w:pPr>
              <w:jc w:val="center"/>
            </w:pPr>
            <w:r>
              <w:rPr>
                <w:rFonts w:asciiTheme="minorEastAsia" w:eastAsiaTheme="minorEastAsia" w:hAnsiTheme="minorEastAsia" w:cs="宋体" w:hint="eastAsia"/>
                <w:color w:val="000000" w:themeColor="text1"/>
                <w:sz w:val="24"/>
              </w:rPr>
              <w:t>2024-05-15</w:t>
            </w:r>
          </w:p>
        </w:tc>
        <w:tc>
          <w:tcPr>
            <w:tcW w:w="1701" w:type="dxa"/>
            <w:vAlign w:val="center"/>
          </w:tcPr>
          <w:p w14:paraId="37DF75F2" w14:textId="77777777" w:rsidR="00C83121" w:rsidRDefault="004763DD">
            <w:pPr>
              <w:jc w:val="right"/>
            </w:pPr>
            <w:r>
              <w:rPr>
                <w:rFonts w:asciiTheme="minorEastAsia" w:eastAsiaTheme="minorEastAsia" w:hAnsiTheme="minorEastAsia" w:cs="宋体" w:hint="eastAsia"/>
                <w:color w:val="000000" w:themeColor="text1"/>
                <w:sz w:val="24"/>
              </w:rPr>
              <w:t>1,165,000.00</w:t>
            </w:r>
          </w:p>
        </w:tc>
        <w:tc>
          <w:tcPr>
            <w:tcW w:w="1842" w:type="dxa"/>
            <w:vAlign w:val="center"/>
          </w:tcPr>
          <w:p w14:paraId="12BC9145" w14:textId="77777777" w:rsidR="00C83121" w:rsidRDefault="004763DD">
            <w:pPr>
              <w:jc w:val="right"/>
            </w:pPr>
            <w:r>
              <w:rPr>
                <w:rFonts w:asciiTheme="minorEastAsia" w:eastAsiaTheme="minorEastAsia" w:hAnsiTheme="minorEastAsia" w:cs="宋体" w:hint="eastAsia"/>
                <w:color w:val="000000" w:themeColor="text1"/>
                <w:sz w:val="24"/>
              </w:rPr>
              <w:t>1,165,000.00</w:t>
            </w:r>
          </w:p>
        </w:tc>
        <w:tc>
          <w:tcPr>
            <w:tcW w:w="1397" w:type="dxa"/>
            <w:vAlign w:val="center"/>
          </w:tcPr>
          <w:p w14:paraId="671DBB10" w14:textId="77777777" w:rsidR="00C83121" w:rsidRDefault="004763DD">
            <w:pPr>
              <w:jc w:val="center"/>
            </w:pPr>
            <w:r>
              <w:rPr>
                <w:rFonts w:asciiTheme="minorEastAsia" w:eastAsiaTheme="minorEastAsia" w:hAnsiTheme="minorEastAsia" w:cs="宋体" w:hint="eastAsia"/>
                <w:color w:val="000000" w:themeColor="text1"/>
                <w:sz w:val="24"/>
              </w:rPr>
              <w:t>-</w:t>
            </w:r>
          </w:p>
        </w:tc>
      </w:tr>
      <w:tr w:rsidR="00DA315C" w14:paraId="7E980B7C" w14:textId="77777777">
        <w:trPr>
          <w:trHeight w:val="340"/>
          <w:jc w:val="center"/>
        </w:trPr>
        <w:tc>
          <w:tcPr>
            <w:tcW w:w="1070" w:type="dxa"/>
            <w:vAlign w:val="center"/>
          </w:tcPr>
          <w:p w14:paraId="234DB8E0" w14:textId="77777777" w:rsidR="00DA315C" w:rsidRDefault="00CC2E83">
            <w:pPr>
              <w:pStyle w:val="a7"/>
              <w:adjustRightInd w:val="0"/>
              <w:snapToGrid w:val="0"/>
              <w:spacing w:line="360" w:lineRule="exact"/>
              <w:jc w:val="center"/>
              <w:rPr>
                <w:color w:val="000000" w:themeColor="text1"/>
                <w:kern w:val="0"/>
                <w:szCs w:val="24"/>
              </w:rPr>
            </w:pPr>
            <w:r>
              <w:rPr>
                <w:color w:val="000000" w:themeColor="text1"/>
                <w:kern w:val="0"/>
                <w:szCs w:val="24"/>
              </w:rPr>
              <w:t>合计</w:t>
            </w:r>
          </w:p>
        </w:tc>
        <w:tc>
          <w:tcPr>
            <w:tcW w:w="1851" w:type="dxa"/>
          </w:tcPr>
          <w:p w14:paraId="77BA22D8" w14:textId="77777777" w:rsidR="00DA315C" w:rsidRDefault="00DA315C">
            <w:pPr>
              <w:adjustRightInd w:val="0"/>
              <w:snapToGrid w:val="0"/>
              <w:spacing w:line="360" w:lineRule="exact"/>
              <w:jc w:val="right"/>
              <w:rPr>
                <w:color w:val="000000" w:themeColor="text1"/>
                <w:kern w:val="0"/>
                <w:sz w:val="18"/>
              </w:rPr>
            </w:pPr>
          </w:p>
        </w:tc>
        <w:tc>
          <w:tcPr>
            <w:tcW w:w="1370" w:type="dxa"/>
          </w:tcPr>
          <w:p w14:paraId="3AD79E86" w14:textId="77777777" w:rsidR="00DA315C" w:rsidRDefault="00DA315C">
            <w:pPr>
              <w:adjustRightInd w:val="0"/>
              <w:snapToGrid w:val="0"/>
              <w:spacing w:line="360" w:lineRule="exact"/>
              <w:jc w:val="right"/>
              <w:rPr>
                <w:color w:val="000000" w:themeColor="text1"/>
                <w:kern w:val="0"/>
                <w:sz w:val="18"/>
              </w:rPr>
            </w:pPr>
          </w:p>
        </w:tc>
        <w:tc>
          <w:tcPr>
            <w:tcW w:w="1701" w:type="dxa"/>
          </w:tcPr>
          <w:p w14:paraId="7CE93D70" w14:textId="77777777" w:rsidR="00DA315C" w:rsidRDefault="00CC2E83">
            <w:pPr>
              <w:adjustRightInd w:val="0"/>
              <w:snapToGrid w:val="0"/>
              <w:spacing w:line="360" w:lineRule="exact"/>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2,504,404.84</w:t>
            </w:r>
          </w:p>
        </w:tc>
        <w:tc>
          <w:tcPr>
            <w:tcW w:w="1842" w:type="dxa"/>
          </w:tcPr>
          <w:p w14:paraId="1AE6EBD3" w14:textId="77777777" w:rsidR="00DA315C" w:rsidRDefault="00CC2E83">
            <w:pPr>
              <w:adjustRightInd w:val="0"/>
              <w:snapToGrid w:val="0"/>
              <w:spacing w:line="360" w:lineRule="exact"/>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675,595.16</w:t>
            </w:r>
          </w:p>
        </w:tc>
        <w:tc>
          <w:tcPr>
            <w:tcW w:w="1397" w:type="dxa"/>
            <w:vAlign w:val="center"/>
          </w:tcPr>
          <w:p w14:paraId="27F1B421" w14:textId="77777777" w:rsidR="00DA315C" w:rsidRDefault="00DA315C">
            <w:pPr>
              <w:adjustRightInd w:val="0"/>
              <w:snapToGrid w:val="0"/>
              <w:spacing w:line="360" w:lineRule="exact"/>
              <w:jc w:val="right"/>
              <w:rPr>
                <w:color w:val="000000" w:themeColor="text1"/>
                <w:kern w:val="0"/>
                <w:sz w:val="18"/>
              </w:rPr>
            </w:pPr>
          </w:p>
        </w:tc>
      </w:tr>
    </w:tbl>
    <w:p w14:paraId="29FD886A" w14:textId="77777777" w:rsidR="00DA315C" w:rsidRDefault="00CC2E83" w:rsidP="001B75F9">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注：基金管理人运用固有资金投资本基金相关的费用符合基金招募说明书和相关公告的规定。</w:t>
      </w:r>
    </w:p>
    <w:p w14:paraId="7E67016D"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w:t>
      </w:r>
      <w:r>
        <w:rPr>
          <w:rFonts w:asciiTheme="minorEastAsia" w:eastAsiaTheme="minorEastAsia" w:hAnsiTheme="minorEastAsia" w:cs="Arial"/>
          <w:color w:val="000000" w:themeColor="text1"/>
          <w:kern w:val="0"/>
          <w:sz w:val="24"/>
          <w:szCs w:val="24"/>
        </w:rPr>
        <w:t>备查文件目录</w:t>
      </w:r>
    </w:p>
    <w:p w14:paraId="50AEB845" w14:textId="77777777" w:rsidR="00DA315C" w:rsidRDefault="00CC2E83" w:rsidP="009E6F6D">
      <w:pPr>
        <w:autoSpaceDE w:val="0"/>
        <w:autoSpaceDN w:val="0"/>
        <w:adjustRightInd w:val="0"/>
        <w:spacing w:beforeLines="50" w:before="120" w:line="360" w:lineRule="auto"/>
        <w:jc w:val="left"/>
        <w:rPr>
          <w:rFonts w:asciiTheme="minorEastAsia" w:eastAsiaTheme="minorEastAsia" w:hAnsiTheme="minorEastAsia"/>
          <w:b/>
          <w:bCs/>
          <w:color w:val="000000" w:themeColor="text1"/>
          <w:kern w:val="0"/>
          <w:sz w:val="24"/>
        </w:rPr>
      </w:pPr>
      <w:r w:rsidRPr="00922237">
        <w:rPr>
          <w:rFonts w:eastAsiaTheme="minorEastAsia"/>
          <w:b/>
          <w:color w:val="000000" w:themeColor="text1"/>
          <w:kern w:val="0"/>
          <w:sz w:val="24"/>
        </w:rPr>
        <w:t>8</w:t>
      </w:r>
      <w:r w:rsidRPr="00922237">
        <w:rPr>
          <w:rFonts w:eastAsiaTheme="minorEastAsia"/>
          <w:b/>
          <w:bCs/>
          <w:color w:val="000000" w:themeColor="text1"/>
          <w:kern w:val="0"/>
          <w:sz w:val="24"/>
        </w:rPr>
        <w:t>.1</w:t>
      </w:r>
      <w:r>
        <w:rPr>
          <w:rFonts w:asciiTheme="minorEastAsia" w:eastAsiaTheme="minorEastAsia" w:hAnsiTheme="minorEastAsia" w:hint="eastAsia"/>
          <w:b/>
          <w:bCs/>
          <w:color w:val="000000" w:themeColor="text1"/>
          <w:kern w:val="0"/>
          <w:sz w:val="24"/>
        </w:rPr>
        <w:t>备查文件目录</w:t>
      </w:r>
    </w:p>
    <w:p w14:paraId="59E00AB4"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一</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中国证监会批准本基金募集的文件</w:t>
      </w:r>
    </w:p>
    <w:p w14:paraId="03077ADA"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二</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摩根天添盈货币市场基金基金合同</w:t>
      </w:r>
    </w:p>
    <w:p w14:paraId="5100C068"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三</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摩根天添盈货币市场基金托管协议</w:t>
      </w:r>
    </w:p>
    <w:p w14:paraId="24E22D01"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四</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法律意见书</w:t>
      </w:r>
    </w:p>
    <w:p w14:paraId="13E533F7"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五</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基金管理人业务资格批件、营业执照</w:t>
      </w:r>
    </w:p>
    <w:p w14:paraId="5B0751D6"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w:t>
      </w:r>
      <w:r>
        <w:rPr>
          <w:rFonts w:asciiTheme="minorEastAsia" w:eastAsiaTheme="minorEastAsia" w:hAnsiTheme="minorEastAsia" w:hint="eastAsia"/>
          <w:color w:val="000000" w:themeColor="text1"/>
          <w:sz w:val="24"/>
        </w:rPr>
        <w:t>六</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基金托管人业务资格批件、营业执照</w:t>
      </w:r>
    </w:p>
    <w:p w14:paraId="42DB670B" w14:textId="77777777" w:rsidR="00C83121" w:rsidRDefault="004763DD">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七</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摩根基金管理（中国）有限公司开放式基金业务规则</w:t>
      </w:r>
    </w:p>
    <w:p w14:paraId="760CE4D6"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(八) 中国证监会要求的其他文件</w:t>
      </w:r>
    </w:p>
    <w:p w14:paraId="67B3EFC2" w14:textId="77777777" w:rsidR="00DA315C" w:rsidRPr="00922237" w:rsidRDefault="00CC2E83" w:rsidP="00922237">
      <w:pPr>
        <w:autoSpaceDE w:val="0"/>
        <w:autoSpaceDN w:val="0"/>
        <w:adjustRightInd w:val="0"/>
        <w:spacing w:beforeLines="100" w:before="240" w:line="360" w:lineRule="auto"/>
        <w:jc w:val="left"/>
        <w:rPr>
          <w:rFonts w:eastAsiaTheme="minorEastAsia"/>
          <w:b/>
          <w:color w:val="000000" w:themeColor="text1"/>
          <w:kern w:val="0"/>
          <w:sz w:val="24"/>
        </w:rPr>
      </w:pPr>
      <w:r w:rsidRPr="00922237">
        <w:rPr>
          <w:rFonts w:eastAsiaTheme="minorEastAsia" w:hint="eastAsia"/>
          <w:b/>
          <w:color w:val="000000" w:themeColor="text1"/>
          <w:kern w:val="0"/>
          <w:sz w:val="24"/>
        </w:rPr>
        <w:t>8</w:t>
      </w:r>
      <w:r w:rsidRPr="00922237">
        <w:rPr>
          <w:rFonts w:eastAsiaTheme="minorEastAsia"/>
          <w:b/>
          <w:color w:val="000000" w:themeColor="text1"/>
          <w:kern w:val="0"/>
          <w:sz w:val="24"/>
        </w:rPr>
        <w:t>.2</w:t>
      </w:r>
      <w:r w:rsidRPr="00922237">
        <w:rPr>
          <w:rFonts w:eastAsiaTheme="minorEastAsia" w:hint="eastAsia"/>
          <w:b/>
          <w:color w:val="000000" w:themeColor="text1"/>
          <w:kern w:val="0"/>
          <w:sz w:val="24"/>
        </w:rPr>
        <w:t>存放地点</w:t>
      </w:r>
    </w:p>
    <w:p w14:paraId="7D01D5CA"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基金管理人或基金托管人处。</w:t>
      </w:r>
    </w:p>
    <w:p w14:paraId="4A73B14D" w14:textId="77777777" w:rsidR="00DA315C" w:rsidRPr="00922237" w:rsidRDefault="00CC2E83" w:rsidP="00922237">
      <w:pPr>
        <w:autoSpaceDE w:val="0"/>
        <w:autoSpaceDN w:val="0"/>
        <w:adjustRightInd w:val="0"/>
        <w:spacing w:beforeLines="100" w:before="240" w:line="360" w:lineRule="auto"/>
        <w:jc w:val="left"/>
        <w:rPr>
          <w:rFonts w:eastAsiaTheme="minorEastAsia"/>
          <w:b/>
          <w:color w:val="000000" w:themeColor="text1"/>
          <w:kern w:val="0"/>
          <w:sz w:val="24"/>
        </w:rPr>
      </w:pPr>
      <w:r w:rsidRPr="00922237">
        <w:rPr>
          <w:rFonts w:eastAsiaTheme="minorEastAsia" w:hint="eastAsia"/>
          <w:b/>
          <w:color w:val="000000" w:themeColor="text1"/>
          <w:kern w:val="0"/>
          <w:sz w:val="24"/>
        </w:rPr>
        <w:t>8</w:t>
      </w:r>
      <w:r w:rsidRPr="00922237">
        <w:rPr>
          <w:rFonts w:eastAsiaTheme="minorEastAsia"/>
          <w:b/>
          <w:color w:val="000000" w:themeColor="text1"/>
          <w:kern w:val="0"/>
          <w:sz w:val="24"/>
        </w:rPr>
        <w:t>.3</w:t>
      </w:r>
      <w:r w:rsidRPr="00922237">
        <w:rPr>
          <w:rFonts w:eastAsiaTheme="minorEastAsia" w:hint="eastAsia"/>
          <w:b/>
          <w:color w:val="000000" w:themeColor="text1"/>
          <w:kern w:val="0"/>
          <w:sz w:val="24"/>
        </w:rPr>
        <w:t>查阅方式</w:t>
      </w:r>
    </w:p>
    <w:p w14:paraId="5365A7D2"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投资者可在营业时间免费查阅，也可按工本费购买复印件。</w:t>
      </w:r>
    </w:p>
    <w:p w14:paraId="7DE3FCC0" w14:textId="77777777" w:rsidR="00922237" w:rsidRDefault="00922237">
      <w:pPr>
        <w:spacing w:line="360" w:lineRule="auto"/>
        <w:jc w:val="right"/>
        <w:rPr>
          <w:rFonts w:asciiTheme="minorEastAsia" w:eastAsiaTheme="minorEastAsia" w:hAnsiTheme="minorEastAsia"/>
          <w:b/>
          <w:bCs/>
          <w:color w:val="000000" w:themeColor="text1"/>
          <w:sz w:val="24"/>
        </w:rPr>
      </w:pPr>
    </w:p>
    <w:p w14:paraId="2E644D4F" w14:textId="77777777" w:rsidR="00922237" w:rsidRDefault="00922237">
      <w:pPr>
        <w:spacing w:line="360" w:lineRule="auto"/>
        <w:jc w:val="right"/>
        <w:rPr>
          <w:rFonts w:asciiTheme="minorEastAsia" w:eastAsiaTheme="minorEastAsia" w:hAnsiTheme="minorEastAsia"/>
          <w:b/>
          <w:bCs/>
          <w:color w:val="000000" w:themeColor="text1"/>
          <w:sz w:val="24"/>
        </w:rPr>
      </w:pPr>
    </w:p>
    <w:p w14:paraId="58F69768" w14:textId="77777777" w:rsidR="00922237" w:rsidRDefault="00922237">
      <w:pPr>
        <w:spacing w:line="360" w:lineRule="auto"/>
        <w:jc w:val="right"/>
        <w:rPr>
          <w:rFonts w:asciiTheme="minorEastAsia" w:eastAsiaTheme="minorEastAsia" w:hAnsiTheme="minorEastAsia"/>
          <w:b/>
          <w:bCs/>
          <w:color w:val="000000" w:themeColor="text1"/>
          <w:sz w:val="24"/>
        </w:rPr>
      </w:pPr>
    </w:p>
    <w:p w14:paraId="071B441B" w14:textId="77777777" w:rsidR="00DA315C" w:rsidRDefault="00CC2E83">
      <w:pPr>
        <w:spacing w:line="360" w:lineRule="auto"/>
        <w:jc w:val="right"/>
        <w:rPr>
          <w:rFonts w:asciiTheme="minorEastAsia" w:eastAsiaTheme="minorEastAsia" w:hAnsiTheme="minorEastAsia"/>
          <w:b/>
          <w:bCs/>
          <w:color w:val="000000" w:themeColor="text1"/>
          <w:sz w:val="24"/>
        </w:rPr>
      </w:pPr>
      <w:r>
        <w:rPr>
          <w:rFonts w:asciiTheme="minorEastAsia" w:eastAsiaTheme="minorEastAsia" w:hAnsiTheme="minorEastAsia"/>
          <w:b/>
          <w:bCs/>
          <w:color w:val="000000" w:themeColor="text1"/>
          <w:sz w:val="24"/>
        </w:rPr>
        <w:t>摩根基金管理（中国）有限公司</w:t>
      </w:r>
    </w:p>
    <w:p w14:paraId="3C1072AF" w14:textId="77777777" w:rsidR="00DA315C" w:rsidRDefault="00CC2E83">
      <w:pPr>
        <w:spacing w:line="360" w:lineRule="auto"/>
        <w:jc w:val="right"/>
        <w:rPr>
          <w:rFonts w:asciiTheme="minorEastAsia" w:eastAsiaTheme="minorEastAsia" w:hAnsiTheme="minorEastAsia"/>
          <w:b/>
          <w:bCs/>
          <w:color w:val="000000" w:themeColor="text1"/>
          <w:sz w:val="24"/>
        </w:rPr>
      </w:pPr>
      <w:r>
        <w:rPr>
          <w:rFonts w:asciiTheme="minorEastAsia" w:eastAsiaTheme="minorEastAsia" w:hAnsiTheme="minorEastAsia"/>
          <w:b/>
          <w:bCs/>
          <w:color w:val="000000" w:themeColor="text1"/>
          <w:sz w:val="24"/>
        </w:rPr>
        <w:t>二〇二四年七月十九日</w:t>
      </w:r>
    </w:p>
    <w:sectPr w:rsidR="00DA315C">
      <w:pgSz w:w="11926" w:h="15840"/>
      <w:pgMar w:top="1420" w:right="1420" w:bottom="852" w:left="142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9F21" w14:textId="77777777" w:rsidR="007C4DC9" w:rsidRDefault="007C4DC9">
      <w:r>
        <w:separator/>
      </w:r>
    </w:p>
  </w:endnote>
  <w:endnote w:type="continuationSeparator" w:id="0">
    <w:p w14:paraId="374D627D" w14:textId="77777777" w:rsidR="007C4DC9" w:rsidRDefault="007C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2630" w14:textId="77777777" w:rsidR="007753E9" w:rsidRPr="00453C41" w:rsidRDefault="007753E9" w:rsidP="00453C41">
    <w:pPr>
      <w:pStyle w:val="ab"/>
      <w:jc w:val="center"/>
      <w:rPr>
        <w:caps/>
        <w:color w:val="000000" w:themeColor="text1"/>
      </w:rPr>
    </w:pPr>
    <w:r w:rsidRPr="00453C41">
      <w:rPr>
        <w:caps/>
        <w:color w:val="000000" w:themeColor="text1"/>
      </w:rPr>
      <w:fldChar w:fldCharType="begin"/>
    </w:r>
    <w:r w:rsidRPr="00453C41">
      <w:rPr>
        <w:caps/>
        <w:color w:val="000000" w:themeColor="text1"/>
      </w:rPr>
      <w:instrText>PAGE   \* MERGEFORMAT</w:instrText>
    </w:r>
    <w:r w:rsidRPr="00453C41">
      <w:rPr>
        <w:caps/>
        <w:color w:val="000000" w:themeColor="text1"/>
      </w:rPr>
      <w:fldChar w:fldCharType="separate"/>
    </w:r>
    <w:r w:rsidRPr="00EC08E7">
      <w:rPr>
        <w:caps/>
        <w:noProof/>
        <w:color w:val="000000" w:themeColor="text1"/>
        <w:lang w:val="zh-CN"/>
      </w:rPr>
      <w:t>22</w:t>
    </w:r>
    <w:r w:rsidRPr="00453C41">
      <w:rPr>
        <w:cap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33EC" w14:textId="77777777" w:rsidR="007C4DC9" w:rsidRDefault="007C4DC9">
      <w:r>
        <w:separator/>
      </w:r>
    </w:p>
  </w:footnote>
  <w:footnote w:type="continuationSeparator" w:id="0">
    <w:p w14:paraId="47D7532D" w14:textId="77777777" w:rsidR="007C4DC9" w:rsidRDefault="007C4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5164" w14:textId="77777777" w:rsidR="007753E9" w:rsidRDefault="007753E9">
    <w:pPr>
      <w:pStyle w:val="ad"/>
      <w:pBdr>
        <w:bottom w:val="single" w:sz="6" w:space="0" w:color="auto"/>
      </w:pBdr>
      <w:jc w:val="right"/>
    </w:pPr>
    <w:r>
      <w:rPr>
        <w:sz w:val="21"/>
        <w:szCs w:val="21"/>
      </w:rPr>
      <w:t>摩根</w:t>
    </w:r>
    <w:proofErr w:type="gramStart"/>
    <w:r>
      <w:rPr>
        <w:sz w:val="21"/>
        <w:szCs w:val="21"/>
      </w:rPr>
      <w:t>天添盈货币市场</w:t>
    </w:r>
    <w:proofErr w:type="gramEnd"/>
    <w:r>
      <w:rPr>
        <w:sz w:val="21"/>
        <w:szCs w:val="21"/>
      </w:rPr>
      <w:t>基金</w:t>
    </w:r>
    <w:r>
      <w:rPr>
        <w:sz w:val="21"/>
        <w:szCs w:val="21"/>
      </w:rPr>
      <w:t>2024</w:t>
    </w:r>
    <w:r>
      <w:rPr>
        <w:sz w:val="21"/>
        <w:szCs w:val="21"/>
      </w:rPr>
      <w:t>年第</w:t>
    </w:r>
    <w:r>
      <w:rPr>
        <w:sz w:val="21"/>
        <w:szCs w:val="21"/>
      </w:rPr>
      <w:t>2</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7283"/>
    <w:rsid w:val="000022B9"/>
    <w:rsid w:val="000028CE"/>
    <w:rsid w:val="00004DE7"/>
    <w:rsid w:val="00005433"/>
    <w:rsid w:val="0001552D"/>
    <w:rsid w:val="0001566B"/>
    <w:rsid w:val="0002085F"/>
    <w:rsid w:val="00025C5D"/>
    <w:rsid w:val="00035596"/>
    <w:rsid w:val="000417E0"/>
    <w:rsid w:val="0004414C"/>
    <w:rsid w:val="00044724"/>
    <w:rsid w:val="00050540"/>
    <w:rsid w:val="000515FA"/>
    <w:rsid w:val="00052CA4"/>
    <w:rsid w:val="00054470"/>
    <w:rsid w:val="0005518A"/>
    <w:rsid w:val="000570EB"/>
    <w:rsid w:val="00057115"/>
    <w:rsid w:val="00057D26"/>
    <w:rsid w:val="00063BA4"/>
    <w:rsid w:val="0006697D"/>
    <w:rsid w:val="00070092"/>
    <w:rsid w:val="00070319"/>
    <w:rsid w:val="0007109E"/>
    <w:rsid w:val="00072602"/>
    <w:rsid w:val="00075BBB"/>
    <w:rsid w:val="00075CA2"/>
    <w:rsid w:val="00076834"/>
    <w:rsid w:val="0007770D"/>
    <w:rsid w:val="00087DFE"/>
    <w:rsid w:val="000A0C86"/>
    <w:rsid w:val="000A225E"/>
    <w:rsid w:val="000A39AB"/>
    <w:rsid w:val="000A466F"/>
    <w:rsid w:val="000B2044"/>
    <w:rsid w:val="000B2266"/>
    <w:rsid w:val="000C469F"/>
    <w:rsid w:val="000D0F44"/>
    <w:rsid w:val="000D6294"/>
    <w:rsid w:val="000E0F6E"/>
    <w:rsid w:val="000E5D62"/>
    <w:rsid w:val="000E6158"/>
    <w:rsid w:val="000F3C21"/>
    <w:rsid w:val="000F4826"/>
    <w:rsid w:val="000F5947"/>
    <w:rsid w:val="00101278"/>
    <w:rsid w:val="00102307"/>
    <w:rsid w:val="001038EF"/>
    <w:rsid w:val="00103B93"/>
    <w:rsid w:val="001074D6"/>
    <w:rsid w:val="00113777"/>
    <w:rsid w:val="00114C97"/>
    <w:rsid w:val="00117063"/>
    <w:rsid w:val="00123E37"/>
    <w:rsid w:val="001302DB"/>
    <w:rsid w:val="00136502"/>
    <w:rsid w:val="00157B55"/>
    <w:rsid w:val="00162222"/>
    <w:rsid w:val="001635C7"/>
    <w:rsid w:val="00166734"/>
    <w:rsid w:val="001669F2"/>
    <w:rsid w:val="001705A7"/>
    <w:rsid w:val="0017387C"/>
    <w:rsid w:val="001822D3"/>
    <w:rsid w:val="0018401C"/>
    <w:rsid w:val="00185622"/>
    <w:rsid w:val="00186667"/>
    <w:rsid w:val="00191B28"/>
    <w:rsid w:val="00193BCF"/>
    <w:rsid w:val="00195C6F"/>
    <w:rsid w:val="00196812"/>
    <w:rsid w:val="00197ED0"/>
    <w:rsid w:val="001A2524"/>
    <w:rsid w:val="001A784C"/>
    <w:rsid w:val="001B42BE"/>
    <w:rsid w:val="001B43B0"/>
    <w:rsid w:val="001B72D6"/>
    <w:rsid w:val="001B75F9"/>
    <w:rsid w:val="001B7CC6"/>
    <w:rsid w:val="001C5D80"/>
    <w:rsid w:val="001D0D4C"/>
    <w:rsid w:val="001D0DB0"/>
    <w:rsid w:val="001D3FAC"/>
    <w:rsid w:val="001D65C8"/>
    <w:rsid w:val="001D6ECD"/>
    <w:rsid w:val="001D75D9"/>
    <w:rsid w:val="001E0DDA"/>
    <w:rsid w:val="001F0286"/>
    <w:rsid w:val="0020640F"/>
    <w:rsid w:val="0021251E"/>
    <w:rsid w:val="00220437"/>
    <w:rsid w:val="00222C78"/>
    <w:rsid w:val="00232095"/>
    <w:rsid w:val="00233014"/>
    <w:rsid w:val="002331D9"/>
    <w:rsid w:val="0024424F"/>
    <w:rsid w:val="002507FE"/>
    <w:rsid w:val="002525C7"/>
    <w:rsid w:val="002611C3"/>
    <w:rsid w:val="002622E8"/>
    <w:rsid w:val="00267283"/>
    <w:rsid w:val="0027189B"/>
    <w:rsid w:val="00274FAC"/>
    <w:rsid w:val="00275552"/>
    <w:rsid w:val="002A4B7F"/>
    <w:rsid w:val="002B45A4"/>
    <w:rsid w:val="002C5792"/>
    <w:rsid w:val="002D3ADF"/>
    <w:rsid w:val="002E040C"/>
    <w:rsid w:val="002E0F4A"/>
    <w:rsid w:val="002F0E9D"/>
    <w:rsid w:val="002F1496"/>
    <w:rsid w:val="002F6539"/>
    <w:rsid w:val="00307062"/>
    <w:rsid w:val="003111AC"/>
    <w:rsid w:val="00311ADA"/>
    <w:rsid w:val="00311AEB"/>
    <w:rsid w:val="00320893"/>
    <w:rsid w:val="00322B07"/>
    <w:rsid w:val="0032323A"/>
    <w:rsid w:val="00323377"/>
    <w:rsid w:val="00327FB0"/>
    <w:rsid w:val="0033599F"/>
    <w:rsid w:val="00340292"/>
    <w:rsid w:val="00340456"/>
    <w:rsid w:val="00340C3A"/>
    <w:rsid w:val="00341CFF"/>
    <w:rsid w:val="00343648"/>
    <w:rsid w:val="00343AF0"/>
    <w:rsid w:val="00346359"/>
    <w:rsid w:val="00346B82"/>
    <w:rsid w:val="0035022C"/>
    <w:rsid w:val="0035215C"/>
    <w:rsid w:val="00362E2A"/>
    <w:rsid w:val="00371E26"/>
    <w:rsid w:val="00373AAB"/>
    <w:rsid w:val="0038256C"/>
    <w:rsid w:val="00383631"/>
    <w:rsid w:val="00384942"/>
    <w:rsid w:val="00394455"/>
    <w:rsid w:val="00394BC1"/>
    <w:rsid w:val="003A0EC1"/>
    <w:rsid w:val="003A1E1E"/>
    <w:rsid w:val="003A2922"/>
    <w:rsid w:val="003B36B4"/>
    <w:rsid w:val="003B6DC6"/>
    <w:rsid w:val="003C0E8C"/>
    <w:rsid w:val="003C1137"/>
    <w:rsid w:val="003C3FA7"/>
    <w:rsid w:val="003C495A"/>
    <w:rsid w:val="003D1ECF"/>
    <w:rsid w:val="003D21F4"/>
    <w:rsid w:val="003D6A07"/>
    <w:rsid w:val="003E14FE"/>
    <w:rsid w:val="003E565B"/>
    <w:rsid w:val="003F43EB"/>
    <w:rsid w:val="003F5616"/>
    <w:rsid w:val="00402654"/>
    <w:rsid w:val="00403ED2"/>
    <w:rsid w:val="00413748"/>
    <w:rsid w:val="004250C5"/>
    <w:rsid w:val="00425438"/>
    <w:rsid w:val="00433C1E"/>
    <w:rsid w:val="004369B0"/>
    <w:rsid w:val="00440828"/>
    <w:rsid w:val="004417A1"/>
    <w:rsid w:val="0044257C"/>
    <w:rsid w:val="00446474"/>
    <w:rsid w:val="00446F8F"/>
    <w:rsid w:val="004527E3"/>
    <w:rsid w:val="00452D31"/>
    <w:rsid w:val="00453C41"/>
    <w:rsid w:val="00455AA7"/>
    <w:rsid w:val="00460000"/>
    <w:rsid w:val="004600C4"/>
    <w:rsid w:val="00461A70"/>
    <w:rsid w:val="004664C1"/>
    <w:rsid w:val="004702DF"/>
    <w:rsid w:val="00470F55"/>
    <w:rsid w:val="00471444"/>
    <w:rsid w:val="00473E10"/>
    <w:rsid w:val="00473EC9"/>
    <w:rsid w:val="00474563"/>
    <w:rsid w:val="00474896"/>
    <w:rsid w:val="004763DD"/>
    <w:rsid w:val="004771B9"/>
    <w:rsid w:val="0047722E"/>
    <w:rsid w:val="0048754A"/>
    <w:rsid w:val="004950A3"/>
    <w:rsid w:val="0049568D"/>
    <w:rsid w:val="00496B2E"/>
    <w:rsid w:val="004A0C6B"/>
    <w:rsid w:val="004A2432"/>
    <w:rsid w:val="004A2C47"/>
    <w:rsid w:val="004A357E"/>
    <w:rsid w:val="004A40AA"/>
    <w:rsid w:val="004A46A0"/>
    <w:rsid w:val="004A5B68"/>
    <w:rsid w:val="004B1C09"/>
    <w:rsid w:val="004C5B7C"/>
    <w:rsid w:val="004D22E1"/>
    <w:rsid w:val="004D51CC"/>
    <w:rsid w:val="004D72C7"/>
    <w:rsid w:val="004E041A"/>
    <w:rsid w:val="004E3452"/>
    <w:rsid w:val="004E4E63"/>
    <w:rsid w:val="004F02D6"/>
    <w:rsid w:val="00500487"/>
    <w:rsid w:val="005065A0"/>
    <w:rsid w:val="00506EF6"/>
    <w:rsid w:val="005141F5"/>
    <w:rsid w:val="0051505A"/>
    <w:rsid w:val="00515166"/>
    <w:rsid w:val="0051578D"/>
    <w:rsid w:val="005212AE"/>
    <w:rsid w:val="00525B26"/>
    <w:rsid w:val="00532457"/>
    <w:rsid w:val="00533490"/>
    <w:rsid w:val="00543561"/>
    <w:rsid w:val="0054464B"/>
    <w:rsid w:val="00546747"/>
    <w:rsid w:val="0054785C"/>
    <w:rsid w:val="00551447"/>
    <w:rsid w:val="00555883"/>
    <w:rsid w:val="00560F94"/>
    <w:rsid w:val="00562319"/>
    <w:rsid w:val="005633AD"/>
    <w:rsid w:val="00564C24"/>
    <w:rsid w:val="00570F8C"/>
    <w:rsid w:val="00575970"/>
    <w:rsid w:val="00582960"/>
    <w:rsid w:val="0059170A"/>
    <w:rsid w:val="00591BF0"/>
    <w:rsid w:val="00592D0A"/>
    <w:rsid w:val="00594DCA"/>
    <w:rsid w:val="00595285"/>
    <w:rsid w:val="005A60B7"/>
    <w:rsid w:val="005B238D"/>
    <w:rsid w:val="005B527B"/>
    <w:rsid w:val="005C251D"/>
    <w:rsid w:val="005D1BAF"/>
    <w:rsid w:val="005D596C"/>
    <w:rsid w:val="005D6807"/>
    <w:rsid w:val="005E05CC"/>
    <w:rsid w:val="005E2087"/>
    <w:rsid w:val="005E2D8C"/>
    <w:rsid w:val="005E6FA5"/>
    <w:rsid w:val="005F17EC"/>
    <w:rsid w:val="005F41D2"/>
    <w:rsid w:val="005F668B"/>
    <w:rsid w:val="005F6B28"/>
    <w:rsid w:val="00607204"/>
    <w:rsid w:val="00613327"/>
    <w:rsid w:val="00614726"/>
    <w:rsid w:val="00614961"/>
    <w:rsid w:val="006214E4"/>
    <w:rsid w:val="006254A5"/>
    <w:rsid w:val="0062678E"/>
    <w:rsid w:val="006317E8"/>
    <w:rsid w:val="00632417"/>
    <w:rsid w:val="0063302E"/>
    <w:rsid w:val="00633177"/>
    <w:rsid w:val="006331F2"/>
    <w:rsid w:val="00636261"/>
    <w:rsid w:val="00636B17"/>
    <w:rsid w:val="0064191E"/>
    <w:rsid w:val="006452E9"/>
    <w:rsid w:val="00664834"/>
    <w:rsid w:val="00672BEF"/>
    <w:rsid w:val="00673BA5"/>
    <w:rsid w:val="006911A1"/>
    <w:rsid w:val="00694FDC"/>
    <w:rsid w:val="006A1E40"/>
    <w:rsid w:val="006A2D00"/>
    <w:rsid w:val="006B4965"/>
    <w:rsid w:val="006B4C67"/>
    <w:rsid w:val="006B56E1"/>
    <w:rsid w:val="006B69FA"/>
    <w:rsid w:val="006D27DD"/>
    <w:rsid w:val="006D4647"/>
    <w:rsid w:val="006D4C22"/>
    <w:rsid w:val="006E4EB5"/>
    <w:rsid w:val="006F1C55"/>
    <w:rsid w:val="006F3CEE"/>
    <w:rsid w:val="006F622C"/>
    <w:rsid w:val="00707CB2"/>
    <w:rsid w:val="00710487"/>
    <w:rsid w:val="00714B3D"/>
    <w:rsid w:val="00714FD1"/>
    <w:rsid w:val="007254F2"/>
    <w:rsid w:val="007277D1"/>
    <w:rsid w:val="00727EA0"/>
    <w:rsid w:val="0073105A"/>
    <w:rsid w:val="00734B8E"/>
    <w:rsid w:val="00737060"/>
    <w:rsid w:val="00741288"/>
    <w:rsid w:val="0074455F"/>
    <w:rsid w:val="007521F9"/>
    <w:rsid w:val="00756489"/>
    <w:rsid w:val="00756EA2"/>
    <w:rsid w:val="00757F37"/>
    <w:rsid w:val="007600BC"/>
    <w:rsid w:val="00762326"/>
    <w:rsid w:val="00762E87"/>
    <w:rsid w:val="00764CF7"/>
    <w:rsid w:val="0077198B"/>
    <w:rsid w:val="007723FD"/>
    <w:rsid w:val="00772687"/>
    <w:rsid w:val="00774E1E"/>
    <w:rsid w:val="007753E9"/>
    <w:rsid w:val="00780252"/>
    <w:rsid w:val="007806BE"/>
    <w:rsid w:val="00782061"/>
    <w:rsid w:val="00785897"/>
    <w:rsid w:val="00785C32"/>
    <w:rsid w:val="007A1708"/>
    <w:rsid w:val="007B082A"/>
    <w:rsid w:val="007B1C3E"/>
    <w:rsid w:val="007C42E5"/>
    <w:rsid w:val="007C4DC9"/>
    <w:rsid w:val="007E0C02"/>
    <w:rsid w:val="007E5ADE"/>
    <w:rsid w:val="007F1DE3"/>
    <w:rsid w:val="007F7BD7"/>
    <w:rsid w:val="008056FA"/>
    <w:rsid w:val="008115B6"/>
    <w:rsid w:val="00813897"/>
    <w:rsid w:val="00814461"/>
    <w:rsid w:val="00824D84"/>
    <w:rsid w:val="00825EA5"/>
    <w:rsid w:val="00827710"/>
    <w:rsid w:val="00830EA7"/>
    <w:rsid w:val="00833555"/>
    <w:rsid w:val="008347B3"/>
    <w:rsid w:val="00834D9F"/>
    <w:rsid w:val="00835BDD"/>
    <w:rsid w:val="008379E2"/>
    <w:rsid w:val="00852119"/>
    <w:rsid w:val="0085498E"/>
    <w:rsid w:val="0086245E"/>
    <w:rsid w:val="00877329"/>
    <w:rsid w:val="00880EE6"/>
    <w:rsid w:val="00881BFD"/>
    <w:rsid w:val="00882323"/>
    <w:rsid w:val="00893021"/>
    <w:rsid w:val="0089560B"/>
    <w:rsid w:val="008B21BE"/>
    <w:rsid w:val="008B23BD"/>
    <w:rsid w:val="008C579A"/>
    <w:rsid w:val="008D0A39"/>
    <w:rsid w:val="008D55F2"/>
    <w:rsid w:val="008E3053"/>
    <w:rsid w:val="008E4638"/>
    <w:rsid w:val="008E6CBC"/>
    <w:rsid w:val="008E71D2"/>
    <w:rsid w:val="008F44F3"/>
    <w:rsid w:val="009004F7"/>
    <w:rsid w:val="009018CC"/>
    <w:rsid w:val="00902E3F"/>
    <w:rsid w:val="00903E98"/>
    <w:rsid w:val="009043CD"/>
    <w:rsid w:val="00904D59"/>
    <w:rsid w:val="00906C9B"/>
    <w:rsid w:val="00910FB5"/>
    <w:rsid w:val="00911C0E"/>
    <w:rsid w:val="009153D7"/>
    <w:rsid w:val="00922237"/>
    <w:rsid w:val="009223B5"/>
    <w:rsid w:val="00924D28"/>
    <w:rsid w:val="0094213C"/>
    <w:rsid w:val="0094236C"/>
    <w:rsid w:val="00943AFD"/>
    <w:rsid w:val="0096196D"/>
    <w:rsid w:val="00967986"/>
    <w:rsid w:val="0097021E"/>
    <w:rsid w:val="00971C19"/>
    <w:rsid w:val="00971D35"/>
    <w:rsid w:val="009720BF"/>
    <w:rsid w:val="00976A1A"/>
    <w:rsid w:val="00984794"/>
    <w:rsid w:val="0099296A"/>
    <w:rsid w:val="009965A5"/>
    <w:rsid w:val="009A56D7"/>
    <w:rsid w:val="009A755D"/>
    <w:rsid w:val="009B15FD"/>
    <w:rsid w:val="009B2693"/>
    <w:rsid w:val="009B3C3F"/>
    <w:rsid w:val="009B73A7"/>
    <w:rsid w:val="009B7B0C"/>
    <w:rsid w:val="009C1A42"/>
    <w:rsid w:val="009D067E"/>
    <w:rsid w:val="009D19C1"/>
    <w:rsid w:val="009D5CC1"/>
    <w:rsid w:val="009D60EB"/>
    <w:rsid w:val="009D74FC"/>
    <w:rsid w:val="009E07F4"/>
    <w:rsid w:val="009E2527"/>
    <w:rsid w:val="009E2BAA"/>
    <w:rsid w:val="009E3E0B"/>
    <w:rsid w:val="009E6F6D"/>
    <w:rsid w:val="009F14B0"/>
    <w:rsid w:val="009F480F"/>
    <w:rsid w:val="009F6951"/>
    <w:rsid w:val="00A01505"/>
    <w:rsid w:val="00A01DDC"/>
    <w:rsid w:val="00A1530B"/>
    <w:rsid w:val="00A16747"/>
    <w:rsid w:val="00A167A7"/>
    <w:rsid w:val="00A1694D"/>
    <w:rsid w:val="00A16D78"/>
    <w:rsid w:val="00A24DC0"/>
    <w:rsid w:val="00A42A96"/>
    <w:rsid w:val="00A455A0"/>
    <w:rsid w:val="00A45C1D"/>
    <w:rsid w:val="00A470D2"/>
    <w:rsid w:val="00A50D92"/>
    <w:rsid w:val="00A53D1D"/>
    <w:rsid w:val="00A62DD4"/>
    <w:rsid w:val="00A65A66"/>
    <w:rsid w:val="00A7219D"/>
    <w:rsid w:val="00A73E86"/>
    <w:rsid w:val="00A7669A"/>
    <w:rsid w:val="00A805BC"/>
    <w:rsid w:val="00A80F9F"/>
    <w:rsid w:val="00A81075"/>
    <w:rsid w:val="00A87550"/>
    <w:rsid w:val="00A95FA9"/>
    <w:rsid w:val="00AA34F4"/>
    <w:rsid w:val="00AA5B03"/>
    <w:rsid w:val="00AA68D4"/>
    <w:rsid w:val="00AB24CA"/>
    <w:rsid w:val="00AB373C"/>
    <w:rsid w:val="00AB5159"/>
    <w:rsid w:val="00AB5E54"/>
    <w:rsid w:val="00AC2B47"/>
    <w:rsid w:val="00AC3D9E"/>
    <w:rsid w:val="00AC6C3D"/>
    <w:rsid w:val="00AD1ADB"/>
    <w:rsid w:val="00AD2473"/>
    <w:rsid w:val="00AD2589"/>
    <w:rsid w:val="00AE17F1"/>
    <w:rsid w:val="00AE2FB9"/>
    <w:rsid w:val="00AE342F"/>
    <w:rsid w:val="00AE4F96"/>
    <w:rsid w:val="00AE6D9A"/>
    <w:rsid w:val="00AE7435"/>
    <w:rsid w:val="00AF2397"/>
    <w:rsid w:val="00AF27F9"/>
    <w:rsid w:val="00AF3D19"/>
    <w:rsid w:val="00B03B0B"/>
    <w:rsid w:val="00B040BC"/>
    <w:rsid w:val="00B0441A"/>
    <w:rsid w:val="00B044FC"/>
    <w:rsid w:val="00B06458"/>
    <w:rsid w:val="00B071B6"/>
    <w:rsid w:val="00B13B79"/>
    <w:rsid w:val="00B202AD"/>
    <w:rsid w:val="00B213AC"/>
    <w:rsid w:val="00B25119"/>
    <w:rsid w:val="00B27004"/>
    <w:rsid w:val="00B33F45"/>
    <w:rsid w:val="00B33FA5"/>
    <w:rsid w:val="00B415B8"/>
    <w:rsid w:val="00B420AC"/>
    <w:rsid w:val="00B4354A"/>
    <w:rsid w:val="00B54CC5"/>
    <w:rsid w:val="00B60E27"/>
    <w:rsid w:val="00B634E4"/>
    <w:rsid w:val="00B64D62"/>
    <w:rsid w:val="00B77C54"/>
    <w:rsid w:val="00B821DD"/>
    <w:rsid w:val="00B83944"/>
    <w:rsid w:val="00B94B49"/>
    <w:rsid w:val="00BA7AF1"/>
    <w:rsid w:val="00BB03CC"/>
    <w:rsid w:val="00BB252C"/>
    <w:rsid w:val="00BB5126"/>
    <w:rsid w:val="00BB7518"/>
    <w:rsid w:val="00BC0205"/>
    <w:rsid w:val="00BC14F5"/>
    <w:rsid w:val="00BC2146"/>
    <w:rsid w:val="00BD260A"/>
    <w:rsid w:val="00BD6918"/>
    <w:rsid w:val="00BE1FC8"/>
    <w:rsid w:val="00BE439F"/>
    <w:rsid w:val="00BE5584"/>
    <w:rsid w:val="00BF1111"/>
    <w:rsid w:val="00BF3886"/>
    <w:rsid w:val="00C009AF"/>
    <w:rsid w:val="00C2005E"/>
    <w:rsid w:val="00C205E4"/>
    <w:rsid w:val="00C2782D"/>
    <w:rsid w:val="00C3040F"/>
    <w:rsid w:val="00C31708"/>
    <w:rsid w:val="00C3368F"/>
    <w:rsid w:val="00C36C15"/>
    <w:rsid w:val="00C4213A"/>
    <w:rsid w:val="00C4371A"/>
    <w:rsid w:val="00C448EE"/>
    <w:rsid w:val="00C4568B"/>
    <w:rsid w:val="00C4627A"/>
    <w:rsid w:val="00C637D1"/>
    <w:rsid w:val="00C640B8"/>
    <w:rsid w:val="00C6722B"/>
    <w:rsid w:val="00C7033B"/>
    <w:rsid w:val="00C75870"/>
    <w:rsid w:val="00C83121"/>
    <w:rsid w:val="00C83157"/>
    <w:rsid w:val="00C927D5"/>
    <w:rsid w:val="00C93BC9"/>
    <w:rsid w:val="00CA0730"/>
    <w:rsid w:val="00CA1C04"/>
    <w:rsid w:val="00CA3808"/>
    <w:rsid w:val="00CA55E0"/>
    <w:rsid w:val="00CA592F"/>
    <w:rsid w:val="00CA5BEB"/>
    <w:rsid w:val="00CA65DD"/>
    <w:rsid w:val="00CB0E8A"/>
    <w:rsid w:val="00CB2E1E"/>
    <w:rsid w:val="00CC05B9"/>
    <w:rsid w:val="00CC2E83"/>
    <w:rsid w:val="00CC3F83"/>
    <w:rsid w:val="00CC57FC"/>
    <w:rsid w:val="00CC712D"/>
    <w:rsid w:val="00CC7DB0"/>
    <w:rsid w:val="00CD5F24"/>
    <w:rsid w:val="00CE0E18"/>
    <w:rsid w:val="00CE193A"/>
    <w:rsid w:val="00CE5ABB"/>
    <w:rsid w:val="00CE6A71"/>
    <w:rsid w:val="00CF6DF0"/>
    <w:rsid w:val="00CF7E28"/>
    <w:rsid w:val="00D02B35"/>
    <w:rsid w:val="00D06255"/>
    <w:rsid w:val="00D15D82"/>
    <w:rsid w:val="00D1705E"/>
    <w:rsid w:val="00D20E97"/>
    <w:rsid w:val="00D25602"/>
    <w:rsid w:val="00D27CF6"/>
    <w:rsid w:val="00D30BD3"/>
    <w:rsid w:val="00D33791"/>
    <w:rsid w:val="00D33BA8"/>
    <w:rsid w:val="00D33C76"/>
    <w:rsid w:val="00D364EB"/>
    <w:rsid w:val="00D36BE8"/>
    <w:rsid w:val="00D40363"/>
    <w:rsid w:val="00D451BC"/>
    <w:rsid w:val="00D51E96"/>
    <w:rsid w:val="00D568BB"/>
    <w:rsid w:val="00D63B9E"/>
    <w:rsid w:val="00D65D90"/>
    <w:rsid w:val="00D66016"/>
    <w:rsid w:val="00D769BA"/>
    <w:rsid w:val="00D8034F"/>
    <w:rsid w:val="00D81755"/>
    <w:rsid w:val="00D8617C"/>
    <w:rsid w:val="00D87D00"/>
    <w:rsid w:val="00D87E22"/>
    <w:rsid w:val="00D94E23"/>
    <w:rsid w:val="00DA1983"/>
    <w:rsid w:val="00DA2F1E"/>
    <w:rsid w:val="00DA315C"/>
    <w:rsid w:val="00DA5831"/>
    <w:rsid w:val="00DB2873"/>
    <w:rsid w:val="00DC4482"/>
    <w:rsid w:val="00DD5028"/>
    <w:rsid w:val="00DE0807"/>
    <w:rsid w:val="00DE6E8E"/>
    <w:rsid w:val="00DF1198"/>
    <w:rsid w:val="00E009CD"/>
    <w:rsid w:val="00E12082"/>
    <w:rsid w:val="00E17870"/>
    <w:rsid w:val="00E21589"/>
    <w:rsid w:val="00E24D9E"/>
    <w:rsid w:val="00E257C8"/>
    <w:rsid w:val="00E26581"/>
    <w:rsid w:val="00E2722E"/>
    <w:rsid w:val="00E31AA7"/>
    <w:rsid w:val="00E3447D"/>
    <w:rsid w:val="00E431CE"/>
    <w:rsid w:val="00E445F8"/>
    <w:rsid w:val="00E503E4"/>
    <w:rsid w:val="00E557D2"/>
    <w:rsid w:val="00E55E02"/>
    <w:rsid w:val="00E571C4"/>
    <w:rsid w:val="00E63B3D"/>
    <w:rsid w:val="00E64479"/>
    <w:rsid w:val="00E67D99"/>
    <w:rsid w:val="00E75556"/>
    <w:rsid w:val="00E75EFA"/>
    <w:rsid w:val="00E76F1F"/>
    <w:rsid w:val="00E80BE2"/>
    <w:rsid w:val="00E8309D"/>
    <w:rsid w:val="00E90A9C"/>
    <w:rsid w:val="00E93036"/>
    <w:rsid w:val="00E95356"/>
    <w:rsid w:val="00E966E5"/>
    <w:rsid w:val="00EA3D96"/>
    <w:rsid w:val="00EA6B69"/>
    <w:rsid w:val="00EA6B7B"/>
    <w:rsid w:val="00EB02DE"/>
    <w:rsid w:val="00EB19ED"/>
    <w:rsid w:val="00EB25E4"/>
    <w:rsid w:val="00EB3D8B"/>
    <w:rsid w:val="00EC08E7"/>
    <w:rsid w:val="00ED1B77"/>
    <w:rsid w:val="00ED5511"/>
    <w:rsid w:val="00ED57D1"/>
    <w:rsid w:val="00EE2837"/>
    <w:rsid w:val="00EF3B7C"/>
    <w:rsid w:val="00EF56FA"/>
    <w:rsid w:val="00EF5D52"/>
    <w:rsid w:val="00EF6216"/>
    <w:rsid w:val="00EF6E42"/>
    <w:rsid w:val="00F0613C"/>
    <w:rsid w:val="00F11244"/>
    <w:rsid w:val="00F1270F"/>
    <w:rsid w:val="00F14A7B"/>
    <w:rsid w:val="00F1658B"/>
    <w:rsid w:val="00F2540D"/>
    <w:rsid w:val="00F26602"/>
    <w:rsid w:val="00F31380"/>
    <w:rsid w:val="00F333BF"/>
    <w:rsid w:val="00F34499"/>
    <w:rsid w:val="00F406E3"/>
    <w:rsid w:val="00F40C82"/>
    <w:rsid w:val="00F42AD5"/>
    <w:rsid w:val="00F5114E"/>
    <w:rsid w:val="00F53B1A"/>
    <w:rsid w:val="00F54568"/>
    <w:rsid w:val="00F57249"/>
    <w:rsid w:val="00F62DE3"/>
    <w:rsid w:val="00F77131"/>
    <w:rsid w:val="00F82A7C"/>
    <w:rsid w:val="00F85D7E"/>
    <w:rsid w:val="00FA155C"/>
    <w:rsid w:val="00FA4C13"/>
    <w:rsid w:val="00FB0F77"/>
    <w:rsid w:val="00FB345F"/>
    <w:rsid w:val="00FB4DA5"/>
    <w:rsid w:val="00FB56E0"/>
    <w:rsid w:val="00FB6FB2"/>
    <w:rsid w:val="00FC57A1"/>
    <w:rsid w:val="00FC6D26"/>
    <w:rsid w:val="00FC703D"/>
    <w:rsid w:val="00FC77AA"/>
    <w:rsid w:val="00FD2A60"/>
    <w:rsid w:val="00FD3820"/>
    <w:rsid w:val="00FD3AE6"/>
    <w:rsid w:val="00FE6E6D"/>
    <w:rsid w:val="00FF0DAE"/>
    <w:rsid w:val="00FF3092"/>
    <w:rsid w:val="00FF4B06"/>
    <w:rsid w:val="0BD00F5F"/>
    <w:rsid w:val="430540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90D1650"/>
  <w15:docId w15:val="{A2A7A989-CD6E-491D-BDA3-2ABCE683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qFormat="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Document Map"/>
    <w:basedOn w:val="a"/>
    <w:semiHidden/>
    <w:qFormat/>
    <w:pPr>
      <w:shd w:val="clear" w:color="auto" w:fill="000080"/>
    </w:pPr>
  </w:style>
  <w:style w:type="paragraph" w:styleId="a5">
    <w:name w:val="Plain Text"/>
    <w:basedOn w:val="a"/>
    <w:link w:val="a6"/>
    <w:uiPriority w:val="99"/>
    <w:qFormat/>
    <w:rPr>
      <w:rFonts w:ascii="宋体" w:hAnsi="Courier New"/>
      <w:szCs w:val="21"/>
    </w:rPr>
  </w:style>
  <w:style w:type="paragraph" w:styleId="a7">
    <w:name w:val="Date"/>
    <w:basedOn w:val="a"/>
    <w:next w:val="a"/>
    <w:link w:val="a8"/>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qFormat/>
    <w:pPr>
      <w:snapToGrid w:val="0"/>
      <w:jc w:val="left"/>
    </w:pPr>
    <w:rPr>
      <w:sz w:val="18"/>
      <w:szCs w:val="18"/>
    </w:rPr>
  </w:style>
  <w:style w:type="paragraph" w:styleId="3">
    <w:name w:val="Body Text Indent 3"/>
    <w:basedOn w:val="a"/>
    <w:qFormat/>
    <w:pPr>
      <w:spacing w:after="120"/>
      <w:ind w:leftChars="200" w:left="420"/>
    </w:pPr>
    <w:rPr>
      <w:sz w:val="16"/>
      <w:szCs w:val="16"/>
    </w:rPr>
  </w:style>
  <w:style w:type="paragraph" w:styleId="af1">
    <w:name w:val="Normal (Web)"/>
    <w:basedOn w:val="a"/>
    <w:qFormat/>
    <w:pPr>
      <w:widowControl/>
      <w:spacing w:before="100" w:beforeAutospacing="1" w:after="100" w:afterAutospacing="1"/>
    </w:pPr>
    <w:rPr>
      <w:rFonts w:ascii="宋体" w:hAnsi="宋体"/>
      <w:kern w:val="0"/>
      <w:sz w:val="24"/>
      <w:szCs w:val="20"/>
    </w:rPr>
  </w:style>
  <w:style w:type="table" w:styleId="af2">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1"/>
    <w:uiPriority w:val="22"/>
    <w:qFormat/>
    <w:rPr>
      <w:b/>
      <w:bCs/>
    </w:rPr>
  </w:style>
  <w:style w:type="character" w:styleId="af4">
    <w:name w:val="footnote reference"/>
    <w:qFormat/>
    <w:rPr>
      <w:vertAlign w:val="superscript"/>
    </w:rPr>
  </w:style>
  <w:style w:type="paragraph" w:customStyle="1" w:styleId="Char">
    <w:name w:val="Char"/>
    <w:basedOn w:val="a"/>
    <w:qFormat/>
  </w:style>
  <w:style w:type="character" w:customStyle="1" w:styleId="a6">
    <w:name w:val="纯文本 字符"/>
    <w:link w:val="a5"/>
    <w:uiPriority w:val="99"/>
    <w:qFormat/>
    <w:rPr>
      <w:rFonts w:ascii="宋体" w:hAnsi="Courier New"/>
      <w:kern w:val="2"/>
      <w:sz w:val="21"/>
      <w:szCs w:val="21"/>
    </w:rPr>
  </w:style>
  <w:style w:type="character" w:customStyle="1" w:styleId="aa">
    <w:name w:val="批注框文本 字符"/>
    <w:basedOn w:val="a1"/>
    <w:link w:val="a9"/>
    <w:qFormat/>
    <w:rPr>
      <w:kern w:val="2"/>
      <w:sz w:val="18"/>
      <w:szCs w:val="18"/>
    </w:rPr>
  </w:style>
  <w:style w:type="paragraph" w:styleId="af5">
    <w:name w:val="List Paragraph"/>
    <w:basedOn w:val="a"/>
    <w:uiPriority w:val="34"/>
    <w:qFormat/>
    <w:pPr>
      <w:ind w:firstLineChars="200" w:firstLine="420"/>
    </w:pPr>
  </w:style>
  <w:style w:type="character" w:customStyle="1" w:styleId="ae">
    <w:name w:val="页眉 字符"/>
    <w:basedOn w:val="a1"/>
    <w:link w:val="ad"/>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8">
    <w:name w:val="日期 字符"/>
    <w:basedOn w:val="a1"/>
    <w:link w:val="a7"/>
    <w:qFormat/>
    <w:rPr>
      <w:kern w:val="2"/>
      <w:sz w:val="24"/>
    </w:rPr>
  </w:style>
  <w:style w:type="character" w:customStyle="1" w:styleId="af0">
    <w:name w:val="脚注文本 字符"/>
    <w:basedOn w:val="a1"/>
    <w:link w:val="af"/>
    <w:qFormat/>
    <w:rPr>
      <w:kern w:val="2"/>
      <w:sz w:val="18"/>
      <w:szCs w:val="18"/>
    </w:rPr>
  </w:style>
  <w:style w:type="character" w:customStyle="1" w:styleId="ac">
    <w:name w:val="页脚 字符"/>
    <w:basedOn w:val="a1"/>
    <w:link w:val="ab"/>
    <w:uiPriority w:val="99"/>
    <w:rsid w:val="00A73E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18</Pages>
  <Words>1480</Words>
  <Characters>8442</Characters>
  <Application>Microsoft Office Word</Application>
  <DocSecurity>0</DocSecurity>
  <Lines>70</Lines>
  <Paragraphs>19</Paragraphs>
  <ScaleCrop>false</ScaleCrop>
  <Company>jysld</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131</cp:revision>
  <cp:lastPrinted>2009-01-22T10:11:00Z</cp:lastPrinted>
  <dcterms:created xsi:type="dcterms:W3CDTF">2013-12-25T02:47:00Z</dcterms:created>
  <dcterms:modified xsi:type="dcterms:W3CDTF">2024-07-18T06:23:00Z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