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摩根安全战略股票型证券投资基金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报告送出日期：二〇二三年十月二十五日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摩根安全战略股票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001009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26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234,805,854.54</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通过系统和深入的基本面研究，重点投资于与安全战略相关行业的上市公司，分享中国经济增长模式转变带来的投资机会，在控制风险的前提下力争实现基金资产的稳定增值。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93799B" w:rsidRDefault="00C17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93799B" w:rsidRDefault="00C17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w:t>
            </w:r>
            <w:r>
              <w:rPr>
                <w:rFonts w:eastAsiaTheme="minorEastAsia"/>
                <w:color w:val="000000" w:themeColor="text1"/>
                <w:kern w:val="0"/>
                <w:szCs w:val="21"/>
              </w:rPr>
              <w:lastRenderedPageBreak/>
              <w:t>币供应、利率等宏观指标的变化趋势，结合股票、债券等各类资产风险收益特征，确定合适的资产配置比例。</w:t>
            </w:r>
          </w:p>
          <w:p w:rsidR="0093799B" w:rsidRDefault="00C17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93799B" w:rsidRDefault="00C17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本基金将通过系统和深入的基本面研究，重点投资于与国家安全战略相关行业的上市公司，分享中国经济增长模式转变带来的投资机会。本基金将不低于</w:t>
            </w:r>
            <w:r>
              <w:rPr>
                <w:rFonts w:eastAsiaTheme="minorEastAsia"/>
                <w:color w:val="000000" w:themeColor="text1"/>
                <w:kern w:val="0"/>
                <w:szCs w:val="21"/>
              </w:rPr>
              <w:t>80%</w:t>
            </w:r>
            <w:r>
              <w:rPr>
                <w:rFonts w:eastAsiaTheme="minorEastAsia"/>
                <w:color w:val="000000" w:themeColor="text1"/>
                <w:kern w:val="0"/>
                <w:szCs w:val="21"/>
              </w:rPr>
              <w:t>的非现金基金资产投资于国家安全战略相关行业。</w:t>
            </w:r>
          </w:p>
          <w:p w:rsidR="0093799B" w:rsidRDefault="00C17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在行业配置层面，本基金将从行业生命周期、行业景气度、行业竞争格局等多角度，综合评估各个行业的投资价值，对基金资产在行业间分配进行安排。</w:t>
            </w:r>
          </w:p>
          <w:p w:rsidR="0093799B" w:rsidRDefault="00C17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的方法，在备选行业内部通过定量与定性相结合的分析方法，综合分析上市公司的业绩质量、成长性和估值水平等各方面信息，精选具有良好成长性、估值合理的个股</w:t>
            </w:r>
            <w:r>
              <w:rPr>
                <w:rFonts w:eastAsiaTheme="minorEastAsia"/>
                <w:color w:val="000000" w:themeColor="text1"/>
                <w:kern w:val="0"/>
                <w:szCs w:val="21"/>
              </w:rPr>
              <w:t>。</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、其他投资策略：包括固定收益类投资策略、可转换债券投资策略、中小企业私募债投资策略、股指期货投资策略、资产支持证券投资策略、存托凭证投资策略。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93799B" w:rsidRDefault="00C171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lastRenderedPageBreak/>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001009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015172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234,103,419.86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702,434.68</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-17,409,340.09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-248,731.11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-28,794,161.85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-473,064.43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-0.1216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-0.1718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264,776,462.28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788,171.26</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1.1310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1.1221</w:t>
            </w:r>
          </w:p>
        </w:tc>
      </w:tr>
    </w:tbl>
    <w:p w:rsidR="0093799B" w:rsidRDefault="00C1718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摩根安全战略股票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93799B">
        <w:tc>
          <w:tcPr>
            <w:tcW w:w="1290" w:type="dxa"/>
            <w:vAlign w:val="center"/>
          </w:tcPr>
          <w:p w:rsidR="0093799B" w:rsidRDefault="00C17186">
            <w:pPr>
              <w:jc w:val="left"/>
            </w:pPr>
            <w:r>
              <w:rPr>
                <w:rFonts w:eastAsiaTheme="minorEastAsia"/>
                <w:color w:val="000000" w:themeColor="text1"/>
                <w:szCs w:val="21"/>
              </w:rPr>
              <w:t>过去三个月</w:t>
            </w:r>
          </w:p>
        </w:tc>
        <w:tc>
          <w:tcPr>
            <w:tcW w:w="1291" w:type="dxa"/>
            <w:vAlign w:val="center"/>
          </w:tcPr>
          <w:p w:rsidR="0093799B" w:rsidRDefault="00C17186">
            <w:pPr>
              <w:jc w:val="right"/>
            </w:pPr>
            <w:r>
              <w:rPr>
                <w:rFonts w:eastAsiaTheme="minorEastAsia"/>
                <w:color w:val="000000" w:themeColor="text1"/>
                <w:szCs w:val="21"/>
              </w:rPr>
              <w:t>-9.69%</w:t>
            </w:r>
          </w:p>
        </w:tc>
        <w:tc>
          <w:tcPr>
            <w:tcW w:w="1291" w:type="dxa"/>
            <w:vAlign w:val="center"/>
          </w:tcPr>
          <w:p w:rsidR="0093799B" w:rsidRDefault="00C17186">
            <w:pPr>
              <w:jc w:val="right"/>
            </w:pPr>
            <w:r>
              <w:rPr>
                <w:rFonts w:eastAsiaTheme="minorEastAsia"/>
                <w:color w:val="000000" w:themeColor="text1"/>
                <w:szCs w:val="21"/>
              </w:rPr>
              <w:t>0.68%</w:t>
            </w:r>
          </w:p>
        </w:tc>
        <w:tc>
          <w:tcPr>
            <w:tcW w:w="1291" w:type="dxa"/>
            <w:vAlign w:val="center"/>
          </w:tcPr>
          <w:p w:rsidR="0093799B" w:rsidRDefault="00C17186">
            <w:pPr>
              <w:jc w:val="right"/>
            </w:pPr>
            <w:r>
              <w:rPr>
                <w:rFonts w:eastAsiaTheme="minorEastAsia"/>
                <w:color w:val="000000" w:themeColor="text1"/>
                <w:szCs w:val="21"/>
              </w:rPr>
              <w:t>-3.65%</w:t>
            </w:r>
          </w:p>
        </w:tc>
        <w:tc>
          <w:tcPr>
            <w:tcW w:w="1291" w:type="dxa"/>
            <w:vAlign w:val="center"/>
          </w:tcPr>
          <w:p w:rsidR="0093799B" w:rsidRDefault="00C17186">
            <w:pPr>
              <w:jc w:val="right"/>
            </w:pPr>
            <w:r>
              <w:rPr>
                <w:rFonts w:eastAsiaTheme="minorEastAsia"/>
                <w:color w:val="000000" w:themeColor="text1"/>
                <w:szCs w:val="21"/>
              </w:rPr>
              <w:t>0.74%</w:t>
            </w:r>
          </w:p>
        </w:tc>
        <w:tc>
          <w:tcPr>
            <w:tcW w:w="1291" w:type="dxa"/>
            <w:vAlign w:val="center"/>
          </w:tcPr>
          <w:p w:rsidR="0093799B" w:rsidRDefault="00C17186">
            <w:pPr>
              <w:jc w:val="right"/>
            </w:pPr>
            <w:r>
              <w:rPr>
                <w:rFonts w:eastAsiaTheme="minorEastAsia"/>
                <w:color w:val="000000" w:themeColor="text1"/>
                <w:szCs w:val="21"/>
              </w:rPr>
              <w:t>-6.04%</w:t>
            </w:r>
          </w:p>
        </w:tc>
        <w:tc>
          <w:tcPr>
            <w:tcW w:w="1291" w:type="dxa"/>
            <w:vAlign w:val="center"/>
          </w:tcPr>
          <w:p w:rsidR="0093799B" w:rsidRDefault="00C17186">
            <w:pPr>
              <w:jc w:val="right"/>
            </w:pPr>
            <w:r>
              <w:rPr>
                <w:rFonts w:eastAsiaTheme="minorEastAsia"/>
                <w:color w:val="000000" w:themeColor="text1"/>
                <w:szCs w:val="21"/>
              </w:rPr>
              <w:t>-0.06%</w:t>
            </w:r>
          </w:p>
        </w:tc>
      </w:tr>
      <w:tr w:rsidR="0093799B">
        <w:tc>
          <w:tcPr>
            <w:tcW w:w="1290" w:type="dxa"/>
            <w:vAlign w:val="center"/>
          </w:tcPr>
          <w:p w:rsidR="0093799B" w:rsidRDefault="00C17186">
            <w:pPr>
              <w:jc w:val="left"/>
            </w:pPr>
            <w:r>
              <w:rPr>
                <w:rFonts w:eastAsiaTheme="minorEastAsia"/>
                <w:color w:val="000000" w:themeColor="text1"/>
                <w:szCs w:val="21"/>
              </w:rPr>
              <w:t>过去六个月</w:t>
            </w:r>
          </w:p>
        </w:tc>
        <w:tc>
          <w:tcPr>
            <w:tcW w:w="1291" w:type="dxa"/>
            <w:vAlign w:val="center"/>
          </w:tcPr>
          <w:p w:rsidR="0093799B" w:rsidRDefault="00C17186">
            <w:pPr>
              <w:jc w:val="right"/>
            </w:pPr>
            <w:r>
              <w:rPr>
                <w:rFonts w:eastAsiaTheme="minorEastAsia"/>
                <w:color w:val="000000" w:themeColor="text1"/>
                <w:szCs w:val="21"/>
              </w:rPr>
              <w:t>-12.84%</w:t>
            </w:r>
          </w:p>
        </w:tc>
        <w:tc>
          <w:tcPr>
            <w:tcW w:w="1291" w:type="dxa"/>
            <w:vAlign w:val="center"/>
          </w:tcPr>
          <w:p w:rsidR="0093799B" w:rsidRDefault="00C17186">
            <w:pPr>
              <w:jc w:val="right"/>
            </w:pPr>
            <w:r>
              <w:rPr>
                <w:rFonts w:eastAsiaTheme="minorEastAsia"/>
                <w:color w:val="000000" w:themeColor="text1"/>
                <w:szCs w:val="21"/>
              </w:rPr>
              <w:t>0.82%</w:t>
            </w:r>
          </w:p>
        </w:tc>
        <w:tc>
          <w:tcPr>
            <w:tcW w:w="1291" w:type="dxa"/>
            <w:vAlign w:val="center"/>
          </w:tcPr>
          <w:p w:rsidR="0093799B" w:rsidRDefault="00C17186">
            <w:pPr>
              <w:jc w:val="right"/>
            </w:pPr>
            <w:r>
              <w:rPr>
                <w:rFonts w:eastAsiaTheme="minorEastAsia"/>
                <w:color w:val="000000" w:themeColor="text1"/>
                <w:szCs w:val="21"/>
              </w:rPr>
              <w:t>-7.73%</w:t>
            </w:r>
          </w:p>
        </w:tc>
        <w:tc>
          <w:tcPr>
            <w:tcW w:w="1291" w:type="dxa"/>
            <w:vAlign w:val="center"/>
          </w:tcPr>
          <w:p w:rsidR="0093799B" w:rsidRDefault="00C17186">
            <w:pPr>
              <w:jc w:val="right"/>
            </w:pPr>
            <w:r>
              <w:rPr>
                <w:rFonts w:eastAsiaTheme="minorEastAsia"/>
                <w:color w:val="000000" w:themeColor="text1"/>
                <w:szCs w:val="21"/>
              </w:rPr>
              <w:t>0.71%</w:t>
            </w:r>
          </w:p>
        </w:tc>
        <w:tc>
          <w:tcPr>
            <w:tcW w:w="1291" w:type="dxa"/>
            <w:vAlign w:val="center"/>
          </w:tcPr>
          <w:p w:rsidR="0093799B" w:rsidRDefault="00C17186">
            <w:pPr>
              <w:jc w:val="right"/>
            </w:pPr>
            <w:r>
              <w:rPr>
                <w:rFonts w:eastAsiaTheme="minorEastAsia"/>
                <w:color w:val="000000" w:themeColor="text1"/>
                <w:szCs w:val="21"/>
              </w:rPr>
              <w:t>-5.11%</w:t>
            </w:r>
          </w:p>
        </w:tc>
        <w:tc>
          <w:tcPr>
            <w:tcW w:w="1291" w:type="dxa"/>
            <w:vAlign w:val="center"/>
          </w:tcPr>
          <w:p w:rsidR="0093799B" w:rsidRDefault="00C17186">
            <w:pPr>
              <w:jc w:val="right"/>
            </w:pPr>
            <w:r>
              <w:rPr>
                <w:rFonts w:eastAsiaTheme="minorEastAsia"/>
                <w:color w:val="000000" w:themeColor="text1"/>
                <w:szCs w:val="21"/>
              </w:rPr>
              <w:t>0.11%</w:t>
            </w:r>
          </w:p>
        </w:tc>
      </w:tr>
      <w:tr w:rsidR="0093799B">
        <w:tc>
          <w:tcPr>
            <w:tcW w:w="1290" w:type="dxa"/>
            <w:vAlign w:val="center"/>
          </w:tcPr>
          <w:p w:rsidR="0093799B" w:rsidRDefault="00C17186">
            <w:pPr>
              <w:jc w:val="left"/>
            </w:pPr>
            <w:r>
              <w:rPr>
                <w:rFonts w:eastAsiaTheme="minorEastAsia"/>
                <w:color w:val="000000" w:themeColor="text1"/>
                <w:szCs w:val="21"/>
              </w:rPr>
              <w:t>过去一年</w:t>
            </w:r>
          </w:p>
        </w:tc>
        <w:tc>
          <w:tcPr>
            <w:tcW w:w="1291" w:type="dxa"/>
            <w:vAlign w:val="center"/>
          </w:tcPr>
          <w:p w:rsidR="0093799B" w:rsidRDefault="00C17186">
            <w:pPr>
              <w:jc w:val="right"/>
            </w:pPr>
            <w:r>
              <w:rPr>
                <w:rFonts w:eastAsiaTheme="minorEastAsia"/>
                <w:color w:val="000000" w:themeColor="text1"/>
                <w:szCs w:val="21"/>
              </w:rPr>
              <w:t>-27.17%</w:t>
            </w:r>
          </w:p>
        </w:tc>
        <w:tc>
          <w:tcPr>
            <w:tcW w:w="1291" w:type="dxa"/>
            <w:vAlign w:val="center"/>
          </w:tcPr>
          <w:p w:rsidR="0093799B" w:rsidRDefault="00C17186">
            <w:pPr>
              <w:jc w:val="right"/>
            </w:pPr>
            <w:r>
              <w:rPr>
                <w:rFonts w:eastAsiaTheme="minorEastAsia"/>
                <w:color w:val="000000" w:themeColor="text1"/>
                <w:szCs w:val="21"/>
              </w:rPr>
              <w:t>1.04%</w:t>
            </w:r>
          </w:p>
        </w:tc>
        <w:tc>
          <w:tcPr>
            <w:tcW w:w="1291" w:type="dxa"/>
            <w:vAlign w:val="center"/>
          </w:tcPr>
          <w:p w:rsidR="0093799B" w:rsidRDefault="00C17186">
            <w:pPr>
              <w:jc w:val="right"/>
            </w:pPr>
            <w:r>
              <w:rPr>
                <w:rFonts w:eastAsiaTheme="minorEastAsia"/>
                <w:color w:val="000000" w:themeColor="text1"/>
                <w:szCs w:val="21"/>
              </w:rPr>
              <w:t>-1.97%</w:t>
            </w:r>
          </w:p>
        </w:tc>
        <w:tc>
          <w:tcPr>
            <w:tcW w:w="1291" w:type="dxa"/>
            <w:vAlign w:val="center"/>
          </w:tcPr>
          <w:p w:rsidR="0093799B" w:rsidRDefault="00C17186">
            <w:pPr>
              <w:jc w:val="right"/>
            </w:pPr>
            <w:r>
              <w:rPr>
                <w:rFonts w:eastAsiaTheme="minorEastAsia"/>
                <w:color w:val="000000" w:themeColor="text1"/>
                <w:szCs w:val="21"/>
              </w:rPr>
              <w:t>0.79%</w:t>
            </w:r>
          </w:p>
        </w:tc>
        <w:tc>
          <w:tcPr>
            <w:tcW w:w="1291" w:type="dxa"/>
            <w:vAlign w:val="center"/>
          </w:tcPr>
          <w:p w:rsidR="0093799B" w:rsidRDefault="00C17186">
            <w:pPr>
              <w:jc w:val="right"/>
            </w:pPr>
            <w:r>
              <w:rPr>
                <w:rFonts w:eastAsiaTheme="minorEastAsia"/>
                <w:color w:val="000000" w:themeColor="text1"/>
                <w:szCs w:val="21"/>
              </w:rPr>
              <w:t>-25.20%</w:t>
            </w:r>
          </w:p>
        </w:tc>
        <w:tc>
          <w:tcPr>
            <w:tcW w:w="1291" w:type="dxa"/>
            <w:vAlign w:val="center"/>
          </w:tcPr>
          <w:p w:rsidR="0093799B" w:rsidRDefault="00C17186">
            <w:pPr>
              <w:jc w:val="right"/>
            </w:pPr>
            <w:r>
              <w:rPr>
                <w:rFonts w:eastAsiaTheme="minorEastAsia"/>
                <w:color w:val="000000" w:themeColor="text1"/>
                <w:szCs w:val="21"/>
              </w:rPr>
              <w:t>0.25%</w:t>
            </w:r>
          </w:p>
        </w:tc>
      </w:tr>
      <w:tr w:rsidR="0093799B">
        <w:tc>
          <w:tcPr>
            <w:tcW w:w="1290" w:type="dxa"/>
            <w:vAlign w:val="center"/>
          </w:tcPr>
          <w:p w:rsidR="0093799B" w:rsidRDefault="00C17186">
            <w:pPr>
              <w:jc w:val="left"/>
            </w:pPr>
            <w:r>
              <w:rPr>
                <w:rFonts w:eastAsiaTheme="minorEastAsia"/>
                <w:color w:val="000000" w:themeColor="text1"/>
                <w:szCs w:val="21"/>
              </w:rPr>
              <w:t>过去三年</w:t>
            </w:r>
          </w:p>
        </w:tc>
        <w:tc>
          <w:tcPr>
            <w:tcW w:w="1291" w:type="dxa"/>
            <w:vAlign w:val="center"/>
          </w:tcPr>
          <w:p w:rsidR="0093799B" w:rsidRDefault="00C17186">
            <w:pPr>
              <w:jc w:val="right"/>
            </w:pPr>
            <w:r>
              <w:rPr>
                <w:rFonts w:eastAsiaTheme="minorEastAsia"/>
                <w:color w:val="000000" w:themeColor="text1"/>
                <w:szCs w:val="21"/>
              </w:rPr>
              <w:t>-28.70%</w:t>
            </w:r>
          </w:p>
        </w:tc>
        <w:tc>
          <w:tcPr>
            <w:tcW w:w="1291" w:type="dxa"/>
            <w:vAlign w:val="center"/>
          </w:tcPr>
          <w:p w:rsidR="0093799B" w:rsidRDefault="00C17186">
            <w:pPr>
              <w:jc w:val="right"/>
            </w:pPr>
            <w:r>
              <w:rPr>
                <w:rFonts w:eastAsiaTheme="minorEastAsia"/>
                <w:color w:val="000000" w:themeColor="text1"/>
                <w:szCs w:val="21"/>
              </w:rPr>
              <w:t>1.56%</w:t>
            </w:r>
          </w:p>
        </w:tc>
        <w:tc>
          <w:tcPr>
            <w:tcW w:w="1291" w:type="dxa"/>
            <w:vAlign w:val="center"/>
          </w:tcPr>
          <w:p w:rsidR="0093799B" w:rsidRDefault="00C17186">
            <w:pPr>
              <w:jc w:val="right"/>
            </w:pPr>
            <w:r>
              <w:rPr>
                <w:rFonts w:eastAsiaTheme="minorEastAsia"/>
                <w:color w:val="000000" w:themeColor="text1"/>
                <w:szCs w:val="21"/>
              </w:rPr>
              <w:t>-13.81%</w:t>
            </w:r>
          </w:p>
        </w:tc>
        <w:tc>
          <w:tcPr>
            <w:tcW w:w="1291" w:type="dxa"/>
            <w:vAlign w:val="center"/>
          </w:tcPr>
          <w:p w:rsidR="0093799B" w:rsidRDefault="00C17186">
            <w:pPr>
              <w:jc w:val="right"/>
            </w:pPr>
            <w:r>
              <w:rPr>
                <w:rFonts w:eastAsiaTheme="minorEastAsia"/>
                <w:color w:val="000000" w:themeColor="text1"/>
                <w:szCs w:val="21"/>
              </w:rPr>
              <w:t>0.92%</w:t>
            </w:r>
          </w:p>
        </w:tc>
        <w:tc>
          <w:tcPr>
            <w:tcW w:w="1291" w:type="dxa"/>
            <w:vAlign w:val="center"/>
          </w:tcPr>
          <w:p w:rsidR="0093799B" w:rsidRDefault="00C17186">
            <w:pPr>
              <w:jc w:val="right"/>
            </w:pPr>
            <w:r>
              <w:rPr>
                <w:rFonts w:eastAsiaTheme="minorEastAsia"/>
                <w:color w:val="000000" w:themeColor="text1"/>
                <w:szCs w:val="21"/>
              </w:rPr>
              <w:t>-14.89%</w:t>
            </w:r>
          </w:p>
        </w:tc>
        <w:tc>
          <w:tcPr>
            <w:tcW w:w="1291" w:type="dxa"/>
            <w:vAlign w:val="center"/>
          </w:tcPr>
          <w:p w:rsidR="0093799B" w:rsidRDefault="00C17186">
            <w:pPr>
              <w:jc w:val="right"/>
            </w:pPr>
            <w:r>
              <w:rPr>
                <w:rFonts w:eastAsiaTheme="minorEastAsia"/>
                <w:color w:val="000000" w:themeColor="text1"/>
                <w:szCs w:val="21"/>
              </w:rPr>
              <w:t>0.64%</w:t>
            </w:r>
          </w:p>
        </w:tc>
      </w:tr>
      <w:tr w:rsidR="0093799B">
        <w:tc>
          <w:tcPr>
            <w:tcW w:w="1290" w:type="dxa"/>
            <w:vAlign w:val="center"/>
          </w:tcPr>
          <w:p w:rsidR="0093799B" w:rsidRDefault="00C17186">
            <w:pPr>
              <w:jc w:val="left"/>
            </w:pPr>
            <w:r>
              <w:rPr>
                <w:rFonts w:eastAsiaTheme="minorEastAsia"/>
                <w:color w:val="000000" w:themeColor="text1"/>
                <w:szCs w:val="21"/>
              </w:rPr>
              <w:lastRenderedPageBreak/>
              <w:t>过去五年</w:t>
            </w:r>
          </w:p>
        </w:tc>
        <w:tc>
          <w:tcPr>
            <w:tcW w:w="1291" w:type="dxa"/>
            <w:vAlign w:val="center"/>
          </w:tcPr>
          <w:p w:rsidR="0093799B" w:rsidRDefault="00C17186">
            <w:pPr>
              <w:jc w:val="right"/>
            </w:pPr>
            <w:r>
              <w:rPr>
                <w:rFonts w:eastAsiaTheme="minorEastAsia"/>
                <w:color w:val="000000" w:themeColor="text1"/>
                <w:szCs w:val="21"/>
              </w:rPr>
              <w:t>58.96%</w:t>
            </w:r>
          </w:p>
        </w:tc>
        <w:tc>
          <w:tcPr>
            <w:tcW w:w="1291" w:type="dxa"/>
            <w:vAlign w:val="center"/>
          </w:tcPr>
          <w:p w:rsidR="0093799B" w:rsidRDefault="00C17186">
            <w:pPr>
              <w:jc w:val="right"/>
            </w:pPr>
            <w:r>
              <w:rPr>
                <w:rFonts w:eastAsiaTheme="minorEastAsia"/>
                <w:color w:val="000000" w:themeColor="text1"/>
                <w:szCs w:val="21"/>
              </w:rPr>
              <w:t>1.60%</w:t>
            </w:r>
          </w:p>
        </w:tc>
        <w:tc>
          <w:tcPr>
            <w:tcW w:w="1291" w:type="dxa"/>
            <w:vAlign w:val="center"/>
          </w:tcPr>
          <w:p w:rsidR="0093799B" w:rsidRDefault="00C17186">
            <w:pPr>
              <w:jc w:val="right"/>
            </w:pPr>
            <w:r>
              <w:rPr>
                <w:rFonts w:eastAsiaTheme="minorEastAsia"/>
                <w:color w:val="000000" w:themeColor="text1"/>
                <w:szCs w:val="21"/>
              </w:rPr>
              <w:t>9.49%</w:t>
            </w:r>
          </w:p>
        </w:tc>
        <w:tc>
          <w:tcPr>
            <w:tcW w:w="1291" w:type="dxa"/>
            <w:vAlign w:val="center"/>
          </w:tcPr>
          <w:p w:rsidR="0093799B" w:rsidRDefault="00C17186">
            <w:pPr>
              <w:jc w:val="right"/>
            </w:pPr>
            <w:r>
              <w:rPr>
                <w:rFonts w:eastAsiaTheme="minorEastAsia"/>
                <w:color w:val="000000" w:themeColor="text1"/>
                <w:szCs w:val="21"/>
              </w:rPr>
              <w:t>1.05%</w:t>
            </w:r>
          </w:p>
        </w:tc>
        <w:tc>
          <w:tcPr>
            <w:tcW w:w="1291" w:type="dxa"/>
            <w:vAlign w:val="center"/>
          </w:tcPr>
          <w:p w:rsidR="0093799B" w:rsidRDefault="00C17186">
            <w:pPr>
              <w:jc w:val="right"/>
            </w:pPr>
            <w:r>
              <w:rPr>
                <w:rFonts w:eastAsiaTheme="minorEastAsia"/>
                <w:color w:val="000000" w:themeColor="text1"/>
                <w:szCs w:val="21"/>
              </w:rPr>
              <w:t>49.47%</w:t>
            </w:r>
          </w:p>
        </w:tc>
        <w:tc>
          <w:tcPr>
            <w:tcW w:w="1291" w:type="dxa"/>
            <w:vAlign w:val="center"/>
          </w:tcPr>
          <w:p w:rsidR="0093799B" w:rsidRDefault="00C17186">
            <w:pPr>
              <w:jc w:val="right"/>
            </w:pPr>
            <w:r>
              <w:rPr>
                <w:rFonts w:eastAsiaTheme="minorEastAsia"/>
                <w:color w:val="000000" w:themeColor="text1"/>
                <w:szCs w:val="21"/>
              </w:rPr>
              <w:t>0.55%</w:t>
            </w:r>
          </w:p>
        </w:tc>
      </w:tr>
      <w:tr w:rsidR="0093799B">
        <w:tc>
          <w:tcPr>
            <w:tcW w:w="1290" w:type="dxa"/>
            <w:vAlign w:val="center"/>
          </w:tcPr>
          <w:p w:rsidR="0093799B" w:rsidRDefault="00C17186">
            <w:pPr>
              <w:jc w:val="left"/>
            </w:pPr>
            <w:r>
              <w:rPr>
                <w:rFonts w:eastAsiaTheme="minorEastAsia"/>
                <w:color w:val="000000" w:themeColor="text1"/>
                <w:szCs w:val="21"/>
              </w:rPr>
              <w:t>自基金合同生效起至今</w:t>
            </w:r>
          </w:p>
        </w:tc>
        <w:tc>
          <w:tcPr>
            <w:tcW w:w="1291" w:type="dxa"/>
            <w:vAlign w:val="center"/>
          </w:tcPr>
          <w:p w:rsidR="0093799B" w:rsidRDefault="00C17186">
            <w:pPr>
              <w:jc w:val="right"/>
            </w:pPr>
            <w:r>
              <w:rPr>
                <w:rFonts w:eastAsiaTheme="minorEastAsia"/>
                <w:color w:val="000000" w:themeColor="text1"/>
                <w:szCs w:val="21"/>
              </w:rPr>
              <w:t>28.12%</w:t>
            </w:r>
          </w:p>
        </w:tc>
        <w:tc>
          <w:tcPr>
            <w:tcW w:w="1291" w:type="dxa"/>
            <w:vAlign w:val="center"/>
          </w:tcPr>
          <w:p w:rsidR="0093799B" w:rsidRDefault="00C17186">
            <w:pPr>
              <w:jc w:val="right"/>
            </w:pPr>
            <w:r>
              <w:rPr>
                <w:rFonts w:eastAsiaTheme="minorEastAsia"/>
                <w:color w:val="000000" w:themeColor="text1"/>
                <w:szCs w:val="21"/>
              </w:rPr>
              <w:t>1.73%</w:t>
            </w:r>
          </w:p>
        </w:tc>
        <w:tc>
          <w:tcPr>
            <w:tcW w:w="1291" w:type="dxa"/>
            <w:vAlign w:val="center"/>
          </w:tcPr>
          <w:p w:rsidR="0093799B" w:rsidRDefault="00C17186">
            <w:pPr>
              <w:jc w:val="right"/>
            </w:pPr>
            <w:r>
              <w:rPr>
                <w:rFonts w:eastAsiaTheme="minorEastAsia"/>
                <w:color w:val="000000" w:themeColor="text1"/>
                <w:szCs w:val="21"/>
              </w:rPr>
              <w:t>3.78%</w:t>
            </w:r>
          </w:p>
        </w:tc>
        <w:tc>
          <w:tcPr>
            <w:tcW w:w="1291" w:type="dxa"/>
            <w:vAlign w:val="center"/>
          </w:tcPr>
          <w:p w:rsidR="0093799B" w:rsidRDefault="00C17186">
            <w:pPr>
              <w:jc w:val="right"/>
            </w:pPr>
            <w:r>
              <w:rPr>
                <w:rFonts w:eastAsiaTheme="minorEastAsia"/>
                <w:color w:val="000000" w:themeColor="text1"/>
                <w:szCs w:val="21"/>
              </w:rPr>
              <w:t>1.20%</w:t>
            </w:r>
          </w:p>
        </w:tc>
        <w:tc>
          <w:tcPr>
            <w:tcW w:w="1291" w:type="dxa"/>
            <w:vAlign w:val="center"/>
          </w:tcPr>
          <w:p w:rsidR="0093799B" w:rsidRDefault="00C17186">
            <w:pPr>
              <w:jc w:val="right"/>
            </w:pPr>
            <w:r>
              <w:rPr>
                <w:rFonts w:eastAsiaTheme="minorEastAsia"/>
                <w:color w:val="000000" w:themeColor="text1"/>
                <w:szCs w:val="21"/>
              </w:rPr>
              <w:t>24.34%</w:t>
            </w:r>
          </w:p>
        </w:tc>
        <w:tc>
          <w:tcPr>
            <w:tcW w:w="1291" w:type="dxa"/>
            <w:vAlign w:val="center"/>
          </w:tcPr>
          <w:p w:rsidR="0093799B" w:rsidRDefault="00C17186">
            <w:pPr>
              <w:jc w:val="right"/>
            </w:pPr>
            <w:r>
              <w:rPr>
                <w:rFonts w:eastAsiaTheme="minorEastAsia"/>
                <w:color w:val="000000" w:themeColor="text1"/>
                <w:szCs w:val="21"/>
              </w:rPr>
              <w:t>0.53%</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摩根安全战略股票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93799B">
        <w:tc>
          <w:tcPr>
            <w:tcW w:w="1290" w:type="dxa"/>
            <w:vAlign w:val="center"/>
          </w:tcPr>
          <w:p w:rsidR="0093799B" w:rsidRDefault="00C17186">
            <w:pPr>
              <w:jc w:val="left"/>
            </w:pPr>
            <w:r>
              <w:rPr>
                <w:rFonts w:eastAsiaTheme="minorEastAsia"/>
                <w:color w:val="000000" w:themeColor="text1"/>
                <w:szCs w:val="21"/>
              </w:rPr>
              <w:t>过去三个月</w:t>
            </w:r>
          </w:p>
        </w:tc>
        <w:tc>
          <w:tcPr>
            <w:tcW w:w="1291" w:type="dxa"/>
            <w:vAlign w:val="center"/>
          </w:tcPr>
          <w:p w:rsidR="0093799B" w:rsidRDefault="00C17186">
            <w:pPr>
              <w:jc w:val="right"/>
            </w:pPr>
            <w:r>
              <w:rPr>
                <w:rFonts w:eastAsiaTheme="minorEastAsia"/>
                <w:color w:val="000000" w:themeColor="text1"/>
                <w:szCs w:val="21"/>
              </w:rPr>
              <w:t>-9.78%</w:t>
            </w:r>
          </w:p>
        </w:tc>
        <w:tc>
          <w:tcPr>
            <w:tcW w:w="1291" w:type="dxa"/>
            <w:vAlign w:val="center"/>
          </w:tcPr>
          <w:p w:rsidR="0093799B" w:rsidRDefault="00C17186">
            <w:pPr>
              <w:jc w:val="right"/>
            </w:pPr>
            <w:r>
              <w:rPr>
                <w:rFonts w:eastAsiaTheme="minorEastAsia"/>
                <w:color w:val="000000" w:themeColor="text1"/>
                <w:szCs w:val="21"/>
              </w:rPr>
              <w:t>0.68%</w:t>
            </w:r>
          </w:p>
        </w:tc>
        <w:tc>
          <w:tcPr>
            <w:tcW w:w="1291" w:type="dxa"/>
            <w:vAlign w:val="center"/>
          </w:tcPr>
          <w:p w:rsidR="0093799B" w:rsidRDefault="00C17186">
            <w:pPr>
              <w:jc w:val="right"/>
            </w:pPr>
            <w:r>
              <w:rPr>
                <w:rFonts w:eastAsiaTheme="minorEastAsia"/>
                <w:color w:val="000000" w:themeColor="text1"/>
                <w:szCs w:val="21"/>
              </w:rPr>
              <w:t>-3.65%</w:t>
            </w:r>
          </w:p>
        </w:tc>
        <w:tc>
          <w:tcPr>
            <w:tcW w:w="1291" w:type="dxa"/>
            <w:vAlign w:val="center"/>
          </w:tcPr>
          <w:p w:rsidR="0093799B" w:rsidRDefault="00C17186">
            <w:pPr>
              <w:jc w:val="right"/>
            </w:pPr>
            <w:r>
              <w:rPr>
                <w:rFonts w:eastAsiaTheme="minorEastAsia"/>
                <w:color w:val="000000" w:themeColor="text1"/>
                <w:szCs w:val="21"/>
              </w:rPr>
              <w:t>0.74%</w:t>
            </w:r>
          </w:p>
        </w:tc>
        <w:tc>
          <w:tcPr>
            <w:tcW w:w="1291" w:type="dxa"/>
            <w:vAlign w:val="center"/>
          </w:tcPr>
          <w:p w:rsidR="0093799B" w:rsidRDefault="00C17186">
            <w:pPr>
              <w:jc w:val="right"/>
            </w:pPr>
            <w:r>
              <w:rPr>
                <w:rFonts w:eastAsiaTheme="minorEastAsia"/>
                <w:color w:val="000000" w:themeColor="text1"/>
                <w:szCs w:val="21"/>
              </w:rPr>
              <w:t>-6.13%</w:t>
            </w:r>
          </w:p>
        </w:tc>
        <w:tc>
          <w:tcPr>
            <w:tcW w:w="1291" w:type="dxa"/>
            <w:vAlign w:val="center"/>
          </w:tcPr>
          <w:p w:rsidR="0093799B" w:rsidRDefault="00C17186">
            <w:pPr>
              <w:jc w:val="right"/>
            </w:pPr>
            <w:r>
              <w:rPr>
                <w:rFonts w:eastAsiaTheme="minorEastAsia"/>
                <w:color w:val="000000" w:themeColor="text1"/>
                <w:szCs w:val="21"/>
              </w:rPr>
              <w:t>-0.06%</w:t>
            </w:r>
          </w:p>
        </w:tc>
      </w:tr>
      <w:tr w:rsidR="0093799B">
        <w:tc>
          <w:tcPr>
            <w:tcW w:w="1290" w:type="dxa"/>
            <w:vAlign w:val="center"/>
          </w:tcPr>
          <w:p w:rsidR="0093799B" w:rsidRDefault="00C17186">
            <w:pPr>
              <w:jc w:val="left"/>
            </w:pPr>
            <w:r>
              <w:rPr>
                <w:rFonts w:eastAsiaTheme="minorEastAsia"/>
                <w:color w:val="000000" w:themeColor="text1"/>
                <w:szCs w:val="21"/>
              </w:rPr>
              <w:t>过去六个月</w:t>
            </w:r>
          </w:p>
        </w:tc>
        <w:tc>
          <w:tcPr>
            <w:tcW w:w="1291" w:type="dxa"/>
            <w:vAlign w:val="center"/>
          </w:tcPr>
          <w:p w:rsidR="0093799B" w:rsidRDefault="00C17186">
            <w:pPr>
              <w:jc w:val="right"/>
            </w:pPr>
            <w:r>
              <w:rPr>
                <w:rFonts w:eastAsiaTheme="minorEastAsia"/>
                <w:color w:val="000000" w:themeColor="text1"/>
                <w:szCs w:val="21"/>
              </w:rPr>
              <w:t>-13.04%</w:t>
            </w:r>
          </w:p>
        </w:tc>
        <w:tc>
          <w:tcPr>
            <w:tcW w:w="1291" w:type="dxa"/>
            <w:vAlign w:val="center"/>
          </w:tcPr>
          <w:p w:rsidR="0093799B" w:rsidRDefault="00C17186">
            <w:pPr>
              <w:jc w:val="right"/>
            </w:pPr>
            <w:r>
              <w:rPr>
                <w:rFonts w:eastAsiaTheme="minorEastAsia"/>
                <w:color w:val="000000" w:themeColor="text1"/>
                <w:szCs w:val="21"/>
              </w:rPr>
              <w:t>0.82%</w:t>
            </w:r>
          </w:p>
        </w:tc>
        <w:tc>
          <w:tcPr>
            <w:tcW w:w="1291" w:type="dxa"/>
            <w:vAlign w:val="center"/>
          </w:tcPr>
          <w:p w:rsidR="0093799B" w:rsidRDefault="00C17186">
            <w:pPr>
              <w:jc w:val="right"/>
            </w:pPr>
            <w:r>
              <w:rPr>
                <w:rFonts w:eastAsiaTheme="minorEastAsia"/>
                <w:color w:val="000000" w:themeColor="text1"/>
                <w:szCs w:val="21"/>
              </w:rPr>
              <w:t>-7.73%</w:t>
            </w:r>
          </w:p>
        </w:tc>
        <w:tc>
          <w:tcPr>
            <w:tcW w:w="1291" w:type="dxa"/>
            <w:vAlign w:val="center"/>
          </w:tcPr>
          <w:p w:rsidR="0093799B" w:rsidRDefault="00C17186">
            <w:pPr>
              <w:jc w:val="right"/>
            </w:pPr>
            <w:r>
              <w:rPr>
                <w:rFonts w:eastAsiaTheme="minorEastAsia"/>
                <w:color w:val="000000" w:themeColor="text1"/>
                <w:szCs w:val="21"/>
              </w:rPr>
              <w:t>0.71%</w:t>
            </w:r>
          </w:p>
        </w:tc>
        <w:tc>
          <w:tcPr>
            <w:tcW w:w="1291" w:type="dxa"/>
            <w:vAlign w:val="center"/>
          </w:tcPr>
          <w:p w:rsidR="0093799B" w:rsidRDefault="00C17186">
            <w:pPr>
              <w:jc w:val="right"/>
            </w:pPr>
            <w:r>
              <w:rPr>
                <w:rFonts w:eastAsiaTheme="minorEastAsia"/>
                <w:color w:val="000000" w:themeColor="text1"/>
                <w:szCs w:val="21"/>
              </w:rPr>
              <w:t>-5.31%</w:t>
            </w:r>
          </w:p>
        </w:tc>
        <w:tc>
          <w:tcPr>
            <w:tcW w:w="1291" w:type="dxa"/>
            <w:vAlign w:val="center"/>
          </w:tcPr>
          <w:p w:rsidR="0093799B" w:rsidRDefault="00C17186">
            <w:pPr>
              <w:jc w:val="right"/>
            </w:pPr>
            <w:r>
              <w:rPr>
                <w:rFonts w:eastAsiaTheme="minorEastAsia"/>
                <w:color w:val="000000" w:themeColor="text1"/>
                <w:szCs w:val="21"/>
              </w:rPr>
              <w:t>0.11%</w:t>
            </w:r>
          </w:p>
        </w:tc>
      </w:tr>
      <w:tr w:rsidR="0093799B">
        <w:tc>
          <w:tcPr>
            <w:tcW w:w="1290" w:type="dxa"/>
            <w:vAlign w:val="center"/>
          </w:tcPr>
          <w:p w:rsidR="0093799B" w:rsidRDefault="00C17186">
            <w:pPr>
              <w:jc w:val="left"/>
            </w:pPr>
            <w:r>
              <w:rPr>
                <w:rFonts w:eastAsiaTheme="minorEastAsia"/>
                <w:color w:val="000000" w:themeColor="text1"/>
                <w:szCs w:val="21"/>
              </w:rPr>
              <w:t>过去一年</w:t>
            </w:r>
          </w:p>
        </w:tc>
        <w:tc>
          <w:tcPr>
            <w:tcW w:w="1291" w:type="dxa"/>
            <w:vAlign w:val="center"/>
          </w:tcPr>
          <w:p w:rsidR="0093799B" w:rsidRDefault="00C17186">
            <w:pPr>
              <w:jc w:val="right"/>
            </w:pPr>
            <w:r>
              <w:rPr>
                <w:rFonts w:eastAsiaTheme="minorEastAsia"/>
                <w:color w:val="000000" w:themeColor="text1"/>
                <w:szCs w:val="21"/>
              </w:rPr>
              <w:t>-27.53%</w:t>
            </w:r>
          </w:p>
        </w:tc>
        <w:tc>
          <w:tcPr>
            <w:tcW w:w="1291" w:type="dxa"/>
            <w:vAlign w:val="center"/>
          </w:tcPr>
          <w:p w:rsidR="0093799B" w:rsidRDefault="00C17186">
            <w:pPr>
              <w:jc w:val="right"/>
            </w:pPr>
            <w:r>
              <w:rPr>
                <w:rFonts w:eastAsiaTheme="minorEastAsia"/>
                <w:color w:val="000000" w:themeColor="text1"/>
                <w:szCs w:val="21"/>
              </w:rPr>
              <w:t>1.04%</w:t>
            </w:r>
          </w:p>
        </w:tc>
        <w:tc>
          <w:tcPr>
            <w:tcW w:w="1291" w:type="dxa"/>
            <w:vAlign w:val="center"/>
          </w:tcPr>
          <w:p w:rsidR="0093799B" w:rsidRDefault="00C17186">
            <w:pPr>
              <w:jc w:val="right"/>
            </w:pPr>
            <w:r>
              <w:rPr>
                <w:rFonts w:eastAsiaTheme="minorEastAsia"/>
                <w:color w:val="000000" w:themeColor="text1"/>
                <w:szCs w:val="21"/>
              </w:rPr>
              <w:t>-1.97%</w:t>
            </w:r>
          </w:p>
        </w:tc>
        <w:tc>
          <w:tcPr>
            <w:tcW w:w="1291" w:type="dxa"/>
            <w:vAlign w:val="center"/>
          </w:tcPr>
          <w:p w:rsidR="0093799B" w:rsidRDefault="00C17186">
            <w:pPr>
              <w:jc w:val="right"/>
            </w:pPr>
            <w:r>
              <w:rPr>
                <w:rFonts w:eastAsiaTheme="minorEastAsia"/>
                <w:color w:val="000000" w:themeColor="text1"/>
                <w:szCs w:val="21"/>
              </w:rPr>
              <w:t>0.79%</w:t>
            </w:r>
          </w:p>
        </w:tc>
        <w:tc>
          <w:tcPr>
            <w:tcW w:w="1291" w:type="dxa"/>
            <w:vAlign w:val="center"/>
          </w:tcPr>
          <w:p w:rsidR="0093799B" w:rsidRDefault="00C17186">
            <w:pPr>
              <w:jc w:val="right"/>
            </w:pPr>
            <w:r>
              <w:rPr>
                <w:rFonts w:eastAsiaTheme="minorEastAsia"/>
                <w:color w:val="000000" w:themeColor="text1"/>
                <w:szCs w:val="21"/>
              </w:rPr>
              <w:t>-25.56%</w:t>
            </w:r>
          </w:p>
        </w:tc>
        <w:tc>
          <w:tcPr>
            <w:tcW w:w="1291" w:type="dxa"/>
            <w:vAlign w:val="center"/>
          </w:tcPr>
          <w:p w:rsidR="0093799B" w:rsidRDefault="00C17186">
            <w:pPr>
              <w:jc w:val="right"/>
            </w:pPr>
            <w:r>
              <w:rPr>
                <w:rFonts w:eastAsiaTheme="minorEastAsia"/>
                <w:color w:val="000000" w:themeColor="text1"/>
                <w:szCs w:val="21"/>
              </w:rPr>
              <w:t>0.25%</w:t>
            </w:r>
          </w:p>
        </w:tc>
      </w:tr>
      <w:tr w:rsidR="0093799B">
        <w:tc>
          <w:tcPr>
            <w:tcW w:w="1290" w:type="dxa"/>
            <w:vAlign w:val="center"/>
          </w:tcPr>
          <w:p w:rsidR="0093799B" w:rsidRDefault="00C17186">
            <w:pPr>
              <w:jc w:val="left"/>
            </w:pPr>
            <w:r>
              <w:rPr>
                <w:rFonts w:eastAsiaTheme="minorEastAsia"/>
                <w:color w:val="000000" w:themeColor="text1"/>
                <w:szCs w:val="21"/>
              </w:rPr>
              <w:t>过去三年</w:t>
            </w:r>
          </w:p>
        </w:tc>
        <w:tc>
          <w:tcPr>
            <w:tcW w:w="1291" w:type="dxa"/>
            <w:vAlign w:val="center"/>
          </w:tcPr>
          <w:p w:rsidR="0093799B" w:rsidRDefault="00C17186">
            <w:pPr>
              <w:jc w:val="right"/>
            </w:pPr>
            <w:r>
              <w:rPr>
                <w:rFonts w:eastAsiaTheme="minorEastAsia"/>
                <w:color w:val="000000" w:themeColor="text1"/>
                <w:szCs w:val="21"/>
              </w:rPr>
              <w:t>-</w:t>
            </w:r>
          </w:p>
        </w:tc>
        <w:tc>
          <w:tcPr>
            <w:tcW w:w="1291" w:type="dxa"/>
            <w:vAlign w:val="center"/>
          </w:tcPr>
          <w:p w:rsidR="0093799B" w:rsidRDefault="00C17186">
            <w:pPr>
              <w:jc w:val="right"/>
            </w:pPr>
            <w:r>
              <w:rPr>
                <w:rFonts w:eastAsiaTheme="minorEastAsia"/>
                <w:color w:val="000000" w:themeColor="text1"/>
                <w:szCs w:val="21"/>
              </w:rPr>
              <w:t>-</w:t>
            </w:r>
          </w:p>
        </w:tc>
        <w:tc>
          <w:tcPr>
            <w:tcW w:w="1291" w:type="dxa"/>
            <w:vAlign w:val="center"/>
          </w:tcPr>
          <w:p w:rsidR="0093799B" w:rsidRDefault="00C17186">
            <w:pPr>
              <w:jc w:val="right"/>
            </w:pPr>
            <w:r>
              <w:rPr>
                <w:rFonts w:eastAsiaTheme="minorEastAsia"/>
                <w:color w:val="000000" w:themeColor="text1"/>
                <w:szCs w:val="21"/>
              </w:rPr>
              <w:t>-</w:t>
            </w:r>
          </w:p>
        </w:tc>
        <w:tc>
          <w:tcPr>
            <w:tcW w:w="1291" w:type="dxa"/>
            <w:vAlign w:val="center"/>
          </w:tcPr>
          <w:p w:rsidR="0093799B" w:rsidRDefault="00C17186">
            <w:pPr>
              <w:jc w:val="right"/>
            </w:pPr>
            <w:r>
              <w:rPr>
                <w:rFonts w:eastAsiaTheme="minorEastAsia"/>
                <w:color w:val="000000" w:themeColor="text1"/>
                <w:szCs w:val="21"/>
              </w:rPr>
              <w:t>-</w:t>
            </w:r>
          </w:p>
        </w:tc>
        <w:tc>
          <w:tcPr>
            <w:tcW w:w="1291" w:type="dxa"/>
            <w:vAlign w:val="center"/>
          </w:tcPr>
          <w:p w:rsidR="0093799B" w:rsidRDefault="00C17186">
            <w:pPr>
              <w:jc w:val="right"/>
            </w:pPr>
            <w:r>
              <w:rPr>
                <w:rFonts w:eastAsiaTheme="minorEastAsia"/>
                <w:color w:val="000000" w:themeColor="text1"/>
                <w:szCs w:val="21"/>
              </w:rPr>
              <w:t>-</w:t>
            </w:r>
          </w:p>
        </w:tc>
        <w:tc>
          <w:tcPr>
            <w:tcW w:w="1291" w:type="dxa"/>
            <w:vAlign w:val="center"/>
          </w:tcPr>
          <w:p w:rsidR="0093799B" w:rsidRDefault="00C17186">
            <w:pPr>
              <w:jc w:val="right"/>
            </w:pPr>
            <w:r>
              <w:rPr>
                <w:rFonts w:eastAsiaTheme="minorEastAsia"/>
                <w:color w:val="000000" w:themeColor="text1"/>
                <w:szCs w:val="21"/>
              </w:rPr>
              <w:t>-</w:t>
            </w:r>
          </w:p>
        </w:tc>
      </w:tr>
      <w:tr w:rsidR="0093799B">
        <w:tc>
          <w:tcPr>
            <w:tcW w:w="1290" w:type="dxa"/>
            <w:vAlign w:val="center"/>
          </w:tcPr>
          <w:p w:rsidR="0093799B" w:rsidRDefault="00C17186">
            <w:pPr>
              <w:jc w:val="left"/>
            </w:pPr>
            <w:r>
              <w:rPr>
                <w:rFonts w:eastAsiaTheme="minorEastAsia"/>
                <w:color w:val="000000" w:themeColor="text1"/>
                <w:szCs w:val="21"/>
              </w:rPr>
              <w:t>过去五年</w:t>
            </w:r>
          </w:p>
        </w:tc>
        <w:tc>
          <w:tcPr>
            <w:tcW w:w="1291" w:type="dxa"/>
            <w:vAlign w:val="center"/>
          </w:tcPr>
          <w:p w:rsidR="0093799B" w:rsidRDefault="00C17186">
            <w:pPr>
              <w:jc w:val="right"/>
            </w:pPr>
            <w:r>
              <w:rPr>
                <w:rFonts w:eastAsiaTheme="minorEastAsia"/>
                <w:color w:val="000000" w:themeColor="text1"/>
                <w:szCs w:val="21"/>
              </w:rPr>
              <w:t>-</w:t>
            </w:r>
          </w:p>
        </w:tc>
        <w:tc>
          <w:tcPr>
            <w:tcW w:w="1291" w:type="dxa"/>
            <w:vAlign w:val="center"/>
          </w:tcPr>
          <w:p w:rsidR="0093799B" w:rsidRDefault="00C17186">
            <w:pPr>
              <w:jc w:val="right"/>
            </w:pPr>
            <w:r>
              <w:rPr>
                <w:rFonts w:eastAsiaTheme="minorEastAsia"/>
                <w:color w:val="000000" w:themeColor="text1"/>
                <w:szCs w:val="21"/>
              </w:rPr>
              <w:t>-</w:t>
            </w:r>
          </w:p>
        </w:tc>
        <w:tc>
          <w:tcPr>
            <w:tcW w:w="1291" w:type="dxa"/>
            <w:vAlign w:val="center"/>
          </w:tcPr>
          <w:p w:rsidR="0093799B" w:rsidRDefault="00C17186">
            <w:pPr>
              <w:jc w:val="right"/>
            </w:pPr>
            <w:r>
              <w:rPr>
                <w:rFonts w:eastAsiaTheme="minorEastAsia"/>
                <w:color w:val="000000" w:themeColor="text1"/>
                <w:szCs w:val="21"/>
              </w:rPr>
              <w:t>-</w:t>
            </w:r>
          </w:p>
        </w:tc>
        <w:tc>
          <w:tcPr>
            <w:tcW w:w="1291" w:type="dxa"/>
            <w:vAlign w:val="center"/>
          </w:tcPr>
          <w:p w:rsidR="0093799B" w:rsidRDefault="00C17186">
            <w:pPr>
              <w:jc w:val="right"/>
            </w:pPr>
            <w:r>
              <w:rPr>
                <w:rFonts w:eastAsiaTheme="minorEastAsia"/>
                <w:color w:val="000000" w:themeColor="text1"/>
                <w:szCs w:val="21"/>
              </w:rPr>
              <w:t>-</w:t>
            </w:r>
          </w:p>
        </w:tc>
        <w:tc>
          <w:tcPr>
            <w:tcW w:w="1291" w:type="dxa"/>
            <w:vAlign w:val="center"/>
          </w:tcPr>
          <w:p w:rsidR="0093799B" w:rsidRDefault="00C17186">
            <w:pPr>
              <w:jc w:val="right"/>
            </w:pPr>
            <w:r>
              <w:rPr>
                <w:rFonts w:eastAsiaTheme="minorEastAsia"/>
                <w:color w:val="000000" w:themeColor="text1"/>
                <w:szCs w:val="21"/>
              </w:rPr>
              <w:t>-</w:t>
            </w:r>
          </w:p>
        </w:tc>
        <w:tc>
          <w:tcPr>
            <w:tcW w:w="1291" w:type="dxa"/>
            <w:vAlign w:val="center"/>
          </w:tcPr>
          <w:p w:rsidR="0093799B" w:rsidRDefault="00C17186">
            <w:pPr>
              <w:jc w:val="right"/>
            </w:pPr>
            <w:r>
              <w:rPr>
                <w:rFonts w:eastAsiaTheme="minorEastAsia"/>
                <w:color w:val="000000" w:themeColor="text1"/>
                <w:szCs w:val="21"/>
              </w:rPr>
              <w:t>-</w:t>
            </w:r>
          </w:p>
        </w:tc>
      </w:tr>
      <w:tr w:rsidR="0093799B">
        <w:tc>
          <w:tcPr>
            <w:tcW w:w="1290" w:type="dxa"/>
            <w:vAlign w:val="center"/>
          </w:tcPr>
          <w:p w:rsidR="0093799B" w:rsidRDefault="00C17186">
            <w:pPr>
              <w:jc w:val="left"/>
            </w:pPr>
            <w:r>
              <w:rPr>
                <w:rFonts w:eastAsiaTheme="minorEastAsia"/>
                <w:color w:val="000000" w:themeColor="text1"/>
                <w:szCs w:val="21"/>
              </w:rPr>
              <w:t>自基金合同生效起至今</w:t>
            </w:r>
          </w:p>
        </w:tc>
        <w:tc>
          <w:tcPr>
            <w:tcW w:w="1291" w:type="dxa"/>
            <w:vAlign w:val="center"/>
          </w:tcPr>
          <w:p w:rsidR="0093799B" w:rsidRDefault="00C17186">
            <w:pPr>
              <w:jc w:val="right"/>
            </w:pPr>
            <w:r>
              <w:rPr>
                <w:rFonts w:eastAsiaTheme="minorEastAsia"/>
                <w:color w:val="000000" w:themeColor="text1"/>
                <w:szCs w:val="21"/>
              </w:rPr>
              <w:t>-33.83%</w:t>
            </w:r>
          </w:p>
        </w:tc>
        <w:tc>
          <w:tcPr>
            <w:tcW w:w="1291" w:type="dxa"/>
            <w:vAlign w:val="center"/>
          </w:tcPr>
          <w:p w:rsidR="0093799B" w:rsidRDefault="00C17186">
            <w:pPr>
              <w:jc w:val="right"/>
            </w:pPr>
            <w:r>
              <w:rPr>
                <w:rFonts w:eastAsiaTheme="minorEastAsia"/>
                <w:color w:val="000000" w:themeColor="text1"/>
                <w:szCs w:val="21"/>
              </w:rPr>
              <w:t>1.38%</w:t>
            </w:r>
          </w:p>
        </w:tc>
        <w:tc>
          <w:tcPr>
            <w:tcW w:w="1291" w:type="dxa"/>
            <w:vAlign w:val="center"/>
          </w:tcPr>
          <w:p w:rsidR="0093799B" w:rsidRDefault="00C17186">
            <w:pPr>
              <w:jc w:val="right"/>
            </w:pPr>
            <w:r>
              <w:rPr>
                <w:rFonts w:eastAsiaTheme="minorEastAsia"/>
                <w:color w:val="000000" w:themeColor="text1"/>
                <w:szCs w:val="21"/>
              </w:rPr>
              <w:t>-15.60%</w:t>
            </w:r>
          </w:p>
        </w:tc>
        <w:tc>
          <w:tcPr>
            <w:tcW w:w="1291" w:type="dxa"/>
            <w:vAlign w:val="center"/>
          </w:tcPr>
          <w:p w:rsidR="0093799B" w:rsidRDefault="00C17186">
            <w:pPr>
              <w:jc w:val="right"/>
            </w:pPr>
            <w:r>
              <w:rPr>
                <w:rFonts w:eastAsiaTheme="minorEastAsia"/>
                <w:color w:val="000000" w:themeColor="text1"/>
                <w:szCs w:val="21"/>
              </w:rPr>
              <w:t>0.94%</w:t>
            </w:r>
          </w:p>
        </w:tc>
        <w:tc>
          <w:tcPr>
            <w:tcW w:w="1291" w:type="dxa"/>
            <w:vAlign w:val="center"/>
          </w:tcPr>
          <w:p w:rsidR="0093799B" w:rsidRDefault="00C17186">
            <w:pPr>
              <w:jc w:val="right"/>
            </w:pPr>
            <w:r>
              <w:rPr>
                <w:rFonts w:eastAsiaTheme="minorEastAsia"/>
                <w:color w:val="000000" w:themeColor="text1"/>
                <w:szCs w:val="21"/>
              </w:rPr>
              <w:t>-18.23%</w:t>
            </w:r>
          </w:p>
        </w:tc>
        <w:tc>
          <w:tcPr>
            <w:tcW w:w="1291" w:type="dxa"/>
            <w:vAlign w:val="center"/>
          </w:tcPr>
          <w:p w:rsidR="0093799B" w:rsidRDefault="00C17186">
            <w:pPr>
              <w:jc w:val="right"/>
            </w:pPr>
            <w:r>
              <w:rPr>
                <w:rFonts w:eastAsiaTheme="minorEastAsia"/>
                <w:color w:val="000000" w:themeColor="text1"/>
                <w:szCs w:val="21"/>
              </w:rPr>
              <w:t>0.44%</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摩根安全战略股票型证券投资基金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．摩根安全战略股票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．摩根安全战略股票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93799B">
        <w:tc>
          <w:tcPr>
            <w:tcW w:w="952" w:type="dxa"/>
            <w:vAlign w:val="center"/>
          </w:tcPr>
          <w:p w:rsidR="0093799B" w:rsidRDefault="00C17186">
            <w:pPr>
              <w:jc w:val="center"/>
            </w:pPr>
            <w:r>
              <w:rPr>
                <w:rFonts w:eastAsiaTheme="minorEastAsia"/>
                <w:color w:val="000000" w:themeColor="text1"/>
                <w:szCs w:val="21"/>
              </w:rPr>
              <w:t>陈思郁</w:t>
            </w:r>
          </w:p>
        </w:tc>
        <w:tc>
          <w:tcPr>
            <w:tcW w:w="930" w:type="dxa"/>
            <w:vAlign w:val="center"/>
          </w:tcPr>
          <w:p w:rsidR="0093799B" w:rsidRDefault="00C17186">
            <w:pPr>
              <w:jc w:val="center"/>
            </w:pPr>
            <w:r>
              <w:rPr>
                <w:rFonts w:eastAsiaTheme="minorEastAsia"/>
                <w:color w:val="000000" w:themeColor="text1"/>
                <w:szCs w:val="21"/>
              </w:rPr>
              <w:t>本基金基金经理</w:t>
            </w:r>
          </w:p>
        </w:tc>
        <w:tc>
          <w:tcPr>
            <w:tcW w:w="1210" w:type="dxa"/>
            <w:vAlign w:val="center"/>
          </w:tcPr>
          <w:p w:rsidR="0093799B" w:rsidRDefault="00C17186">
            <w:pPr>
              <w:jc w:val="center"/>
            </w:pPr>
            <w:r>
              <w:rPr>
                <w:rFonts w:eastAsiaTheme="minorEastAsia"/>
                <w:color w:val="000000" w:themeColor="text1"/>
                <w:szCs w:val="21"/>
              </w:rPr>
              <w:t>2016-10-21</w:t>
            </w:r>
          </w:p>
        </w:tc>
        <w:tc>
          <w:tcPr>
            <w:tcW w:w="1309" w:type="dxa"/>
            <w:vAlign w:val="center"/>
          </w:tcPr>
          <w:p w:rsidR="0093799B" w:rsidRDefault="00C17186">
            <w:pPr>
              <w:jc w:val="center"/>
            </w:pPr>
            <w:r>
              <w:rPr>
                <w:rFonts w:eastAsiaTheme="minorEastAsia"/>
                <w:color w:val="000000" w:themeColor="text1"/>
                <w:szCs w:val="21"/>
              </w:rPr>
              <w:t>-</w:t>
            </w:r>
          </w:p>
        </w:tc>
        <w:tc>
          <w:tcPr>
            <w:tcW w:w="1254" w:type="dxa"/>
            <w:vAlign w:val="center"/>
          </w:tcPr>
          <w:p w:rsidR="0093799B" w:rsidRDefault="00C17186">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93799B" w:rsidRDefault="00C17186">
            <w:r>
              <w:rPr>
                <w:rFonts w:eastAsiaTheme="minorEastAsia"/>
                <w:color w:val="000000" w:themeColor="text1"/>
                <w:szCs w:val="21"/>
              </w:rPr>
              <w:t>陈思郁女士曾任国泰君安研究所研究员。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月加入摩根基金管理（中国）有限公司（原上投摩根基金管理有限公司），历任行业专家、基金经理助理、基金经理，现任高级基金经理。</w:t>
            </w:r>
          </w:p>
        </w:tc>
      </w:tr>
    </w:tbl>
    <w:p w:rsidR="0093799B" w:rsidRDefault="00C1718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陈思郁</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2,506,649,906.67</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17,345,552.68</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2022-08-26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2,523,995,459.35</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w:t>
      </w:r>
      <w:r>
        <w:rPr>
          <w:rFonts w:eastAsiaTheme="minorEastAsia"/>
          <w:color w:val="000000" w:themeColor="text1"/>
          <w:szCs w:val="21"/>
        </w:rPr>
        <w:t>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w:t>
      </w:r>
      <w:r>
        <w:rPr>
          <w:rFonts w:eastAsiaTheme="minorEastAsia"/>
          <w:color w:val="000000" w:themeColor="text1"/>
          <w:szCs w:val="21"/>
        </w:rPr>
        <w:lastRenderedPageBreak/>
        <w:t>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进入三季度，经济大环境底部震荡，暑期出行游成为主要的亮点，出行人次超出市场此前预期，出口依然维持高位，尤其是对一带一路国家的出口，部分抵消了来自欧美订单的回落，其他投资、消费均较为疲弱。</w:t>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市场整体走的比较低迷，前期热点，如机器人、人工智能（</w:t>
      </w:r>
      <w:r>
        <w:rPr>
          <w:rFonts w:eastAsiaTheme="minorEastAsia"/>
          <w:color w:val="000000" w:themeColor="text1"/>
          <w:szCs w:val="21"/>
        </w:rPr>
        <w:t>AI</w:t>
      </w:r>
      <w:r>
        <w:rPr>
          <w:rFonts w:eastAsiaTheme="minorEastAsia"/>
          <w:color w:val="000000" w:themeColor="text1"/>
          <w:szCs w:val="21"/>
        </w:rPr>
        <w:t>）、芯片封装优化（</w:t>
      </w:r>
      <w:r>
        <w:rPr>
          <w:rFonts w:eastAsiaTheme="minorEastAsia"/>
          <w:color w:val="000000" w:themeColor="text1"/>
          <w:szCs w:val="21"/>
        </w:rPr>
        <w:t>CPO</w:t>
      </w:r>
      <w:r>
        <w:rPr>
          <w:rFonts w:eastAsiaTheme="minorEastAsia"/>
          <w:color w:val="000000" w:themeColor="text1"/>
          <w:szCs w:val="21"/>
        </w:rPr>
        <w:t>）等均出现较大回撤，成交量也持续萎缩。</w:t>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本基金降低仓位，且有部分仓位配置于高股息、低波动个股，组合相对偏防御，在三季度取得了一定的相对收益。</w:t>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展望后市，我们依然不悲观，虽然这个经济低迷期和市场底部比我们预想中要长。从高频数据来看，</w:t>
      </w:r>
      <w:r>
        <w:rPr>
          <w:rFonts w:eastAsiaTheme="minorEastAsia"/>
          <w:color w:val="000000" w:themeColor="text1"/>
          <w:szCs w:val="21"/>
        </w:rPr>
        <w:t>9</w:t>
      </w:r>
      <w:r>
        <w:rPr>
          <w:rFonts w:eastAsiaTheme="minorEastAsia"/>
          <w:color w:val="000000" w:themeColor="text1"/>
          <w:szCs w:val="21"/>
        </w:rPr>
        <w:t>、</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PMI</w:t>
      </w:r>
      <w:r>
        <w:rPr>
          <w:rFonts w:eastAsiaTheme="minorEastAsia"/>
          <w:color w:val="000000" w:themeColor="text1"/>
          <w:szCs w:val="21"/>
        </w:rPr>
        <w:t>有望拐头进入扩张区间，部分制造业进入被动补库阶段，叠加此前出台的一系列救市托底政策，如地产放松、专项债加速发放等，四季度经济数据有望温和复苏，完成筑底。同时大家目前对于经济和政策的预期，均处于历史极低水平，超预期的经济数据或者政策是有可能发生的。</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但历史经验告诉我们，熊市抄底如火中取栗，因此虽然战略上我们不悲观，战术上我们倾向于做右侧，短期用高股息低波动个股和低仓位应对形态可能会比较复杂的磨底，同时持有部分顺周期板块，及业绩高增长的个股，等看到经济出现超预期增长或者政策出台力度更大的时候，择机加仓。</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本报告期摩根安全战略</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:-9.69%</w:t>
      </w:r>
      <w:r>
        <w:rPr>
          <w:rFonts w:eastAsiaTheme="minorEastAsia"/>
          <w:color w:val="000000" w:themeColor="text1"/>
          <w:szCs w:val="21"/>
        </w:rPr>
        <w:t>，同期业绩比较基准收益率为</w:t>
      </w:r>
      <w:r>
        <w:rPr>
          <w:rFonts w:eastAsiaTheme="minorEastAsia"/>
          <w:color w:val="000000" w:themeColor="text1"/>
          <w:szCs w:val="21"/>
        </w:rPr>
        <w:t>:-3.65%</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摩根安全战略</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:-9.78%</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:-3.65%</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220,350,290.09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82.64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220,350,290.09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82.64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41,710,702.44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4,592,786.00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266,653,778.53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9,013,570.96</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3.39</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124,121,913.56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46.74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63,116,256.08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23.77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4,819.14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1,108,206.00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12,101,607.85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4.56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4,144,640.50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6,739,276.00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220,350,290.09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82.97</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93799B">
        <w:tc>
          <w:tcPr>
            <w:tcW w:w="817" w:type="dxa"/>
            <w:vAlign w:val="center"/>
          </w:tcPr>
          <w:p w:rsidR="0093799B" w:rsidRDefault="00C17186">
            <w:pPr>
              <w:jc w:val="center"/>
            </w:pPr>
            <w:r>
              <w:rPr>
                <w:rFonts w:eastAsiaTheme="minorEastAsia"/>
                <w:kern w:val="0"/>
                <w:szCs w:val="21"/>
              </w:rPr>
              <w:t>1</w:t>
            </w:r>
          </w:p>
        </w:tc>
        <w:tc>
          <w:tcPr>
            <w:tcW w:w="1276" w:type="dxa"/>
            <w:vAlign w:val="center"/>
          </w:tcPr>
          <w:p w:rsidR="0093799B" w:rsidRDefault="00C17186">
            <w:pPr>
              <w:jc w:val="center"/>
            </w:pPr>
            <w:r>
              <w:rPr>
                <w:rFonts w:eastAsiaTheme="minorEastAsia"/>
                <w:kern w:val="0"/>
                <w:szCs w:val="21"/>
              </w:rPr>
              <w:t>600900</w:t>
            </w:r>
          </w:p>
        </w:tc>
        <w:tc>
          <w:tcPr>
            <w:tcW w:w="1701" w:type="dxa"/>
            <w:vAlign w:val="center"/>
          </w:tcPr>
          <w:p w:rsidR="0093799B" w:rsidRDefault="00C17186">
            <w:pPr>
              <w:jc w:val="center"/>
            </w:pPr>
            <w:r>
              <w:rPr>
                <w:rFonts w:eastAsiaTheme="minorEastAsia"/>
                <w:kern w:val="0"/>
                <w:szCs w:val="21"/>
              </w:rPr>
              <w:t>长江电力</w:t>
            </w:r>
          </w:p>
        </w:tc>
        <w:tc>
          <w:tcPr>
            <w:tcW w:w="1276" w:type="dxa"/>
            <w:vAlign w:val="center"/>
          </w:tcPr>
          <w:p w:rsidR="0093799B" w:rsidRDefault="00C17186">
            <w:pPr>
              <w:jc w:val="right"/>
            </w:pPr>
            <w:r>
              <w:rPr>
                <w:rFonts w:eastAsiaTheme="minorEastAsia"/>
                <w:kern w:val="0"/>
                <w:szCs w:val="21"/>
              </w:rPr>
              <w:t>908,800</w:t>
            </w:r>
          </w:p>
        </w:tc>
        <w:tc>
          <w:tcPr>
            <w:tcW w:w="1842" w:type="dxa"/>
            <w:vAlign w:val="center"/>
          </w:tcPr>
          <w:p w:rsidR="0093799B" w:rsidRDefault="00C17186">
            <w:pPr>
              <w:jc w:val="right"/>
            </w:pPr>
            <w:r>
              <w:rPr>
                <w:rFonts w:eastAsiaTheme="minorEastAsia"/>
                <w:kern w:val="0"/>
                <w:szCs w:val="21"/>
              </w:rPr>
              <w:t>20,211,712.00</w:t>
            </w:r>
          </w:p>
        </w:tc>
        <w:tc>
          <w:tcPr>
            <w:tcW w:w="1616" w:type="dxa"/>
            <w:vAlign w:val="center"/>
          </w:tcPr>
          <w:p w:rsidR="0093799B" w:rsidRDefault="00C17186">
            <w:pPr>
              <w:jc w:val="right"/>
            </w:pPr>
            <w:r>
              <w:rPr>
                <w:rFonts w:eastAsiaTheme="minorEastAsia"/>
                <w:kern w:val="0"/>
                <w:szCs w:val="21"/>
              </w:rPr>
              <w:t>7.61</w:t>
            </w:r>
          </w:p>
        </w:tc>
      </w:tr>
      <w:tr w:rsidR="0093799B">
        <w:tc>
          <w:tcPr>
            <w:tcW w:w="817" w:type="dxa"/>
            <w:vAlign w:val="center"/>
          </w:tcPr>
          <w:p w:rsidR="0093799B" w:rsidRDefault="00C17186">
            <w:pPr>
              <w:jc w:val="center"/>
            </w:pPr>
            <w:r>
              <w:rPr>
                <w:rFonts w:eastAsiaTheme="minorEastAsia"/>
                <w:kern w:val="0"/>
                <w:szCs w:val="21"/>
              </w:rPr>
              <w:t>2</w:t>
            </w:r>
          </w:p>
        </w:tc>
        <w:tc>
          <w:tcPr>
            <w:tcW w:w="1276" w:type="dxa"/>
            <w:vAlign w:val="center"/>
          </w:tcPr>
          <w:p w:rsidR="0093799B" w:rsidRDefault="00C17186">
            <w:pPr>
              <w:jc w:val="center"/>
            </w:pPr>
            <w:r>
              <w:rPr>
                <w:rFonts w:eastAsiaTheme="minorEastAsia"/>
                <w:kern w:val="0"/>
                <w:szCs w:val="21"/>
              </w:rPr>
              <w:t>600519</w:t>
            </w:r>
          </w:p>
        </w:tc>
        <w:tc>
          <w:tcPr>
            <w:tcW w:w="1701" w:type="dxa"/>
            <w:vAlign w:val="center"/>
          </w:tcPr>
          <w:p w:rsidR="0093799B" w:rsidRDefault="00C17186">
            <w:pPr>
              <w:jc w:val="center"/>
            </w:pPr>
            <w:r>
              <w:rPr>
                <w:rFonts w:eastAsiaTheme="minorEastAsia"/>
                <w:kern w:val="0"/>
                <w:szCs w:val="21"/>
              </w:rPr>
              <w:t>贵州茅台</w:t>
            </w:r>
          </w:p>
        </w:tc>
        <w:tc>
          <w:tcPr>
            <w:tcW w:w="1276" w:type="dxa"/>
            <w:vAlign w:val="center"/>
          </w:tcPr>
          <w:p w:rsidR="0093799B" w:rsidRDefault="00C17186">
            <w:pPr>
              <w:jc w:val="right"/>
            </w:pPr>
            <w:r>
              <w:rPr>
                <w:rFonts w:eastAsiaTheme="minorEastAsia"/>
                <w:kern w:val="0"/>
                <w:szCs w:val="21"/>
              </w:rPr>
              <w:t>9,100</w:t>
            </w:r>
          </w:p>
        </w:tc>
        <w:tc>
          <w:tcPr>
            <w:tcW w:w="1842" w:type="dxa"/>
            <w:vAlign w:val="center"/>
          </w:tcPr>
          <w:p w:rsidR="0093799B" w:rsidRDefault="00C17186">
            <w:pPr>
              <w:jc w:val="right"/>
            </w:pPr>
            <w:r>
              <w:rPr>
                <w:rFonts w:eastAsiaTheme="minorEastAsia"/>
                <w:kern w:val="0"/>
                <w:szCs w:val="21"/>
              </w:rPr>
              <w:t>16,366,805.00</w:t>
            </w:r>
          </w:p>
        </w:tc>
        <w:tc>
          <w:tcPr>
            <w:tcW w:w="1616" w:type="dxa"/>
            <w:vAlign w:val="center"/>
          </w:tcPr>
          <w:p w:rsidR="0093799B" w:rsidRDefault="00C17186">
            <w:pPr>
              <w:jc w:val="right"/>
            </w:pPr>
            <w:r>
              <w:rPr>
                <w:rFonts w:eastAsiaTheme="minorEastAsia"/>
                <w:kern w:val="0"/>
                <w:szCs w:val="21"/>
              </w:rPr>
              <w:t>6.16</w:t>
            </w:r>
          </w:p>
        </w:tc>
      </w:tr>
      <w:tr w:rsidR="0093799B">
        <w:tc>
          <w:tcPr>
            <w:tcW w:w="817" w:type="dxa"/>
            <w:vAlign w:val="center"/>
          </w:tcPr>
          <w:p w:rsidR="0093799B" w:rsidRDefault="00C17186">
            <w:pPr>
              <w:jc w:val="center"/>
            </w:pPr>
            <w:r>
              <w:rPr>
                <w:rFonts w:eastAsiaTheme="minorEastAsia"/>
                <w:kern w:val="0"/>
                <w:szCs w:val="21"/>
              </w:rPr>
              <w:t>3</w:t>
            </w:r>
          </w:p>
        </w:tc>
        <w:tc>
          <w:tcPr>
            <w:tcW w:w="1276" w:type="dxa"/>
            <w:vAlign w:val="center"/>
          </w:tcPr>
          <w:p w:rsidR="0093799B" w:rsidRDefault="00C17186">
            <w:pPr>
              <w:jc w:val="center"/>
            </w:pPr>
            <w:r>
              <w:rPr>
                <w:rFonts w:eastAsiaTheme="minorEastAsia"/>
                <w:kern w:val="0"/>
                <w:szCs w:val="21"/>
              </w:rPr>
              <w:t>600461</w:t>
            </w:r>
          </w:p>
        </w:tc>
        <w:tc>
          <w:tcPr>
            <w:tcW w:w="1701" w:type="dxa"/>
            <w:vAlign w:val="center"/>
          </w:tcPr>
          <w:p w:rsidR="0093799B" w:rsidRDefault="00C17186">
            <w:pPr>
              <w:jc w:val="center"/>
            </w:pPr>
            <w:r>
              <w:rPr>
                <w:rFonts w:eastAsiaTheme="minorEastAsia"/>
                <w:kern w:val="0"/>
                <w:szCs w:val="21"/>
              </w:rPr>
              <w:t>洪城环境</w:t>
            </w:r>
          </w:p>
        </w:tc>
        <w:tc>
          <w:tcPr>
            <w:tcW w:w="1276" w:type="dxa"/>
            <w:vAlign w:val="center"/>
          </w:tcPr>
          <w:p w:rsidR="0093799B" w:rsidRDefault="00C17186">
            <w:pPr>
              <w:jc w:val="right"/>
            </w:pPr>
            <w:r>
              <w:rPr>
                <w:rFonts w:eastAsiaTheme="minorEastAsia"/>
                <w:kern w:val="0"/>
                <w:szCs w:val="21"/>
              </w:rPr>
              <w:t>1,379,800</w:t>
            </w:r>
          </w:p>
        </w:tc>
        <w:tc>
          <w:tcPr>
            <w:tcW w:w="1842" w:type="dxa"/>
            <w:vAlign w:val="center"/>
          </w:tcPr>
          <w:p w:rsidR="0093799B" w:rsidRDefault="00C17186">
            <w:pPr>
              <w:jc w:val="right"/>
            </w:pPr>
            <w:r>
              <w:rPr>
                <w:rFonts w:eastAsiaTheme="minorEastAsia"/>
                <w:kern w:val="0"/>
                <w:szCs w:val="21"/>
              </w:rPr>
              <w:t>12,114,644.00</w:t>
            </w:r>
          </w:p>
        </w:tc>
        <w:tc>
          <w:tcPr>
            <w:tcW w:w="1616" w:type="dxa"/>
            <w:vAlign w:val="center"/>
          </w:tcPr>
          <w:p w:rsidR="0093799B" w:rsidRDefault="00C17186">
            <w:pPr>
              <w:jc w:val="right"/>
            </w:pPr>
            <w:r>
              <w:rPr>
                <w:rFonts w:eastAsiaTheme="minorEastAsia"/>
                <w:kern w:val="0"/>
                <w:szCs w:val="21"/>
              </w:rPr>
              <w:t>4.56</w:t>
            </w:r>
          </w:p>
        </w:tc>
      </w:tr>
      <w:tr w:rsidR="0093799B">
        <w:tc>
          <w:tcPr>
            <w:tcW w:w="817" w:type="dxa"/>
            <w:vAlign w:val="center"/>
          </w:tcPr>
          <w:p w:rsidR="0093799B" w:rsidRDefault="00C17186">
            <w:pPr>
              <w:jc w:val="center"/>
            </w:pPr>
            <w:r>
              <w:rPr>
                <w:rFonts w:eastAsiaTheme="minorEastAsia"/>
                <w:kern w:val="0"/>
                <w:szCs w:val="21"/>
              </w:rPr>
              <w:t>4</w:t>
            </w:r>
          </w:p>
        </w:tc>
        <w:tc>
          <w:tcPr>
            <w:tcW w:w="1276" w:type="dxa"/>
            <w:vAlign w:val="center"/>
          </w:tcPr>
          <w:p w:rsidR="0093799B" w:rsidRDefault="00C17186">
            <w:pPr>
              <w:jc w:val="center"/>
            </w:pPr>
            <w:r>
              <w:rPr>
                <w:rFonts w:eastAsiaTheme="minorEastAsia"/>
                <w:kern w:val="0"/>
                <w:szCs w:val="21"/>
              </w:rPr>
              <w:t>600941</w:t>
            </w:r>
          </w:p>
        </w:tc>
        <w:tc>
          <w:tcPr>
            <w:tcW w:w="1701" w:type="dxa"/>
            <w:vAlign w:val="center"/>
          </w:tcPr>
          <w:p w:rsidR="0093799B" w:rsidRDefault="00C17186">
            <w:pPr>
              <w:jc w:val="center"/>
            </w:pPr>
            <w:r>
              <w:rPr>
                <w:rFonts w:eastAsiaTheme="minorEastAsia"/>
                <w:kern w:val="0"/>
                <w:szCs w:val="21"/>
              </w:rPr>
              <w:t>中国移动</w:t>
            </w:r>
          </w:p>
        </w:tc>
        <w:tc>
          <w:tcPr>
            <w:tcW w:w="1276" w:type="dxa"/>
            <w:vAlign w:val="center"/>
          </w:tcPr>
          <w:p w:rsidR="0093799B" w:rsidRDefault="00C17186">
            <w:pPr>
              <w:jc w:val="right"/>
            </w:pPr>
            <w:r>
              <w:rPr>
                <w:rFonts w:eastAsiaTheme="minorEastAsia"/>
                <w:kern w:val="0"/>
                <w:szCs w:val="21"/>
              </w:rPr>
              <w:t>94,300</w:t>
            </w:r>
          </w:p>
        </w:tc>
        <w:tc>
          <w:tcPr>
            <w:tcW w:w="1842" w:type="dxa"/>
            <w:vAlign w:val="center"/>
          </w:tcPr>
          <w:p w:rsidR="0093799B" w:rsidRDefault="00C17186">
            <w:pPr>
              <w:jc w:val="right"/>
            </w:pPr>
            <w:r>
              <w:rPr>
                <w:rFonts w:eastAsiaTheme="minorEastAsia"/>
                <w:kern w:val="0"/>
                <w:szCs w:val="21"/>
              </w:rPr>
              <w:t>9,130,126.00</w:t>
            </w:r>
          </w:p>
        </w:tc>
        <w:tc>
          <w:tcPr>
            <w:tcW w:w="1616" w:type="dxa"/>
            <w:vAlign w:val="center"/>
          </w:tcPr>
          <w:p w:rsidR="0093799B" w:rsidRDefault="00C17186">
            <w:pPr>
              <w:jc w:val="right"/>
            </w:pPr>
            <w:r>
              <w:rPr>
                <w:rFonts w:eastAsiaTheme="minorEastAsia"/>
                <w:kern w:val="0"/>
                <w:szCs w:val="21"/>
              </w:rPr>
              <w:t>3.44</w:t>
            </w:r>
          </w:p>
        </w:tc>
      </w:tr>
      <w:tr w:rsidR="0093799B">
        <w:tc>
          <w:tcPr>
            <w:tcW w:w="817" w:type="dxa"/>
            <w:vAlign w:val="center"/>
          </w:tcPr>
          <w:p w:rsidR="0093799B" w:rsidRDefault="00C17186">
            <w:pPr>
              <w:jc w:val="center"/>
            </w:pPr>
            <w:r>
              <w:rPr>
                <w:rFonts w:eastAsiaTheme="minorEastAsia"/>
                <w:kern w:val="0"/>
                <w:szCs w:val="21"/>
              </w:rPr>
              <w:t>5</w:t>
            </w:r>
          </w:p>
        </w:tc>
        <w:tc>
          <w:tcPr>
            <w:tcW w:w="1276" w:type="dxa"/>
            <w:vAlign w:val="center"/>
          </w:tcPr>
          <w:p w:rsidR="0093799B" w:rsidRDefault="00C17186">
            <w:pPr>
              <w:jc w:val="center"/>
            </w:pPr>
            <w:r>
              <w:rPr>
                <w:rFonts w:eastAsiaTheme="minorEastAsia"/>
                <w:kern w:val="0"/>
                <w:szCs w:val="21"/>
              </w:rPr>
              <w:t>600674</w:t>
            </w:r>
          </w:p>
        </w:tc>
        <w:tc>
          <w:tcPr>
            <w:tcW w:w="1701" w:type="dxa"/>
            <w:vAlign w:val="center"/>
          </w:tcPr>
          <w:p w:rsidR="0093799B" w:rsidRDefault="00C17186">
            <w:pPr>
              <w:jc w:val="center"/>
            </w:pPr>
            <w:r>
              <w:rPr>
                <w:rFonts w:eastAsiaTheme="minorEastAsia"/>
                <w:kern w:val="0"/>
                <w:szCs w:val="21"/>
              </w:rPr>
              <w:t>川投能源</w:t>
            </w:r>
          </w:p>
        </w:tc>
        <w:tc>
          <w:tcPr>
            <w:tcW w:w="1276" w:type="dxa"/>
            <w:vAlign w:val="center"/>
          </w:tcPr>
          <w:p w:rsidR="0093799B" w:rsidRDefault="00C17186">
            <w:pPr>
              <w:jc w:val="right"/>
            </w:pPr>
            <w:r>
              <w:rPr>
                <w:rFonts w:eastAsiaTheme="minorEastAsia"/>
                <w:kern w:val="0"/>
                <w:szCs w:val="21"/>
              </w:rPr>
              <w:t>589,609</w:t>
            </w:r>
          </w:p>
        </w:tc>
        <w:tc>
          <w:tcPr>
            <w:tcW w:w="1842" w:type="dxa"/>
            <w:vAlign w:val="center"/>
          </w:tcPr>
          <w:p w:rsidR="0093799B" w:rsidRDefault="00C17186">
            <w:pPr>
              <w:jc w:val="right"/>
            </w:pPr>
            <w:r>
              <w:rPr>
                <w:rFonts w:eastAsiaTheme="minorEastAsia"/>
                <w:kern w:val="0"/>
                <w:szCs w:val="21"/>
              </w:rPr>
              <w:t>8,726,213.20</w:t>
            </w:r>
          </w:p>
        </w:tc>
        <w:tc>
          <w:tcPr>
            <w:tcW w:w="1616" w:type="dxa"/>
            <w:vAlign w:val="center"/>
          </w:tcPr>
          <w:p w:rsidR="0093799B" w:rsidRDefault="00C17186">
            <w:pPr>
              <w:jc w:val="right"/>
            </w:pPr>
            <w:r>
              <w:rPr>
                <w:rFonts w:eastAsiaTheme="minorEastAsia"/>
                <w:kern w:val="0"/>
                <w:szCs w:val="21"/>
              </w:rPr>
              <w:t>3.29</w:t>
            </w:r>
          </w:p>
        </w:tc>
      </w:tr>
      <w:tr w:rsidR="0093799B">
        <w:tc>
          <w:tcPr>
            <w:tcW w:w="817" w:type="dxa"/>
            <w:vAlign w:val="center"/>
          </w:tcPr>
          <w:p w:rsidR="0093799B" w:rsidRDefault="00C17186">
            <w:pPr>
              <w:jc w:val="center"/>
            </w:pPr>
            <w:r>
              <w:rPr>
                <w:rFonts w:eastAsiaTheme="minorEastAsia"/>
                <w:kern w:val="0"/>
                <w:szCs w:val="21"/>
              </w:rPr>
              <w:t>6</w:t>
            </w:r>
          </w:p>
        </w:tc>
        <w:tc>
          <w:tcPr>
            <w:tcW w:w="1276" w:type="dxa"/>
            <w:vAlign w:val="center"/>
          </w:tcPr>
          <w:p w:rsidR="0093799B" w:rsidRDefault="00C17186">
            <w:pPr>
              <w:jc w:val="center"/>
            </w:pPr>
            <w:r>
              <w:rPr>
                <w:rFonts w:eastAsiaTheme="minorEastAsia"/>
                <w:kern w:val="0"/>
                <w:szCs w:val="21"/>
              </w:rPr>
              <w:t>603699</w:t>
            </w:r>
          </w:p>
        </w:tc>
        <w:tc>
          <w:tcPr>
            <w:tcW w:w="1701" w:type="dxa"/>
            <w:vAlign w:val="center"/>
          </w:tcPr>
          <w:p w:rsidR="0093799B" w:rsidRDefault="00C17186">
            <w:pPr>
              <w:jc w:val="center"/>
            </w:pPr>
            <w:r>
              <w:rPr>
                <w:rFonts w:eastAsiaTheme="minorEastAsia"/>
                <w:kern w:val="0"/>
                <w:szCs w:val="21"/>
              </w:rPr>
              <w:t>纽威股份</w:t>
            </w:r>
          </w:p>
        </w:tc>
        <w:tc>
          <w:tcPr>
            <w:tcW w:w="1276" w:type="dxa"/>
            <w:vAlign w:val="center"/>
          </w:tcPr>
          <w:p w:rsidR="0093799B" w:rsidRDefault="00C17186">
            <w:pPr>
              <w:jc w:val="right"/>
            </w:pPr>
            <w:r>
              <w:rPr>
                <w:rFonts w:eastAsiaTheme="minorEastAsia"/>
                <w:kern w:val="0"/>
                <w:szCs w:val="21"/>
              </w:rPr>
              <w:t>546,400</w:t>
            </w:r>
          </w:p>
        </w:tc>
        <w:tc>
          <w:tcPr>
            <w:tcW w:w="1842" w:type="dxa"/>
            <w:vAlign w:val="center"/>
          </w:tcPr>
          <w:p w:rsidR="0093799B" w:rsidRDefault="00C17186">
            <w:pPr>
              <w:jc w:val="right"/>
            </w:pPr>
            <w:r>
              <w:rPr>
                <w:rFonts w:eastAsiaTheme="minorEastAsia"/>
                <w:kern w:val="0"/>
                <w:szCs w:val="21"/>
              </w:rPr>
              <w:t>8,354,456.00</w:t>
            </w:r>
          </w:p>
        </w:tc>
        <w:tc>
          <w:tcPr>
            <w:tcW w:w="1616" w:type="dxa"/>
            <w:vAlign w:val="center"/>
          </w:tcPr>
          <w:p w:rsidR="0093799B" w:rsidRDefault="00C17186">
            <w:pPr>
              <w:jc w:val="right"/>
            </w:pPr>
            <w:r>
              <w:rPr>
                <w:rFonts w:eastAsiaTheme="minorEastAsia"/>
                <w:kern w:val="0"/>
                <w:szCs w:val="21"/>
              </w:rPr>
              <w:t>3.15</w:t>
            </w:r>
          </w:p>
        </w:tc>
      </w:tr>
      <w:tr w:rsidR="0093799B">
        <w:tc>
          <w:tcPr>
            <w:tcW w:w="817" w:type="dxa"/>
            <w:vAlign w:val="center"/>
          </w:tcPr>
          <w:p w:rsidR="0093799B" w:rsidRDefault="00C17186">
            <w:pPr>
              <w:jc w:val="center"/>
            </w:pPr>
            <w:r>
              <w:rPr>
                <w:rFonts w:eastAsiaTheme="minorEastAsia"/>
                <w:kern w:val="0"/>
                <w:szCs w:val="21"/>
              </w:rPr>
              <w:t>7</w:t>
            </w:r>
          </w:p>
        </w:tc>
        <w:tc>
          <w:tcPr>
            <w:tcW w:w="1276" w:type="dxa"/>
            <w:vAlign w:val="center"/>
          </w:tcPr>
          <w:p w:rsidR="0093799B" w:rsidRDefault="00C17186">
            <w:pPr>
              <w:jc w:val="center"/>
            </w:pPr>
            <w:r>
              <w:rPr>
                <w:rFonts w:eastAsiaTheme="minorEastAsia"/>
                <w:kern w:val="0"/>
                <w:szCs w:val="21"/>
              </w:rPr>
              <w:t>601158</w:t>
            </w:r>
          </w:p>
        </w:tc>
        <w:tc>
          <w:tcPr>
            <w:tcW w:w="1701" w:type="dxa"/>
            <w:vAlign w:val="center"/>
          </w:tcPr>
          <w:p w:rsidR="0093799B" w:rsidRDefault="00C17186">
            <w:pPr>
              <w:jc w:val="center"/>
            </w:pPr>
            <w:r>
              <w:rPr>
                <w:rFonts w:eastAsiaTheme="minorEastAsia"/>
                <w:kern w:val="0"/>
                <w:szCs w:val="21"/>
              </w:rPr>
              <w:t>重庆水务</w:t>
            </w:r>
          </w:p>
        </w:tc>
        <w:tc>
          <w:tcPr>
            <w:tcW w:w="1276" w:type="dxa"/>
            <w:vAlign w:val="center"/>
          </w:tcPr>
          <w:p w:rsidR="0093799B" w:rsidRDefault="00C17186">
            <w:pPr>
              <w:jc w:val="right"/>
            </w:pPr>
            <w:r>
              <w:rPr>
                <w:rFonts w:eastAsiaTheme="minorEastAsia"/>
                <w:kern w:val="0"/>
                <w:szCs w:val="21"/>
              </w:rPr>
              <w:t>1,444,500</w:t>
            </w:r>
          </w:p>
        </w:tc>
        <w:tc>
          <w:tcPr>
            <w:tcW w:w="1842" w:type="dxa"/>
            <w:vAlign w:val="center"/>
          </w:tcPr>
          <w:p w:rsidR="0093799B" w:rsidRDefault="00C17186">
            <w:pPr>
              <w:jc w:val="right"/>
            </w:pPr>
            <w:r>
              <w:rPr>
                <w:rFonts w:eastAsiaTheme="minorEastAsia"/>
                <w:kern w:val="0"/>
                <w:szCs w:val="21"/>
              </w:rPr>
              <w:t>8,031,420.00</w:t>
            </w:r>
          </w:p>
        </w:tc>
        <w:tc>
          <w:tcPr>
            <w:tcW w:w="1616" w:type="dxa"/>
            <w:vAlign w:val="center"/>
          </w:tcPr>
          <w:p w:rsidR="0093799B" w:rsidRDefault="00C17186">
            <w:pPr>
              <w:jc w:val="right"/>
            </w:pPr>
            <w:r>
              <w:rPr>
                <w:rFonts w:eastAsiaTheme="minorEastAsia"/>
                <w:kern w:val="0"/>
                <w:szCs w:val="21"/>
              </w:rPr>
              <w:t>3.02</w:t>
            </w:r>
          </w:p>
        </w:tc>
      </w:tr>
      <w:tr w:rsidR="0093799B">
        <w:tc>
          <w:tcPr>
            <w:tcW w:w="817" w:type="dxa"/>
            <w:vAlign w:val="center"/>
          </w:tcPr>
          <w:p w:rsidR="0093799B" w:rsidRDefault="00C17186">
            <w:pPr>
              <w:jc w:val="center"/>
            </w:pPr>
            <w:r>
              <w:rPr>
                <w:rFonts w:eastAsiaTheme="minorEastAsia"/>
                <w:kern w:val="0"/>
                <w:szCs w:val="21"/>
              </w:rPr>
              <w:t>8</w:t>
            </w:r>
          </w:p>
        </w:tc>
        <w:tc>
          <w:tcPr>
            <w:tcW w:w="1276" w:type="dxa"/>
            <w:vAlign w:val="center"/>
          </w:tcPr>
          <w:p w:rsidR="0093799B" w:rsidRDefault="00C17186">
            <w:pPr>
              <w:jc w:val="center"/>
            </w:pPr>
            <w:r>
              <w:rPr>
                <w:rFonts w:eastAsiaTheme="minorEastAsia"/>
                <w:kern w:val="0"/>
                <w:szCs w:val="21"/>
              </w:rPr>
              <w:t>603298</w:t>
            </w:r>
          </w:p>
        </w:tc>
        <w:tc>
          <w:tcPr>
            <w:tcW w:w="1701" w:type="dxa"/>
            <w:vAlign w:val="center"/>
          </w:tcPr>
          <w:p w:rsidR="0093799B" w:rsidRDefault="00C17186">
            <w:pPr>
              <w:jc w:val="center"/>
            </w:pPr>
            <w:r>
              <w:rPr>
                <w:rFonts w:eastAsiaTheme="minorEastAsia"/>
                <w:kern w:val="0"/>
                <w:szCs w:val="21"/>
              </w:rPr>
              <w:t>杭叉集团</w:t>
            </w:r>
          </w:p>
        </w:tc>
        <w:tc>
          <w:tcPr>
            <w:tcW w:w="1276" w:type="dxa"/>
            <w:vAlign w:val="center"/>
          </w:tcPr>
          <w:p w:rsidR="0093799B" w:rsidRDefault="00C17186">
            <w:pPr>
              <w:jc w:val="right"/>
            </w:pPr>
            <w:r>
              <w:rPr>
                <w:rFonts w:eastAsiaTheme="minorEastAsia"/>
                <w:kern w:val="0"/>
                <w:szCs w:val="21"/>
              </w:rPr>
              <w:t>292,100</w:t>
            </w:r>
          </w:p>
        </w:tc>
        <w:tc>
          <w:tcPr>
            <w:tcW w:w="1842" w:type="dxa"/>
            <w:vAlign w:val="center"/>
          </w:tcPr>
          <w:p w:rsidR="0093799B" w:rsidRDefault="00C17186">
            <w:pPr>
              <w:jc w:val="right"/>
            </w:pPr>
            <w:r>
              <w:rPr>
                <w:rFonts w:eastAsiaTheme="minorEastAsia"/>
                <w:kern w:val="0"/>
                <w:szCs w:val="21"/>
              </w:rPr>
              <w:t>7,468,997.00</w:t>
            </w:r>
          </w:p>
        </w:tc>
        <w:tc>
          <w:tcPr>
            <w:tcW w:w="1616" w:type="dxa"/>
            <w:vAlign w:val="center"/>
          </w:tcPr>
          <w:p w:rsidR="0093799B" w:rsidRDefault="00C17186">
            <w:pPr>
              <w:jc w:val="right"/>
            </w:pPr>
            <w:r>
              <w:rPr>
                <w:rFonts w:eastAsiaTheme="minorEastAsia"/>
                <w:kern w:val="0"/>
                <w:szCs w:val="21"/>
              </w:rPr>
              <w:t>2.81</w:t>
            </w:r>
          </w:p>
        </w:tc>
      </w:tr>
      <w:tr w:rsidR="0093799B">
        <w:tc>
          <w:tcPr>
            <w:tcW w:w="817" w:type="dxa"/>
            <w:vAlign w:val="center"/>
          </w:tcPr>
          <w:p w:rsidR="0093799B" w:rsidRDefault="00C17186">
            <w:pPr>
              <w:jc w:val="center"/>
            </w:pPr>
            <w:r>
              <w:rPr>
                <w:rFonts w:eastAsiaTheme="minorEastAsia"/>
                <w:kern w:val="0"/>
                <w:szCs w:val="21"/>
              </w:rPr>
              <w:t>9</w:t>
            </w:r>
          </w:p>
        </w:tc>
        <w:tc>
          <w:tcPr>
            <w:tcW w:w="1276" w:type="dxa"/>
            <w:vAlign w:val="center"/>
          </w:tcPr>
          <w:p w:rsidR="0093799B" w:rsidRDefault="00C17186">
            <w:pPr>
              <w:jc w:val="center"/>
            </w:pPr>
            <w:r>
              <w:rPr>
                <w:rFonts w:eastAsiaTheme="minorEastAsia"/>
                <w:kern w:val="0"/>
                <w:szCs w:val="21"/>
              </w:rPr>
              <w:t>002179</w:t>
            </w:r>
          </w:p>
        </w:tc>
        <w:tc>
          <w:tcPr>
            <w:tcW w:w="1701" w:type="dxa"/>
            <w:vAlign w:val="center"/>
          </w:tcPr>
          <w:p w:rsidR="0093799B" w:rsidRDefault="00C17186">
            <w:pPr>
              <w:jc w:val="center"/>
            </w:pPr>
            <w:r>
              <w:rPr>
                <w:rFonts w:eastAsiaTheme="minorEastAsia"/>
                <w:kern w:val="0"/>
                <w:szCs w:val="21"/>
              </w:rPr>
              <w:t>中航光电</w:t>
            </w:r>
          </w:p>
        </w:tc>
        <w:tc>
          <w:tcPr>
            <w:tcW w:w="1276" w:type="dxa"/>
            <w:vAlign w:val="center"/>
          </w:tcPr>
          <w:p w:rsidR="0093799B" w:rsidRDefault="00C17186">
            <w:pPr>
              <w:jc w:val="right"/>
            </w:pPr>
            <w:r>
              <w:rPr>
                <w:rFonts w:eastAsiaTheme="minorEastAsia"/>
                <w:kern w:val="0"/>
                <w:szCs w:val="21"/>
              </w:rPr>
              <w:t>175,700</w:t>
            </w:r>
          </w:p>
        </w:tc>
        <w:tc>
          <w:tcPr>
            <w:tcW w:w="1842" w:type="dxa"/>
            <w:vAlign w:val="center"/>
          </w:tcPr>
          <w:p w:rsidR="0093799B" w:rsidRDefault="00C17186">
            <w:pPr>
              <w:jc w:val="right"/>
            </w:pPr>
            <w:r>
              <w:rPr>
                <w:rFonts w:eastAsiaTheme="minorEastAsia"/>
                <w:kern w:val="0"/>
                <w:szCs w:val="21"/>
              </w:rPr>
              <w:t>7,432,110.00</w:t>
            </w:r>
          </w:p>
        </w:tc>
        <w:tc>
          <w:tcPr>
            <w:tcW w:w="1616" w:type="dxa"/>
            <w:vAlign w:val="center"/>
          </w:tcPr>
          <w:p w:rsidR="0093799B" w:rsidRDefault="00C17186">
            <w:pPr>
              <w:jc w:val="right"/>
            </w:pPr>
            <w:r>
              <w:rPr>
                <w:rFonts w:eastAsiaTheme="minorEastAsia"/>
                <w:kern w:val="0"/>
                <w:szCs w:val="21"/>
              </w:rPr>
              <w:t>2.80</w:t>
            </w:r>
          </w:p>
        </w:tc>
      </w:tr>
      <w:tr w:rsidR="0093799B">
        <w:tc>
          <w:tcPr>
            <w:tcW w:w="817" w:type="dxa"/>
            <w:vAlign w:val="center"/>
          </w:tcPr>
          <w:p w:rsidR="0093799B" w:rsidRDefault="00C17186">
            <w:pPr>
              <w:jc w:val="center"/>
            </w:pPr>
            <w:r>
              <w:rPr>
                <w:rFonts w:eastAsiaTheme="minorEastAsia"/>
                <w:kern w:val="0"/>
                <w:szCs w:val="21"/>
              </w:rPr>
              <w:t>10</w:t>
            </w:r>
          </w:p>
        </w:tc>
        <w:tc>
          <w:tcPr>
            <w:tcW w:w="1276" w:type="dxa"/>
            <w:vAlign w:val="center"/>
          </w:tcPr>
          <w:p w:rsidR="0093799B" w:rsidRDefault="00C17186">
            <w:pPr>
              <w:jc w:val="center"/>
            </w:pPr>
            <w:r>
              <w:rPr>
                <w:rFonts w:eastAsiaTheme="minorEastAsia"/>
                <w:kern w:val="0"/>
                <w:szCs w:val="21"/>
              </w:rPr>
              <w:t>601985</w:t>
            </w:r>
          </w:p>
        </w:tc>
        <w:tc>
          <w:tcPr>
            <w:tcW w:w="1701" w:type="dxa"/>
            <w:vAlign w:val="center"/>
          </w:tcPr>
          <w:p w:rsidR="0093799B" w:rsidRDefault="00C17186">
            <w:pPr>
              <w:jc w:val="center"/>
            </w:pPr>
            <w:r>
              <w:rPr>
                <w:rFonts w:eastAsiaTheme="minorEastAsia"/>
                <w:kern w:val="0"/>
                <w:szCs w:val="21"/>
              </w:rPr>
              <w:t>中国核电</w:t>
            </w:r>
          </w:p>
        </w:tc>
        <w:tc>
          <w:tcPr>
            <w:tcW w:w="1276" w:type="dxa"/>
            <w:vAlign w:val="center"/>
          </w:tcPr>
          <w:p w:rsidR="0093799B" w:rsidRDefault="00C17186">
            <w:pPr>
              <w:jc w:val="right"/>
            </w:pPr>
            <w:r>
              <w:rPr>
                <w:rFonts w:eastAsiaTheme="minorEastAsia"/>
                <w:kern w:val="0"/>
                <w:szCs w:val="21"/>
              </w:rPr>
              <w:t>933,700</w:t>
            </w:r>
          </w:p>
        </w:tc>
        <w:tc>
          <w:tcPr>
            <w:tcW w:w="1842" w:type="dxa"/>
            <w:vAlign w:val="center"/>
          </w:tcPr>
          <w:p w:rsidR="0093799B" w:rsidRDefault="00C17186">
            <w:pPr>
              <w:jc w:val="right"/>
            </w:pPr>
            <w:r>
              <w:rPr>
                <w:rFonts w:eastAsiaTheme="minorEastAsia"/>
                <w:kern w:val="0"/>
                <w:szCs w:val="21"/>
              </w:rPr>
              <w:t>6,816,010.00</w:t>
            </w:r>
          </w:p>
        </w:tc>
        <w:tc>
          <w:tcPr>
            <w:tcW w:w="1616" w:type="dxa"/>
            <w:vAlign w:val="center"/>
          </w:tcPr>
          <w:p w:rsidR="0093799B" w:rsidRDefault="00C17186">
            <w:pPr>
              <w:jc w:val="right"/>
            </w:pPr>
            <w:r>
              <w:rPr>
                <w:rFonts w:eastAsiaTheme="minorEastAsia"/>
                <w:kern w:val="0"/>
                <w:szCs w:val="21"/>
              </w:rPr>
              <w:t>2.57</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79,006.54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4,199,276.94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314,502.52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4,592,786.00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237,682,410.21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5,260,104.86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2,519,820.73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333,854.07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6,098,811.08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4,891,524.25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234,103,419.86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702,434.68</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中国证监会批准本基金募集的文件</w:t>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摩根安全战略股票型证券投资基金基金合同</w:t>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摩根安全战略股票型证券投资基金托管协议</w:t>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93799B" w:rsidRDefault="00C17186">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二〇二三年十月二十五日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1718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17186">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C17186">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摩根安全战略股票型证券投资基金</w:t>
    </w:r>
    <w:r>
      <w:t>2023</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99B"/>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186"/>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CCB508-5B22-46A1-8680-E12D0E7B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24</TotalTime>
  <Pages>13</Pages>
  <Words>1118</Words>
  <Characters>6374</Characters>
  <Application>Microsoft Office Word</Application>
  <DocSecurity>0</DocSecurity>
  <Lines>53</Lines>
  <Paragraphs>14</Paragraphs>
  <ScaleCrop>false</ScaleCrop>
  <Company>TRT. Ltd. Co.</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Xiaodi.Wang@FA</cp:lastModifiedBy>
  <cp:revision>220</cp:revision>
  <cp:lastPrinted>2007-07-19T00:46:00Z</cp:lastPrinted>
  <dcterms:created xsi:type="dcterms:W3CDTF">2013-06-21T06:56:00Z</dcterms:created>
  <dcterms:modified xsi:type="dcterms:W3CDTF">2023-10-24T06:57:00Z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