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AD4" w:rsidRDefault="00692AD4">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692AD4" w:rsidRDefault="00692AD4">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92AD4" w:rsidRDefault="00692AD4">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92AD4" w:rsidRDefault="00692AD4">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92AD4" w:rsidRDefault="00692AD4">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92AD4" w:rsidRDefault="00176EDF">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上投摩根整合驱动灵活配置混合型证券投资基金</w:t>
      </w:r>
    </w:p>
    <w:p w:rsidR="00692AD4" w:rsidRDefault="00176EDF">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2019年第3季度报告</w:t>
      </w:r>
    </w:p>
    <w:p w:rsidR="00692AD4" w:rsidRDefault="00176EDF">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2019年9月30日</w:t>
      </w:r>
    </w:p>
    <w:p w:rsidR="00692AD4" w:rsidRDefault="00692AD4">
      <w:pPr>
        <w:spacing w:line="360" w:lineRule="auto"/>
        <w:jc w:val="center"/>
        <w:rPr>
          <w:rFonts w:asciiTheme="minorEastAsia" w:eastAsiaTheme="minorEastAsia" w:hAnsiTheme="minorEastAsia"/>
          <w:b/>
          <w:bCs/>
          <w:color w:val="000000" w:themeColor="text1"/>
          <w:sz w:val="24"/>
          <w:szCs w:val="24"/>
        </w:rPr>
      </w:pPr>
    </w:p>
    <w:p w:rsidR="00692AD4" w:rsidRDefault="00692AD4">
      <w:pPr>
        <w:spacing w:line="360" w:lineRule="auto"/>
        <w:jc w:val="center"/>
        <w:rPr>
          <w:rFonts w:asciiTheme="minorEastAsia" w:eastAsiaTheme="minorEastAsia" w:hAnsiTheme="minorEastAsia"/>
          <w:b/>
          <w:bCs/>
          <w:color w:val="000000" w:themeColor="text1"/>
          <w:sz w:val="24"/>
          <w:szCs w:val="24"/>
        </w:rPr>
      </w:pPr>
    </w:p>
    <w:p w:rsidR="00692AD4" w:rsidRDefault="00692AD4">
      <w:pPr>
        <w:spacing w:line="360" w:lineRule="auto"/>
        <w:jc w:val="center"/>
        <w:rPr>
          <w:rFonts w:asciiTheme="minorEastAsia" w:eastAsiaTheme="minorEastAsia" w:hAnsiTheme="minorEastAsia"/>
          <w:b/>
          <w:bCs/>
          <w:color w:val="000000" w:themeColor="text1"/>
          <w:sz w:val="24"/>
          <w:szCs w:val="24"/>
        </w:rPr>
      </w:pPr>
    </w:p>
    <w:p w:rsidR="00692AD4" w:rsidRDefault="00692AD4">
      <w:pPr>
        <w:spacing w:line="360" w:lineRule="auto"/>
        <w:jc w:val="center"/>
        <w:rPr>
          <w:rFonts w:asciiTheme="minorEastAsia" w:eastAsiaTheme="minorEastAsia" w:hAnsiTheme="minorEastAsia"/>
          <w:b/>
          <w:bCs/>
          <w:color w:val="000000" w:themeColor="text1"/>
          <w:sz w:val="24"/>
          <w:szCs w:val="24"/>
        </w:rPr>
      </w:pPr>
    </w:p>
    <w:p w:rsidR="00692AD4" w:rsidRDefault="00692AD4">
      <w:pPr>
        <w:spacing w:line="360" w:lineRule="auto"/>
        <w:jc w:val="center"/>
        <w:rPr>
          <w:rFonts w:asciiTheme="minorEastAsia" w:eastAsiaTheme="minorEastAsia" w:hAnsiTheme="minorEastAsia"/>
          <w:b/>
          <w:bCs/>
          <w:color w:val="000000" w:themeColor="text1"/>
          <w:sz w:val="24"/>
          <w:szCs w:val="24"/>
        </w:rPr>
      </w:pPr>
    </w:p>
    <w:p w:rsidR="00692AD4" w:rsidRDefault="00692AD4">
      <w:pPr>
        <w:spacing w:line="360" w:lineRule="auto"/>
        <w:jc w:val="center"/>
        <w:rPr>
          <w:rFonts w:asciiTheme="minorEastAsia" w:eastAsiaTheme="minorEastAsia" w:hAnsiTheme="minorEastAsia"/>
          <w:b/>
          <w:bCs/>
          <w:color w:val="000000" w:themeColor="text1"/>
          <w:sz w:val="24"/>
          <w:szCs w:val="24"/>
        </w:rPr>
      </w:pPr>
    </w:p>
    <w:p w:rsidR="00692AD4" w:rsidRDefault="00692AD4">
      <w:pPr>
        <w:spacing w:line="360" w:lineRule="auto"/>
        <w:jc w:val="center"/>
        <w:rPr>
          <w:rFonts w:asciiTheme="minorEastAsia" w:eastAsiaTheme="minorEastAsia" w:hAnsiTheme="minorEastAsia"/>
          <w:b/>
          <w:bCs/>
          <w:color w:val="000000" w:themeColor="text1"/>
          <w:sz w:val="24"/>
          <w:szCs w:val="24"/>
        </w:rPr>
      </w:pPr>
    </w:p>
    <w:p w:rsidR="00692AD4" w:rsidRDefault="00692AD4">
      <w:pPr>
        <w:spacing w:line="360" w:lineRule="auto"/>
        <w:jc w:val="center"/>
        <w:rPr>
          <w:rFonts w:asciiTheme="minorEastAsia" w:eastAsiaTheme="minorEastAsia" w:hAnsiTheme="minorEastAsia"/>
          <w:b/>
          <w:bCs/>
          <w:color w:val="000000" w:themeColor="text1"/>
          <w:sz w:val="24"/>
          <w:szCs w:val="24"/>
        </w:rPr>
      </w:pPr>
    </w:p>
    <w:p w:rsidR="00692AD4" w:rsidRDefault="00692AD4">
      <w:pPr>
        <w:spacing w:line="360" w:lineRule="auto"/>
        <w:jc w:val="center"/>
        <w:rPr>
          <w:rFonts w:asciiTheme="minorEastAsia" w:eastAsiaTheme="minorEastAsia" w:hAnsiTheme="minorEastAsia"/>
          <w:b/>
          <w:bCs/>
          <w:color w:val="000000" w:themeColor="text1"/>
          <w:sz w:val="24"/>
          <w:szCs w:val="24"/>
        </w:rPr>
      </w:pPr>
    </w:p>
    <w:p w:rsidR="00692AD4" w:rsidRDefault="00692AD4">
      <w:pPr>
        <w:spacing w:line="360" w:lineRule="auto"/>
        <w:jc w:val="center"/>
        <w:rPr>
          <w:rFonts w:asciiTheme="minorEastAsia" w:eastAsiaTheme="minorEastAsia" w:hAnsiTheme="minorEastAsia"/>
          <w:b/>
          <w:bCs/>
          <w:color w:val="000000" w:themeColor="text1"/>
          <w:sz w:val="24"/>
          <w:szCs w:val="24"/>
        </w:rPr>
      </w:pPr>
    </w:p>
    <w:p w:rsidR="00692AD4" w:rsidRDefault="00692AD4">
      <w:pPr>
        <w:spacing w:line="360" w:lineRule="auto"/>
        <w:jc w:val="center"/>
        <w:rPr>
          <w:rFonts w:asciiTheme="minorEastAsia" w:eastAsiaTheme="minorEastAsia" w:hAnsiTheme="minorEastAsia"/>
          <w:b/>
          <w:bCs/>
          <w:color w:val="000000" w:themeColor="text1"/>
          <w:sz w:val="24"/>
          <w:szCs w:val="24"/>
        </w:rPr>
      </w:pPr>
    </w:p>
    <w:p w:rsidR="00692AD4" w:rsidRDefault="00692AD4">
      <w:pPr>
        <w:spacing w:line="360" w:lineRule="auto"/>
        <w:jc w:val="center"/>
        <w:rPr>
          <w:rFonts w:asciiTheme="minorEastAsia" w:eastAsiaTheme="minorEastAsia" w:hAnsiTheme="minorEastAsia"/>
          <w:b/>
          <w:bCs/>
          <w:color w:val="000000" w:themeColor="text1"/>
          <w:sz w:val="24"/>
          <w:szCs w:val="24"/>
        </w:rPr>
      </w:pPr>
    </w:p>
    <w:p w:rsidR="00692AD4" w:rsidRDefault="00692AD4">
      <w:pPr>
        <w:spacing w:line="360" w:lineRule="auto"/>
        <w:jc w:val="center"/>
        <w:rPr>
          <w:rFonts w:asciiTheme="minorEastAsia" w:eastAsiaTheme="minorEastAsia" w:hAnsiTheme="minorEastAsia"/>
          <w:b/>
          <w:bCs/>
          <w:color w:val="000000" w:themeColor="text1"/>
          <w:sz w:val="24"/>
          <w:szCs w:val="24"/>
        </w:rPr>
      </w:pPr>
    </w:p>
    <w:p w:rsidR="00692AD4" w:rsidRDefault="00692AD4">
      <w:pPr>
        <w:spacing w:line="360" w:lineRule="auto"/>
        <w:rPr>
          <w:rFonts w:asciiTheme="minorEastAsia" w:eastAsiaTheme="minorEastAsia" w:hAnsiTheme="minorEastAsia"/>
          <w:b/>
          <w:bCs/>
          <w:color w:val="000000" w:themeColor="text1"/>
          <w:sz w:val="24"/>
          <w:szCs w:val="24"/>
        </w:rPr>
      </w:pPr>
    </w:p>
    <w:p w:rsidR="00692AD4" w:rsidRDefault="00176EDF">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692AD4" w:rsidRDefault="00176EDF">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中国银行股份有限公司</w:t>
      </w:r>
    </w:p>
    <w:p w:rsidR="00692AD4" w:rsidRDefault="00176EDF">
      <w:pPr>
        <w:spacing w:line="360" w:lineRule="auto"/>
        <w:ind w:firstLineChars="900" w:firstLine="2168"/>
        <w:rPr>
          <w:rFonts w:asciiTheme="minorEastAsia" w:eastAsiaTheme="minorEastAsia" w:hAnsiTheme="minorEastAsia"/>
          <w:b/>
          <w:color w:val="000000" w:themeColor="text1"/>
          <w:sz w:val="24"/>
          <w:szCs w:val="24"/>
        </w:rPr>
        <w:sectPr w:rsidR="00692AD4">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二〇一九年十月二十五日</w:t>
      </w:r>
    </w:p>
    <w:p w:rsidR="00692AD4" w:rsidRDefault="00176EDF">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基金管理人的董事会及董事保证本报告所载资料不存在虚假记载、误导性陈述或重大遗漏，并对其内容的真实性、准确性和完整性承担个别及连带责任。 </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基金托管人中国银行股份有限公司根据本基金合同规定，于2019年10月24日复核了本报告中的财务指标、净值表现和投资组合报告等内容，保证复核内容不存在虚假记载、误导性陈述或者重大遗漏。 </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基金管理人承诺以诚实信用、勤勉尽责的原则管理和运用基金资产，但不保证基金一定盈利。 </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基金的过往业绩并不代表其未来表现。投资有风险，投资者在作出投资决策前应仔细阅读本基金的招募说明书。 </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本报告期自2019年7月1日起至9月30日止。</w:t>
      </w:r>
    </w:p>
    <w:p w:rsidR="00692AD4" w:rsidRDefault="00176EDF">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692AD4">
        <w:tc>
          <w:tcPr>
            <w:tcW w:w="2835"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上投摩根整合驱动混合</w:t>
            </w:r>
          </w:p>
        </w:tc>
      </w:tr>
      <w:tr w:rsidR="00692AD4">
        <w:tc>
          <w:tcPr>
            <w:tcW w:w="2835" w:type="dxa"/>
            <w:tcBorders>
              <w:top w:val="single" w:sz="4" w:space="0" w:color="auto"/>
              <w:left w:val="single" w:sz="4" w:space="0" w:color="auto"/>
              <w:bottom w:val="single" w:sz="4" w:space="0" w:color="auto"/>
              <w:right w:val="single" w:sz="4" w:space="0" w:color="auto"/>
            </w:tcBorders>
            <w:vAlign w:val="center"/>
          </w:tcPr>
          <w:p w:rsidR="00692AD4" w:rsidRDefault="00176EDF">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692AD4" w:rsidRDefault="00176EDF">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001192</w:t>
            </w:r>
          </w:p>
        </w:tc>
      </w:tr>
      <w:tr w:rsidR="00692AD4">
        <w:tc>
          <w:tcPr>
            <w:tcW w:w="2835" w:type="dxa"/>
            <w:tcBorders>
              <w:top w:val="single" w:sz="4" w:space="0" w:color="auto"/>
              <w:left w:val="single" w:sz="4" w:space="0" w:color="auto"/>
              <w:bottom w:val="single" w:sz="4" w:space="0" w:color="auto"/>
              <w:right w:val="single" w:sz="4" w:space="0" w:color="auto"/>
            </w:tcBorders>
            <w:vAlign w:val="center"/>
          </w:tcPr>
          <w:p w:rsidR="00692AD4" w:rsidRDefault="00176EDF">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692AD4" w:rsidRDefault="00176EDF">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001192</w:t>
            </w:r>
          </w:p>
        </w:tc>
      </w:tr>
      <w:tr w:rsidR="00692AD4">
        <w:tc>
          <w:tcPr>
            <w:tcW w:w="2835"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692AD4">
        <w:tc>
          <w:tcPr>
            <w:tcW w:w="2835"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2015年4月23日</w:t>
            </w:r>
          </w:p>
        </w:tc>
      </w:tr>
      <w:tr w:rsidR="00692AD4">
        <w:tc>
          <w:tcPr>
            <w:tcW w:w="2835"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1,353,572,978.53</w:t>
            </w:r>
            <w:r>
              <w:rPr>
                <w:rFonts w:asciiTheme="minorEastAsia" w:eastAsiaTheme="minorEastAsia" w:hAnsiTheme="minorEastAsia" w:hint="eastAsia"/>
                <w:color w:val="000000" w:themeColor="text1"/>
                <w:kern w:val="0"/>
              </w:rPr>
              <w:t>份</w:t>
            </w:r>
          </w:p>
        </w:tc>
      </w:tr>
      <w:tr w:rsidR="00692AD4">
        <w:tc>
          <w:tcPr>
            <w:tcW w:w="2835"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通过深入细致的基本面研究，把握企业整合发展带来的投资机会，在严格的风险控制前提下，力争实现基金资产的长期增值。</w:t>
            </w:r>
          </w:p>
        </w:tc>
      </w:tr>
      <w:tr w:rsidR="00692AD4">
        <w:tc>
          <w:tcPr>
            <w:tcW w:w="2835"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本基金通过自上而下和自下而上相结合、定性分析和定量分析互相补充的方法，在股票、债券和现金等资产类别之间进行相对灵活的配置。</w:t>
            </w:r>
          </w:p>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将重点投资于整合主题相关的上市公司。在个股选择层面，首先将根据本基金对于整合主题的界定构建初选股票池，在此基础上剔除不具有投资价值的股票建立备选股票池。本基金将深入分析公司的并购重组行为对未来经营可能产生的影响，综合评估其是否会带来经营业绩的改善。通过对并购重组带来的行业增长及公司协同效应的综合分析，精选未来具有较高成长潜力的公司。</w:t>
            </w:r>
          </w:p>
        </w:tc>
      </w:tr>
      <w:tr w:rsidR="00692AD4">
        <w:tc>
          <w:tcPr>
            <w:tcW w:w="2835"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业绩比较基准</w:t>
            </w:r>
          </w:p>
        </w:tc>
        <w:tc>
          <w:tcPr>
            <w:tcW w:w="5479"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中证800指数收益率*60%+中债总指数收益率*40%</w:t>
            </w:r>
          </w:p>
        </w:tc>
      </w:tr>
      <w:tr w:rsidR="00692AD4">
        <w:tc>
          <w:tcPr>
            <w:tcW w:w="2835"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本基金属于混合型基金产品，预期风险和收益水平高于债券型基金和货币市场基金，低于股票型基金，属于较高风险收益水平的基金产品。</w:t>
            </w:r>
          </w:p>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本基金风险收益特征会定期评估并在公司网站发布，请投资者关注。</w:t>
            </w:r>
          </w:p>
        </w:tc>
      </w:tr>
      <w:tr w:rsidR="00692AD4">
        <w:tc>
          <w:tcPr>
            <w:tcW w:w="2835"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692AD4">
        <w:tc>
          <w:tcPr>
            <w:tcW w:w="2835"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中国银行股份有限公司</w:t>
            </w:r>
          </w:p>
        </w:tc>
      </w:tr>
    </w:tbl>
    <w:p w:rsidR="00692AD4" w:rsidRDefault="00176EDF">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692AD4" w:rsidRDefault="00176EDF">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176EDF" w:rsidTr="00176EDF">
        <w:tc>
          <w:tcPr>
            <w:tcW w:w="3402" w:type="dxa"/>
            <w:vAlign w:val="center"/>
          </w:tcPr>
          <w:p w:rsidR="00692AD4" w:rsidRDefault="00176EDF">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692AD4" w:rsidRDefault="00176EDF">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692AD4" w:rsidRDefault="00176EDF">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2019年7月1日-2019年9月30日</w:t>
            </w:r>
            <w:r>
              <w:rPr>
                <w:rFonts w:asciiTheme="minorEastAsia" w:eastAsiaTheme="minorEastAsia" w:hAnsiTheme="minorEastAsia" w:cs="宋体" w:hint="eastAsia"/>
                <w:color w:val="000000" w:themeColor="text1"/>
              </w:rPr>
              <w:t>)</w:t>
            </w:r>
          </w:p>
        </w:tc>
      </w:tr>
      <w:tr w:rsidR="00176EDF" w:rsidTr="00176EDF">
        <w:tc>
          <w:tcPr>
            <w:tcW w:w="3402"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692AD4" w:rsidRDefault="00176EDF">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53,887,478.74</w:t>
            </w:r>
          </w:p>
        </w:tc>
      </w:tr>
      <w:tr w:rsidR="00176EDF" w:rsidTr="00176EDF">
        <w:tc>
          <w:tcPr>
            <w:tcW w:w="3402"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692AD4" w:rsidRDefault="00176EDF">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55,326,327.55</w:t>
            </w:r>
          </w:p>
        </w:tc>
      </w:tr>
      <w:tr w:rsidR="00176EDF" w:rsidTr="00176EDF">
        <w:tc>
          <w:tcPr>
            <w:tcW w:w="3402"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692AD4" w:rsidRDefault="00176EDF">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0.0393</w:t>
            </w:r>
          </w:p>
        </w:tc>
      </w:tr>
      <w:tr w:rsidR="00176EDF" w:rsidTr="00176EDF">
        <w:tc>
          <w:tcPr>
            <w:tcW w:w="3402"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692AD4" w:rsidRDefault="00176EDF">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822,029,600.36</w:t>
            </w:r>
          </w:p>
        </w:tc>
      </w:tr>
      <w:tr w:rsidR="00176EDF" w:rsidTr="00176EDF">
        <w:trPr>
          <w:trHeight w:val="158"/>
        </w:trPr>
        <w:tc>
          <w:tcPr>
            <w:tcW w:w="3402" w:type="dxa"/>
            <w:vAlign w:val="center"/>
          </w:tcPr>
          <w:p w:rsidR="00692AD4" w:rsidRDefault="00176EDF">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692AD4" w:rsidRDefault="00176EDF">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0.607</w:t>
            </w:r>
          </w:p>
        </w:tc>
      </w:tr>
    </w:tbl>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注：本期已实现收益指基金本期利息收入、投资收益、其他收入(不含公允价值变动收益)扣除相关费用后的余额，本期利润为本期已实现收益加上本期公允价值变动收益。 </w:t>
      </w:r>
    </w:p>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692AD4" w:rsidRDefault="00692AD4">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692AD4" w:rsidRDefault="00176EDF">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8"/>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692AD4">
        <w:tc>
          <w:tcPr>
            <w:tcW w:w="1395" w:type="dxa"/>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692AD4">
        <w:tc>
          <w:tcPr>
            <w:tcW w:w="1395" w:type="dxa"/>
            <w:vAlign w:val="center"/>
          </w:tcPr>
          <w:p w:rsidR="00692AD4" w:rsidRDefault="00176EDF">
            <w:pPr>
              <w:jc w:val="left"/>
            </w:pPr>
            <w:r>
              <w:rPr>
                <w:rFonts w:asciiTheme="minorEastAsia" w:eastAsiaTheme="minorEastAsia" w:hAnsiTheme="minorEastAsia"/>
                <w:color w:val="000000" w:themeColor="text1"/>
                <w:kern w:val="0"/>
              </w:rPr>
              <w:t>过去三个月</w:t>
            </w:r>
          </w:p>
        </w:tc>
        <w:tc>
          <w:tcPr>
            <w:tcW w:w="1092" w:type="dxa"/>
            <w:vAlign w:val="center"/>
          </w:tcPr>
          <w:p w:rsidR="00692AD4" w:rsidRDefault="00176EDF">
            <w:pPr>
              <w:jc w:val="center"/>
            </w:pPr>
            <w:r>
              <w:rPr>
                <w:rFonts w:asciiTheme="minorEastAsia" w:eastAsiaTheme="minorEastAsia" w:hAnsiTheme="minorEastAsia"/>
                <w:color w:val="000000" w:themeColor="text1"/>
                <w:kern w:val="0"/>
              </w:rPr>
              <w:t>6.87%</w:t>
            </w:r>
          </w:p>
        </w:tc>
        <w:tc>
          <w:tcPr>
            <w:tcW w:w="1161" w:type="dxa"/>
            <w:vAlign w:val="center"/>
          </w:tcPr>
          <w:p w:rsidR="00692AD4" w:rsidRDefault="00176EDF">
            <w:pPr>
              <w:jc w:val="center"/>
            </w:pPr>
            <w:r>
              <w:rPr>
                <w:rFonts w:asciiTheme="minorEastAsia" w:eastAsiaTheme="minorEastAsia" w:hAnsiTheme="minorEastAsia"/>
                <w:color w:val="000000" w:themeColor="text1"/>
                <w:kern w:val="0"/>
              </w:rPr>
              <w:t>0.79%</w:t>
            </w:r>
          </w:p>
        </w:tc>
        <w:tc>
          <w:tcPr>
            <w:tcW w:w="1181" w:type="dxa"/>
            <w:vAlign w:val="center"/>
          </w:tcPr>
          <w:p w:rsidR="00692AD4" w:rsidRDefault="00176EDF">
            <w:pPr>
              <w:jc w:val="center"/>
            </w:pPr>
            <w:r>
              <w:rPr>
                <w:rFonts w:asciiTheme="minorEastAsia" w:eastAsiaTheme="minorEastAsia" w:hAnsiTheme="minorEastAsia"/>
                <w:color w:val="000000" w:themeColor="text1"/>
                <w:kern w:val="0"/>
              </w:rPr>
              <w:t>0.09%</w:t>
            </w:r>
          </w:p>
        </w:tc>
        <w:tc>
          <w:tcPr>
            <w:tcW w:w="1188" w:type="dxa"/>
            <w:vAlign w:val="center"/>
          </w:tcPr>
          <w:p w:rsidR="00692AD4" w:rsidRDefault="00176EDF">
            <w:pPr>
              <w:jc w:val="center"/>
            </w:pPr>
            <w:r>
              <w:rPr>
                <w:rFonts w:asciiTheme="minorEastAsia" w:eastAsiaTheme="minorEastAsia" w:hAnsiTheme="minorEastAsia"/>
                <w:color w:val="000000" w:themeColor="text1"/>
                <w:kern w:val="0"/>
              </w:rPr>
              <w:t>0.59%</w:t>
            </w:r>
          </w:p>
        </w:tc>
        <w:tc>
          <w:tcPr>
            <w:tcW w:w="1199" w:type="dxa"/>
            <w:vAlign w:val="center"/>
          </w:tcPr>
          <w:p w:rsidR="00692AD4" w:rsidRDefault="00176EDF">
            <w:pPr>
              <w:jc w:val="center"/>
            </w:pPr>
            <w:r>
              <w:rPr>
                <w:rFonts w:asciiTheme="minorEastAsia" w:eastAsiaTheme="minorEastAsia" w:hAnsiTheme="minorEastAsia"/>
                <w:color w:val="000000" w:themeColor="text1"/>
                <w:kern w:val="0"/>
              </w:rPr>
              <w:t>6.78%</w:t>
            </w:r>
          </w:p>
        </w:tc>
        <w:tc>
          <w:tcPr>
            <w:tcW w:w="1204" w:type="dxa"/>
            <w:vAlign w:val="center"/>
          </w:tcPr>
          <w:p w:rsidR="00692AD4" w:rsidRDefault="00176EDF">
            <w:pPr>
              <w:jc w:val="center"/>
            </w:pPr>
            <w:r>
              <w:rPr>
                <w:rFonts w:asciiTheme="minorEastAsia" w:eastAsiaTheme="minorEastAsia" w:hAnsiTheme="minorEastAsia"/>
                <w:color w:val="000000" w:themeColor="text1"/>
                <w:kern w:val="0"/>
              </w:rPr>
              <w:t>0.20%</w:t>
            </w:r>
          </w:p>
        </w:tc>
      </w:tr>
    </w:tbl>
    <w:p w:rsidR="00692AD4" w:rsidRDefault="00692AD4">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2"/>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692AD4" w:rsidRDefault="00176EDF">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上投摩根整合驱动灵活配置混合型证券投资基金</w:t>
      </w:r>
    </w:p>
    <w:p w:rsidR="00692AD4" w:rsidRDefault="00176EDF">
      <w:pPr>
        <w:pStyle w:val="a9"/>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692AD4" w:rsidRDefault="00176EDF">
      <w:pPr>
        <w:pStyle w:val="a9"/>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2015年4月23日</w:t>
      </w:r>
      <w:r>
        <w:rPr>
          <w:rFonts w:asciiTheme="minorEastAsia" w:eastAsiaTheme="minorEastAsia" w:hAnsiTheme="minorEastAsia" w:hint="eastAsia"/>
          <w:color w:val="000000" w:themeColor="text1"/>
        </w:rPr>
        <w:t>至2019年9月30日)</w:t>
      </w:r>
    </w:p>
    <w:p w:rsidR="00692AD4" w:rsidRDefault="00176EDF">
      <w:pPr>
        <w:pStyle w:val="a9"/>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注：本基金合同生效日为2015年4月23日，图示时间段为2015年4月23日至2019年9月30日。</w:t>
      </w:r>
    </w:p>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本基金建仓期自2015年4月23日至2015年10月22日，建仓期结束时资产配置比例符合本基金基金合同规定。</w:t>
      </w:r>
    </w:p>
    <w:p w:rsidR="00692AD4" w:rsidRDefault="00692AD4">
      <w:pPr>
        <w:tabs>
          <w:tab w:val="left" w:pos="1800"/>
        </w:tabs>
        <w:spacing w:line="360" w:lineRule="auto"/>
        <w:rPr>
          <w:rFonts w:asciiTheme="minorEastAsia" w:eastAsiaTheme="minorEastAsia" w:hAnsiTheme="minorEastAsia"/>
          <w:color w:val="000000" w:themeColor="text1"/>
          <w:sz w:val="24"/>
          <w:szCs w:val="24"/>
        </w:rPr>
      </w:pPr>
    </w:p>
    <w:p w:rsidR="00692AD4" w:rsidRDefault="00176EDF">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692AD4">
        <w:trPr>
          <w:cantSplit/>
          <w:trHeight w:val="292"/>
        </w:trPr>
        <w:tc>
          <w:tcPr>
            <w:tcW w:w="851" w:type="dxa"/>
            <w:vMerge w:val="restart"/>
            <w:vAlign w:val="center"/>
          </w:tcPr>
          <w:p w:rsidR="00692AD4" w:rsidRDefault="00176EDF">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692AD4" w:rsidRDefault="00176EDF">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692AD4" w:rsidRDefault="00176EDF">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692AD4">
        <w:trPr>
          <w:cantSplit/>
        </w:trPr>
        <w:tc>
          <w:tcPr>
            <w:tcW w:w="851" w:type="dxa"/>
            <w:vMerge/>
            <w:vAlign w:val="center"/>
          </w:tcPr>
          <w:p w:rsidR="00692AD4" w:rsidRDefault="00692AD4">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692AD4" w:rsidRDefault="00692AD4">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692AD4" w:rsidRDefault="00692AD4">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692AD4" w:rsidRDefault="00692AD4">
            <w:pPr>
              <w:widowControl/>
              <w:spacing w:line="360" w:lineRule="auto"/>
              <w:jc w:val="left"/>
              <w:rPr>
                <w:rFonts w:asciiTheme="minorEastAsia" w:eastAsiaTheme="minorEastAsia" w:hAnsiTheme="minorEastAsia"/>
                <w:color w:val="000000" w:themeColor="text1"/>
                <w:kern w:val="0"/>
              </w:rPr>
            </w:pPr>
          </w:p>
        </w:tc>
      </w:tr>
      <w:tr w:rsidR="00692AD4">
        <w:tc>
          <w:tcPr>
            <w:tcW w:w="851" w:type="dxa"/>
            <w:vAlign w:val="center"/>
          </w:tcPr>
          <w:p w:rsidR="00692AD4" w:rsidRDefault="00176EDF">
            <w:pPr>
              <w:jc w:val="center"/>
            </w:pPr>
            <w:r>
              <w:rPr>
                <w:rFonts w:asciiTheme="minorEastAsia" w:eastAsiaTheme="minorEastAsia" w:hAnsiTheme="minorEastAsia"/>
                <w:color w:val="000000" w:themeColor="text1"/>
              </w:rPr>
              <w:t>征茂平</w:t>
            </w:r>
          </w:p>
        </w:tc>
        <w:tc>
          <w:tcPr>
            <w:tcW w:w="850" w:type="dxa"/>
            <w:vAlign w:val="center"/>
          </w:tcPr>
          <w:p w:rsidR="00692AD4" w:rsidRDefault="00176EDF">
            <w:pPr>
              <w:jc w:val="center"/>
            </w:pPr>
            <w:r>
              <w:rPr>
                <w:rFonts w:asciiTheme="minorEastAsia" w:eastAsiaTheme="minorEastAsia" w:hAnsiTheme="minorEastAsia"/>
                <w:color w:val="000000" w:themeColor="text1"/>
              </w:rPr>
              <w:t>本基金基金经理</w:t>
            </w:r>
          </w:p>
        </w:tc>
        <w:tc>
          <w:tcPr>
            <w:tcW w:w="1560" w:type="dxa"/>
            <w:vAlign w:val="center"/>
          </w:tcPr>
          <w:p w:rsidR="00692AD4" w:rsidRDefault="00176EDF">
            <w:pPr>
              <w:jc w:val="center"/>
            </w:pPr>
            <w:r>
              <w:rPr>
                <w:rFonts w:asciiTheme="minorEastAsia" w:eastAsiaTheme="minorEastAsia" w:hAnsiTheme="minorEastAsia"/>
                <w:color w:val="000000" w:themeColor="text1"/>
              </w:rPr>
              <w:t>2015-09-18</w:t>
            </w:r>
          </w:p>
        </w:tc>
        <w:tc>
          <w:tcPr>
            <w:tcW w:w="1559" w:type="dxa"/>
            <w:vAlign w:val="center"/>
          </w:tcPr>
          <w:p w:rsidR="00692AD4" w:rsidRDefault="00176EDF">
            <w:pPr>
              <w:jc w:val="center"/>
            </w:pPr>
            <w:r>
              <w:rPr>
                <w:rFonts w:asciiTheme="minorEastAsia" w:eastAsiaTheme="minorEastAsia" w:hAnsiTheme="minorEastAsia"/>
                <w:color w:val="000000" w:themeColor="text1"/>
              </w:rPr>
              <w:t>-</w:t>
            </w:r>
          </w:p>
        </w:tc>
        <w:tc>
          <w:tcPr>
            <w:tcW w:w="1417" w:type="dxa"/>
            <w:vAlign w:val="center"/>
          </w:tcPr>
          <w:p w:rsidR="00692AD4" w:rsidRDefault="00176EDF">
            <w:pPr>
              <w:jc w:val="center"/>
            </w:pPr>
            <w:r>
              <w:rPr>
                <w:rFonts w:asciiTheme="minorEastAsia" w:eastAsiaTheme="minorEastAsia" w:hAnsiTheme="minorEastAsia"/>
                <w:color w:val="000000" w:themeColor="text1"/>
              </w:rPr>
              <w:t>18年</w:t>
            </w:r>
          </w:p>
        </w:tc>
        <w:tc>
          <w:tcPr>
            <w:tcW w:w="2694" w:type="dxa"/>
            <w:vAlign w:val="center"/>
          </w:tcPr>
          <w:p w:rsidR="00692AD4" w:rsidRDefault="00176EDF">
            <w:r w:rsidRPr="00176EDF">
              <w:rPr>
                <w:rFonts w:asciiTheme="minorEastAsia" w:eastAsiaTheme="minorEastAsia" w:hAnsiTheme="minorEastAsia" w:hint="eastAsia"/>
                <w:color w:val="000000" w:themeColor="text1"/>
              </w:rPr>
              <w:t>征茂平先生自2001年3月至2004年3月在上海证大投资管理有限公司任高级研究员从事证券研究的工作；2004年3月至2005年4月在平安证券有限公司任高级研究员从事证券研究的工作；2005年5月至2008年5月在大成基金管理有限公司任研究员从事成长股票组合的管理工作；2008年5月起加入上投摩根基金管理有限公司，先后担任行业专家、基金经理助理、研究部总监助理、基金经理，自2013年7月至2019年7月担任上投摩根大盘蓝筹股票型证券投资基金基金经理，2013年9月至2018年6月担任上投摩根红利回报混合型证券投资基金基金经理,2014年1月至2015年2月担任上投摩根阿尔法混合型证券投资基金基金经理，自2015年9月起同时担任上投摩根整合驱动灵活配置混合型证券投资基金基金经理，自2016年11月起同时担任上投摩根中国世纪灵活配置混合型证券投资基金基金经理。</w:t>
            </w:r>
          </w:p>
        </w:tc>
      </w:tr>
    </w:tbl>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注：1.任职日期和离任日期均指根据公司决定确定的聘任日期和解聘日期。</w:t>
      </w:r>
    </w:p>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2.证券从业的含义遵从行业协会《证券业从业人员资格管理办法》的相关规定。</w:t>
      </w:r>
    </w:p>
    <w:p w:rsidR="00692AD4" w:rsidRDefault="00692AD4">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整合驱动灵活配置混合型证券投资基金基金合同》的规定。基金经理对个股和投资组合的比例遵循了投资决策委员会的授权限制，基金投资比例符合基金合同和法律法规的要求。</w:t>
      </w:r>
    </w:p>
    <w:p w:rsidR="00692AD4" w:rsidRDefault="00692AD4">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692AD4" w:rsidRDefault="00176EDF">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692AD4" w:rsidRDefault="00176EDF">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报告期内，通过对交易价格、交易时间、交易方向等的分析，未发现有可能导致不公平交易和利益输送的异常交易行为。</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692AD4" w:rsidRDefault="00692AD4">
      <w:pPr>
        <w:spacing w:line="360" w:lineRule="auto"/>
        <w:ind w:firstLineChars="200" w:firstLine="480"/>
        <w:rPr>
          <w:rFonts w:asciiTheme="minorEastAsia" w:eastAsiaTheme="minorEastAsia" w:hAnsiTheme="minorEastAsia"/>
          <w:color w:val="000000" w:themeColor="text1"/>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692AD4" w:rsidRDefault="00176EDF">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三季度国内经济增速仍在低位徘徊，但表现出较强韧性：尽管制造业景气继续下行、基建投资低于预期，但服务业增速维持高位，对经济增长贡献度持续提升，而上市公司受益于“减税降费”等政策，整体盈利基本符合预期。A股市场三季度延续前期震荡调整走势：行业景气持续提升的消费电子、医药等行业内较多个股单季涨幅超过100%，估值创出历史新高，而受政策抑制的地产、钢铁等周期板块则持续下跌，估值处于历史较低水平。</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三季度，考虑到中美贸易摩擦和国内宏观经济下行等不确定性因素，本基金保持相对谨慎策略，重点配置了盈利增长确定性较高、估值比较合理的医药、食品饮料、家用电器等行业，同时配置了低估值、高股息银行、地产等大金融板块，适当增持了估值较高、但行业景气拐点出现的消费电子等TMT个股。投资结果表明：市场给予个股的确定性溢价超出诸多投资者的预期，在二季度市场就在对于食品饮料、医药等板块的估值存在较大分歧时，相关行业内龙头个股在三季度再次创出历史新高，对组合的净值贡献较大，组合中TMT行业由于配置比例较低，对组合净值贡献有限，而组合中的银行、地产等大金融板块表现一般。基于上述操作，本基金三季度季组合整体收益较好，基本达到预期目标。</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四季度，本基金认为前期涨幅较大的行业和估值较高个股在四季度获得超额收益的概率不大，因此本基金组合在四季度将继续持有估值合理、成长确定性较高的医药、食品饮料、家用电器等板块，同时适当增持估值较低的银行、保险、地产等大金融板块并降低TMT行业的配置。</w:t>
      </w:r>
    </w:p>
    <w:p w:rsidR="00692AD4" w:rsidRDefault="00176EDF">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本报告期上投摩根整合驱动混合份额净值增长率为:6.87%，同期业绩比较基准收益率为:0.09%。</w:t>
      </w:r>
    </w:p>
    <w:p w:rsidR="00692AD4" w:rsidRDefault="00692AD4">
      <w:pPr>
        <w:spacing w:line="360" w:lineRule="auto"/>
        <w:ind w:firstLineChars="200" w:firstLine="480"/>
        <w:rPr>
          <w:rFonts w:asciiTheme="minorEastAsia" w:eastAsiaTheme="minorEastAsia" w:hAnsiTheme="minorEastAsia"/>
          <w:color w:val="000000" w:themeColor="text1"/>
          <w:sz w:val="24"/>
          <w:szCs w:val="24"/>
        </w:rPr>
      </w:pPr>
    </w:p>
    <w:p w:rsidR="00692AD4" w:rsidRDefault="00176EDF">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无。</w:t>
      </w:r>
    </w:p>
    <w:p w:rsidR="00692AD4" w:rsidRDefault="00176EDF">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692AD4">
        <w:trPr>
          <w:jc w:val="center"/>
        </w:trPr>
        <w:tc>
          <w:tcPr>
            <w:tcW w:w="720" w:type="dxa"/>
            <w:vAlign w:val="center"/>
          </w:tcPr>
          <w:p w:rsidR="00692AD4" w:rsidRDefault="00176EDF">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692AD4" w:rsidRDefault="00176EDF">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692AD4" w:rsidRDefault="00176EDF">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692AD4" w:rsidRDefault="00176EDF">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692AD4">
        <w:trPr>
          <w:jc w:val="center"/>
        </w:trPr>
        <w:tc>
          <w:tcPr>
            <w:tcW w:w="720" w:type="dxa"/>
            <w:vAlign w:val="center"/>
          </w:tcPr>
          <w:p w:rsidR="00692AD4" w:rsidRDefault="00176EDF">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692AD4" w:rsidRDefault="00176EDF">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658,576,524.05</w:t>
            </w:r>
          </w:p>
        </w:tc>
        <w:tc>
          <w:tcPr>
            <w:tcW w:w="1843"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79.67</w:t>
            </w:r>
          </w:p>
        </w:tc>
      </w:tr>
      <w:tr w:rsidR="00692AD4">
        <w:trPr>
          <w:jc w:val="center"/>
        </w:trPr>
        <w:tc>
          <w:tcPr>
            <w:tcW w:w="720" w:type="dxa"/>
            <w:vAlign w:val="center"/>
          </w:tcPr>
          <w:p w:rsidR="00692AD4" w:rsidRDefault="00692AD4">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692AD4" w:rsidRDefault="00176EDF">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658,576,524.05</w:t>
            </w:r>
          </w:p>
        </w:tc>
        <w:tc>
          <w:tcPr>
            <w:tcW w:w="1843"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79.67</w:t>
            </w:r>
          </w:p>
        </w:tc>
      </w:tr>
      <w:tr w:rsidR="00692AD4">
        <w:trPr>
          <w:jc w:val="center"/>
        </w:trPr>
        <w:tc>
          <w:tcPr>
            <w:tcW w:w="720" w:type="dxa"/>
            <w:vAlign w:val="center"/>
          </w:tcPr>
          <w:p w:rsidR="00692AD4" w:rsidRDefault="00176EDF">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692AD4" w:rsidRDefault="00176EDF">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92AD4">
        <w:trPr>
          <w:jc w:val="center"/>
        </w:trPr>
        <w:tc>
          <w:tcPr>
            <w:tcW w:w="720" w:type="dxa"/>
            <w:vAlign w:val="center"/>
          </w:tcPr>
          <w:p w:rsidR="00692AD4" w:rsidRDefault="00692AD4">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692AD4" w:rsidRDefault="00176EDF">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92AD4">
        <w:trPr>
          <w:jc w:val="center"/>
        </w:trPr>
        <w:tc>
          <w:tcPr>
            <w:tcW w:w="720" w:type="dxa"/>
            <w:vAlign w:val="center"/>
          </w:tcPr>
          <w:p w:rsidR="00692AD4" w:rsidRDefault="00692AD4">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692AD4" w:rsidRDefault="00176EDF">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92AD4">
        <w:trPr>
          <w:jc w:val="center"/>
        </w:trPr>
        <w:tc>
          <w:tcPr>
            <w:tcW w:w="720" w:type="dxa"/>
          </w:tcPr>
          <w:p w:rsidR="00692AD4" w:rsidRDefault="00176EDF">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692AD4" w:rsidRDefault="00176EDF">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92AD4">
        <w:trPr>
          <w:jc w:val="center"/>
        </w:trPr>
        <w:tc>
          <w:tcPr>
            <w:tcW w:w="720" w:type="dxa"/>
            <w:vAlign w:val="center"/>
          </w:tcPr>
          <w:p w:rsidR="00692AD4" w:rsidRDefault="00176EDF">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692AD4" w:rsidRDefault="00176EDF">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92AD4">
        <w:trPr>
          <w:jc w:val="center"/>
        </w:trPr>
        <w:tc>
          <w:tcPr>
            <w:tcW w:w="720" w:type="dxa"/>
            <w:vAlign w:val="center"/>
          </w:tcPr>
          <w:p w:rsidR="00692AD4" w:rsidRDefault="00176EDF">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692AD4" w:rsidRDefault="00176EDF">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92AD4">
        <w:trPr>
          <w:jc w:val="center"/>
        </w:trPr>
        <w:tc>
          <w:tcPr>
            <w:tcW w:w="720" w:type="dxa"/>
            <w:vAlign w:val="center"/>
          </w:tcPr>
          <w:p w:rsidR="00692AD4" w:rsidRDefault="00692AD4">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692AD4" w:rsidRDefault="00176EDF">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692AD4">
        <w:trPr>
          <w:jc w:val="center"/>
        </w:trPr>
        <w:tc>
          <w:tcPr>
            <w:tcW w:w="720" w:type="dxa"/>
            <w:vAlign w:val="center"/>
          </w:tcPr>
          <w:p w:rsidR="00692AD4" w:rsidRDefault="00176EDF">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692AD4" w:rsidRDefault="00176EDF">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167,710,380.84</w:t>
            </w:r>
          </w:p>
        </w:tc>
        <w:tc>
          <w:tcPr>
            <w:tcW w:w="1843" w:type="dxa"/>
            <w:vAlign w:val="center"/>
          </w:tcPr>
          <w:p w:rsidR="00692AD4" w:rsidRDefault="00176EDF">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20.29</w:t>
            </w:r>
          </w:p>
        </w:tc>
      </w:tr>
      <w:tr w:rsidR="00692AD4">
        <w:trPr>
          <w:jc w:val="center"/>
        </w:trPr>
        <w:tc>
          <w:tcPr>
            <w:tcW w:w="720" w:type="dxa"/>
            <w:vAlign w:val="center"/>
          </w:tcPr>
          <w:p w:rsidR="00692AD4" w:rsidRDefault="00176EDF">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692AD4" w:rsidRDefault="00176EDF">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383,658.83</w:t>
            </w:r>
          </w:p>
        </w:tc>
        <w:tc>
          <w:tcPr>
            <w:tcW w:w="1843" w:type="dxa"/>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0.05</w:t>
            </w:r>
          </w:p>
        </w:tc>
      </w:tr>
      <w:tr w:rsidR="00692AD4">
        <w:trPr>
          <w:jc w:val="center"/>
        </w:trPr>
        <w:tc>
          <w:tcPr>
            <w:tcW w:w="720" w:type="dxa"/>
            <w:vAlign w:val="center"/>
          </w:tcPr>
          <w:p w:rsidR="00692AD4" w:rsidRDefault="00176EDF">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692AD4" w:rsidRDefault="00176EDF">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826,670,563.72</w:t>
            </w:r>
          </w:p>
        </w:tc>
        <w:tc>
          <w:tcPr>
            <w:tcW w:w="1843" w:type="dxa"/>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692AD4" w:rsidRDefault="00692AD4">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692AD4" w:rsidRDefault="00176EDF">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692AD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692AD4" w:rsidRDefault="00692AD4">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p w:rsidR="00692AD4" w:rsidRDefault="00692AD4">
            <w:pPr>
              <w:jc w:val="right"/>
              <w:rPr>
                <w:rFonts w:asciiTheme="minorEastAsia" w:eastAsiaTheme="minorEastAsia" w:hAnsiTheme="minorEastAsia" w:cs="宋体"/>
                <w:color w:val="000000" w:themeColor="text1"/>
                <w:kern w:val="0"/>
              </w:rPr>
            </w:pP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478,174,665.43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58.17</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2,144,566.00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0.26</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2,314,388.40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0.28</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4,554,040.80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0.55</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2,371,292.00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0.29</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1,660,623.54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0.20</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72,101,204.76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8.77</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62,150,175.12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7.56</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25,966,374.00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3.16</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717,836.00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0.09</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3,213,582.00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0.39</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3,207,776.00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0.39</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692AD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692AD4">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692AD4" w:rsidRDefault="00176EDF">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658,576,524.05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92AD4" w:rsidRDefault="00176EDF">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80.12</w:t>
            </w:r>
          </w:p>
        </w:tc>
      </w:tr>
    </w:tbl>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8"/>
        <w:tblW w:w="8528" w:type="dxa"/>
        <w:tblLayout w:type="fixed"/>
        <w:tblLook w:val="04A0" w:firstRow="1" w:lastRow="0" w:firstColumn="1" w:lastColumn="0" w:noHBand="0" w:noVBand="1"/>
      </w:tblPr>
      <w:tblGrid>
        <w:gridCol w:w="817"/>
        <w:gridCol w:w="1276"/>
        <w:gridCol w:w="1701"/>
        <w:gridCol w:w="1276"/>
        <w:gridCol w:w="1842"/>
        <w:gridCol w:w="1616"/>
      </w:tblGrid>
      <w:tr w:rsidR="00692AD4">
        <w:tc>
          <w:tcPr>
            <w:tcW w:w="817" w:type="dxa"/>
            <w:vAlign w:val="center"/>
          </w:tcPr>
          <w:p w:rsidR="00692AD4" w:rsidRDefault="00176EDF">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692AD4" w:rsidRDefault="00176EDF">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692AD4" w:rsidRDefault="00176EDF">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692AD4" w:rsidRDefault="00176EDF">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692AD4" w:rsidRDefault="00176EDF">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692AD4">
        <w:tc>
          <w:tcPr>
            <w:tcW w:w="817" w:type="dxa"/>
            <w:vAlign w:val="center"/>
          </w:tcPr>
          <w:p w:rsidR="00692AD4" w:rsidRDefault="00176EDF">
            <w:pPr>
              <w:jc w:val="center"/>
            </w:pPr>
            <w:r>
              <w:rPr>
                <w:rFonts w:asciiTheme="minorEastAsia" w:eastAsiaTheme="minorEastAsia" w:hAnsiTheme="minorEastAsia" w:cs="宋体"/>
                <w:color w:val="000000" w:themeColor="text1"/>
                <w:kern w:val="0"/>
              </w:rPr>
              <w:t>1</w:t>
            </w:r>
          </w:p>
        </w:tc>
        <w:tc>
          <w:tcPr>
            <w:tcW w:w="1276" w:type="dxa"/>
            <w:vAlign w:val="center"/>
          </w:tcPr>
          <w:p w:rsidR="00692AD4" w:rsidRDefault="00176EDF">
            <w:pPr>
              <w:jc w:val="center"/>
            </w:pPr>
            <w:r>
              <w:rPr>
                <w:rFonts w:asciiTheme="minorEastAsia" w:eastAsiaTheme="minorEastAsia" w:hAnsiTheme="minorEastAsia" w:cs="宋体"/>
                <w:color w:val="000000" w:themeColor="text1"/>
                <w:kern w:val="0"/>
              </w:rPr>
              <w:t>002236</w:t>
            </w:r>
          </w:p>
        </w:tc>
        <w:tc>
          <w:tcPr>
            <w:tcW w:w="1701" w:type="dxa"/>
            <w:vAlign w:val="center"/>
          </w:tcPr>
          <w:p w:rsidR="00692AD4" w:rsidRDefault="00176EDF">
            <w:pPr>
              <w:jc w:val="center"/>
            </w:pPr>
            <w:r>
              <w:rPr>
                <w:rFonts w:asciiTheme="minorEastAsia" w:eastAsiaTheme="minorEastAsia" w:hAnsiTheme="minorEastAsia" w:cs="宋体"/>
                <w:color w:val="000000" w:themeColor="text1"/>
                <w:kern w:val="0"/>
              </w:rPr>
              <w:t>大华股份</w:t>
            </w:r>
          </w:p>
        </w:tc>
        <w:tc>
          <w:tcPr>
            <w:tcW w:w="1276" w:type="dxa"/>
            <w:vAlign w:val="center"/>
          </w:tcPr>
          <w:p w:rsidR="00692AD4" w:rsidRDefault="00176EDF">
            <w:pPr>
              <w:jc w:val="right"/>
            </w:pPr>
            <w:r>
              <w:rPr>
                <w:rFonts w:asciiTheme="minorEastAsia" w:eastAsiaTheme="minorEastAsia" w:hAnsiTheme="minorEastAsia" w:cs="宋体"/>
                <w:color w:val="000000" w:themeColor="text1"/>
                <w:kern w:val="0"/>
              </w:rPr>
              <w:t>3,065,400.00</w:t>
            </w:r>
          </w:p>
        </w:tc>
        <w:tc>
          <w:tcPr>
            <w:tcW w:w="1842" w:type="dxa"/>
            <w:vAlign w:val="center"/>
          </w:tcPr>
          <w:p w:rsidR="00692AD4" w:rsidRDefault="00176EDF">
            <w:pPr>
              <w:jc w:val="right"/>
            </w:pPr>
            <w:r>
              <w:rPr>
                <w:rFonts w:asciiTheme="minorEastAsia" w:eastAsiaTheme="minorEastAsia" w:hAnsiTheme="minorEastAsia" w:cs="宋体"/>
                <w:color w:val="000000" w:themeColor="text1"/>
                <w:kern w:val="0"/>
              </w:rPr>
              <w:t>52,939,458.00</w:t>
            </w:r>
          </w:p>
        </w:tc>
        <w:tc>
          <w:tcPr>
            <w:tcW w:w="1616" w:type="dxa"/>
            <w:vAlign w:val="center"/>
          </w:tcPr>
          <w:p w:rsidR="00692AD4" w:rsidRDefault="00176EDF">
            <w:pPr>
              <w:jc w:val="right"/>
            </w:pPr>
            <w:r>
              <w:rPr>
                <w:rFonts w:asciiTheme="minorEastAsia" w:eastAsiaTheme="minorEastAsia" w:hAnsiTheme="minorEastAsia" w:cs="宋体"/>
                <w:color w:val="000000" w:themeColor="text1"/>
                <w:kern w:val="0"/>
              </w:rPr>
              <w:t>6.44</w:t>
            </w:r>
          </w:p>
        </w:tc>
      </w:tr>
      <w:tr w:rsidR="00692AD4">
        <w:tc>
          <w:tcPr>
            <w:tcW w:w="817" w:type="dxa"/>
            <w:vAlign w:val="center"/>
          </w:tcPr>
          <w:p w:rsidR="00692AD4" w:rsidRDefault="00176EDF">
            <w:pPr>
              <w:jc w:val="center"/>
            </w:pPr>
            <w:r>
              <w:rPr>
                <w:rFonts w:asciiTheme="minorEastAsia" w:eastAsiaTheme="minorEastAsia" w:hAnsiTheme="minorEastAsia" w:cs="宋体"/>
                <w:color w:val="000000" w:themeColor="text1"/>
                <w:kern w:val="0"/>
              </w:rPr>
              <w:t>2</w:t>
            </w:r>
          </w:p>
        </w:tc>
        <w:tc>
          <w:tcPr>
            <w:tcW w:w="1276" w:type="dxa"/>
            <w:vAlign w:val="center"/>
          </w:tcPr>
          <w:p w:rsidR="00692AD4" w:rsidRDefault="00176EDF">
            <w:pPr>
              <w:jc w:val="center"/>
            </w:pPr>
            <w:r>
              <w:rPr>
                <w:rFonts w:asciiTheme="minorEastAsia" w:eastAsiaTheme="minorEastAsia" w:hAnsiTheme="minorEastAsia" w:cs="宋体"/>
                <w:color w:val="000000" w:themeColor="text1"/>
                <w:kern w:val="0"/>
              </w:rPr>
              <w:t>000661</w:t>
            </w:r>
          </w:p>
        </w:tc>
        <w:tc>
          <w:tcPr>
            <w:tcW w:w="1701" w:type="dxa"/>
            <w:vAlign w:val="center"/>
          </w:tcPr>
          <w:p w:rsidR="00692AD4" w:rsidRDefault="00176EDF">
            <w:pPr>
              <w:jc w:val="center"/>
            </w:pPr>
            <w:r>
              <w:rPr>
                <w:rFonts w:asciiTheme="minorEastAsia" w:eastAsiaTheme="minorEastAsia" w:hAnsiTheme="minorEastAsia" w:cs="宋体"/>
                <w:color w:val="000000" w:themeColor="text1"/>
                <w:kern w:val="0"/>
              </w:rPr>
              <w:t>长春高新</w:t>
            </w:r>
          </w:p>
        </w:tc>
        <w:tc>
          <w:tcPr>
            <w:tcW w:w="1276" w:type="dxa"/>
            <w:vAlign w:val="center"/>
          </w:tcPr>
          <w:p w:rsidR="00692AD4" w:rsidRDefault="00176EDF">
            <w:pPr>
              <w:jc w:val="right"/>
            </w:pPr>
            <w:r>
              <w:rPr>
                <w:rFonts w:asciiTheme="minorEastAsia" w:eastAsiaTheme="minorEastAsia" w:hAnsiTheme="minorEastAsia" w:cs="宋体"/>
                <w:color w:val="000000" w:themeColor="text1"/>
                <w:kern w:val="0"/>
              </w:rPr>
              <w:t>119,000.00</w:t>
            </w:r>
          </w:p>
        </w:tc>
        <w:tc>
          <w:tcPr>
            <w:tcW w:w="1842" w:type="dxa"/>
            <w:vAlign w:val="center"/>
          </w:tcPr>
          <w:p w:rsidR="00692AD4" w:rsidRDefault="00176EDF">
            <w:pPr>
              <w:jc w:val="right"/>
            </w:pPr>
            <w:r>
              <w:rPr>
                <w:rFonts w:asciiTheme="minorEastAsia" w:eastAsiaTheme="minorEastAsia" w:hAnsiTheme="minorEastAsia" w:cs="宋体"/>
                <w:color w:val="000000" w:themeColor="text1"/>
                <w:kern w:val="0"/>
              </w:rPr>
              <w:t>46,928,840.00</w:t>
            </w:r>
          </w:p>
        </w:tc>
        <w:tc>
          <w:tcPr>
            <w:tcW w:w="1616" w:type="dxa"/>
            <w:vAlign w:val="center"/>
          </w:tcPr>
          <w:p w:rsidR="00692AD4" w:rsidRDefault="00176EDF">
            <w:pPr>
              <w:jc w:val="right"/>
            </w:pPr>
            <w:r>
              <w:rPr>
                <w:rFonts w:asciiTheme="minorEastAsia" w:eastAsiaTheme="minorEastAsia" w:hAnsiTheme="minorEastAsia" w:cs="宋体"/>
                <w:color w:val="000000" w:themeColor="text1"/>
                <w:kern w:val="0"/>
              </w:rPr>
              <w:t>5.71</w:t>
            </w:r>
          </w:p>
        </w:tc>
      </w:tr>
      <w:tr w:rsidR="00692AD4">
        <w:tc>
          <w:tcPr>
            <w:tcW w:w="817" w:type="dxa"/>
            <w:vAlign w:val="center"/>
          </w:tcPr>
          <w:p w:rsidR="00692AD4" w:rsidRDefault="00176EDF">
            <w:pPr>
              <w:jc w:val="center"/>
            </w:pPr>
            <w:r>
              <w:rPr>
                <w:rFonts w:asciiTheme="minorEastAsia" w:eastAsiaTheme="minorEastAsia" w:hAnsiTheme="minorEastAsia" w:cs="宋体"/>
                <w:color w:val="000000" w:themeColor="text1"/>
                <w:kern w:val="0"/>
              </w:rPr>
              <w:t>3</w:t>
            </w:r>
          </w:p>
        </w:tc>
        <w:tc>
          <w:tcPr>
            <w:tcW w:w="1276" w:type="dxa"/>
            <w:vAlign w:val="center"/>
          </w:tcPr>
          <w:p w:rsidR="00692AD4" w:rsidRDefault="00176EDF">
            <w:pPr>
              <w:jc w:val="center"/>
            </w:pPr>
            <w:r>
              <w:rPr>
                <w:rFonts w:asciiTheme="minorEastAsia" w:eastAsiaTheme="minorEastAsia" w:hAnsiTheme="minorEastAsia" w:cs="宋体"/>
                <w:color w:val="000000" w:themeColor="text1"/>
                <w:kern w:val="0"/>
              </w:rPr>
              <w:t>603899</w:t>
            </w:r>
          </w:p>
        </w:tc>
        <w:tc>
          <w:tcPr>
            <w:tcW w:w="1701" w:type="dxa"/>
            <w:vAlign w:val="center"/>
          </w:tcPr>
          <w:p w:rsidR="00692AD4" w:rsidRDefault="00176EDF">
            <w:pPr>
              <w:jc w:val="center"/>
            </w:pPr>
            <w:r>
              <w:rPr>
                <w:rFonts w:asciiTheme="minorEastAsia" w:eastAsiaTheme="minorEastAsia" w:hAnsiTheme="minorEastAsia" w:cs="宋体"/>
                <w:color w:val="000000" w:themeColor="text1"/>
                <w:kern w:val="0"/>
              </w:rPr>
              <w:t>晨光文具</w:t>
            </w:r>
          </w:p>
        </w:tc>
        <w:tc>
          <w:tcPr>
            <w:tcW w:w="1276" w:type="dxa"/>
            <w:vAlign w:val="center"/>
          </w:tcPr>
          <w:p w:rsidR="00692AD4" w:rsidRDefault="00176EDF">
            <w:pPr>
              <w:jc w:val="right"/>
            </w:pPr>
            <w:r>
              <w:rPr>
                <w:rFonts w:asciiTheme="minorEastAsia" w:eastAsiaTheme="minorEastAsia" w:hAnsiTheme="minorEastAsia" w:cs="宋体"/>
                <w:color w:val="000000" w:themeColor="text1"/>
                <w:kern w:val="0"/>
              </w:rPr>
              <w:t>813,722.00</w:t>
            </w:r>
          </w:p>
        </w:tc>
        <w:tc>
          <w:tcPr>
            <w:tcW w:w="1842" w:type="dxa"/>
            <w:vAlign w:val="center"/>
          </w:tcPr>
          <w:p w:rsidR="00692AD4" w:rsidRDefault="00176EDF">
            <w:pPr>
              <w:jc w:val="right"/>
            </w:pPr>
            <w:r>
              <w:rPr>
                <w:rFonts w:asciiTheme="minorEastAsia" w:eastAsiaTheme="minorEastAsia" w:hAnsiTheme="minorEastAsia" w:cs="宋体"/>
                <w:color w:val="000000" w:themeColor="text1"/>
                <w:kern w:val="0"/>
              </w:rPr>
              <w:t>36,259,452.32</w:t>
            </w:r>
          </w:p>
        </w:tc>
        <w:tc>
          <w:tcPr>
            <w:tcW w:w="1616" w:type="dxa"/>
            <w:vAlign w:val="center"/>
          </w:tcPr>
          <w:p w:rsidR="00692AD4" w:rsidRDefault="00176EDF">
            <w:pPr>
              <w:jc w:val="right"/>
            </w:pPr>
            <w:r>
              <w:rPr>
                <w:rFonts w:asciiTheme="minorEastAsia" w:eastAsiaTheme="minorEastAsia" w:hAnsiTheme="minorEastAsia" w:cs="宋体"/>
                <w:color w:val="000000" w:themeColor="text1"/>
                <w:kern w:val="0"/>
              </w:rPr>
              <w:t>4.41</w:t>
            </w:r>
          </w:p>
        </w:tc>
      </w:tr>
      <w:tr w:rsidR="00692AD4">
        <w:tc>
          <w:tcPr>
            <w:tcW w:w="817" w:type="dxa"/>
            <w:vAlign w:val="center"/>
          </w:tcPr>
          <w:p w:rsidR="00692AD4" w:rsidRDefault="00176EDF">
            <w:pPr>
              <w:jc w:val="center"/>
            </w:pPr>
            <w:r>
              <w:rPr>
                <w:rFonts w:asciiTheme="minorEastAsia" w:eastAsiaTheme="minorEastAsia" w:hAnsiTheme="minorEastAsia" w:cs="宋体"/>
                <w:color w:val="000000" w:themeColor="text1"/>
                <w:kern w:val="0"/>
              </w:rPr>
              <w:t>4</w:t>
            </w:r>
          </w:p>
        </w:tc>
        <w:tc>
          <w:tcPr>
            <w:tcW w:w="1276" w:type="dxa"/>
            <w:vAlign w:val="center"/>
          </w:tcPr>
          <w:p w:rsidR="00692AD4" w:rsidRDefault="00176EDF">
            <w:pPr>
              <w:jc w:val="center"/>
            </w:pPr>
            <w:r>
              <w:rPr>
                <w:rFonts w:asciiTheme="minorEastAsia" w:eastAsiaTheme="minorEastAsia" w:hAnsiTheme="minorEastAsia" w:cs="宋体"/>
                <w:color w:val="000000" w:themeColor="text1"/>
                <w:kern w:val="0"/>
              </w:rPr>
              <w:t>600276</w:t>
            </w:r>
          </w:p>
        </w:tc>
        <w:tc>
          <w:tcPr>
            <w:tcW w:w="1701" w:type="dxa"/>
            <w:vAlign w:val="center"/>
          </w:tcPr>
          <w:p w:rsidR="00692AD4" w:rsidRDefault="00176EDF">
            <w:pPr>
              <w:jc w:val="center"/>
            </w:pPr>
            <w:r>
              <w:rPr>
                <w:rFonts w:asciiTheme="minorEastAsia" w:eastAsiaTheme="minorEastAsia" w:hAnsiTheme="minorEastAsia" w:cs="宋体"/>
                <w:color w:val="000000" w:themeColor="text1"/>
                <w:kern w:val="0"/>
              </w:rPr>
              <w:t>恒瑞医药</w:t>
            </w:r>
          </w:p>
        </w:tc>
        <w:tc>
          <w:tcPr>
            <w:tcW w:w="1276" w:type="dxa"/>
            <w:vAlign w:val="center"/>
          </w:tcPr>
          <w:p w:rsidR="00692AD4" w:rsidRDefault="00176EDF">
            <w:pPr>
              <w:jc w:val="right"/>
            </w:pPr>
            <w:r>
              <w:rPr>
                <w:rFonts w:asciiTheme="minorEastAsia" w:eastAsiaTheme="minorEastAsia" w:hAnsiTheme="minorEastAsia" w:cs="宋体"/>
                <w:color w:val="000000" w:themeColor="text1"/>
                <w:kern w:val="0"/>
              </w:rPr>
              <w:t>448,394.00</w:t>
            </w:r>
          </w:p>
        </w:tc>
        <w:tc>
          <w:tcPr>
            <w:tcW w:w="1842" w:type="dxa"/>
            <w:vAlign w:val="center"/>
          </w:tcPr>
          <w:p w:rsidR="00692AD4" w:rsidRDefault="00176EDF">
            <w:pPr>
              <w:jc w:val="right"/>
            </w:pPr>
            <w:r>
              <w:rPr>
                <w:rFonts w:asciiTheme="minorEastAsia" w:eastAsiaTheme="minorEastAsia" w:hAnsiTheme="minorEastAsia" w:cs="宋体"/>
                <w:color w:val="000000" w:themeColor="text1"/>
                <w:kern w:val="0"/>
              </w:rPr>
              <w:t>36,176,427.92</w:t>
            </w:r>
          </w:p>
        </w:tc>
        <w:tc>
          <w:tcPr>
            <w:tcW w:w="1616" w:type="dxa"/>
            <w:vAlign w:val="center"/>
          </w:tcPr>
          <w:p w:rsidR="00692AD4" w:rsidRDefault="00176EDF">
            <w:pPr>
              <w:jc w:val="right"/>
            </w:pPr>
            <w:r>
              <w:rPr>
                <w:rFonts w:asciiTheme="minorEastAsia" w:eastAsiaTheme="minorEastAsia" w:hAnsiTheme="minorEastAsia" w:cs="宋体"/>
                <w:color w:val="000000" w:themeColor="text1"/>
                <w:kern w:val="0"/>
              </w:rPr>
              <w:t>4.40</w:t>
            </w:r>
          </w:p>
        </w:tc>
      </w:tr>
      <w:tr w:rsidR="00692AD4">
        <w:tc>
          <w:tcPr>
            <w:tcW w:w="817" w:type="dxa"/>
            <w:vAlign w:val="center"/>
          </w:tcPr>
          <w:p w:rsidR="00692AD4" w:rsidRDefault="00176EDF">
            <w:pPr>
              <w:jc w:val="center"/>
            </w:pPr>
            <w:r>
              <w:rPr>
                <w:rFonts w:asciiTheme="minorEastAsia" w:eastAsiaTheme="minorEastAsia" w:hAnsiTheme="minorEastAsia" w:cs="宋体"/>
                <w:color w:val="000000" w:themeColor="text1"/>
                <w:kern w:val="0"/>
              </w:rPr>
              <w:t>5</w:t>
            </w:r>
          </w:p>
        </w:tc>
        <w:tc>
          <w:tcPr>
            <w:tcW w:w="1276" w:type="dxa"/>
            <w:vAlign w:val="center"/>
          </w:tcPr>
          <w:p w:rsidR="00692AD4" w:rsidRDefault="00176EDF">
            <w:pPr>
              <w:jc w:val="center"/>
            </w:pPr>
            <w:r>
              <w:rPr>
                <w:rFonts w:asciiTheme="minorEastAsia" w:eastAsiaTheme="minorEastAsia" w:hAnsiTheme="minorEastAsia" w:cs="宋体"/>
                <w:color w:val="000000" w:themeColor="text1"/>
                <w:kern w:val="0"/>
              </w:rPr>
              <w:t>603338</w:t>
            </w:r>
          </w:p>
        </w:tc>
        <w:tc>
          <w:tcPr>
            <w:tcW w:w="1701" w:type="dxa"/>
            <w:vAlign w:val="center"/>
          </w:tcPr>
          <w:p w:rsidR="00692AD4" w:rsidRDefault="00176EDF">
            <w:pPr>
              <w:jc w:val="center"/>
            </w:pPr>
            <w:r>
              <w:rPr>
                <w:rFonts w:asciiTheme="minorEastAsia" w:eastAsiaTheme="minorEastAsia" w:hAnsiTheme="minorEastAsia" w:cs="宋体"/>
                <w:color w:val="000000" w:themeColor="text1"/>
                <w:kern w:val="0"/>
              </w:rPr>
              <w:t>浙江鼎力</w:t>
            </w:r>
          </w:p>
        </w:tc>
        <w:tc>
          <w:tcPr>
            <w:tcW w:w="1276" w:type="dxa"/>
            <w:vAlign w:val="center"/>
          </w:tcPr>
          <w:p w:rsidR="00692AD4" w:rsidRDefault="00176EDF">
            <w:pPr>
              <w:jc w:val="right"/>
            </w:pPr>
            <w:r>
              <w:rPr>
                <w:rFonts w:asciiTheme="minorEastAsia" w:eastAsiaTheme="minorEastAsia" w:hAnsiTheme="minorEastAsia" w:cs="宋体"/>
                <w:color w:val="000000" w:themeColor="text1"/>
                <w:kern w:val="0"/>
              </w:rPr>
              <w:t>560,072.00</w:t>
            </w:r>
          </w:p>
        </w:tc>
        <w:tc>
          <w:tcPr>
            <w:tcW w:w="1842" w:type="dxa"/>
            <w:vAlign w:val="center"/>
          </w:tcPr>
          <w:p w:rsidR="00692AD4" w:rsidRDefault="00176EDF">
            <w:pPr>
              <w:jc w:val="right"/>
            </w:pPr>
            <w:r>
              <w:rPr>
                <w:rFonts w:asciiTheme="minorEastAsia" w:eastAsiaTheme="minorEastAsia" w:hAnsiTheme="minorEastAsia" w:cs="宋体"/>
                <w:color w:val="000000" w:themeColor="text1"/>
                <w:kern w:val="0"/>
              </w:rPr>
              <w:t>33,716,334.40</w:t>
            </w:r>
          </w:p>
        </w:tc>
        <w:tc>
          <w:tcPr>
            <w:tcW w:w="1616" w:type="dxa"/>
            <w:vAlign w:val="center"/>
          </w:tcPr>
          <w:p w:rsidR="00692AD4" w:rsidRDefault="00176EDF">
            <w:pPr>
              <w:jc w:val="right"/>
            </w:pPr>
            <w:r>
              <w:rPr>
                <w:rFonts w:asciiTheme="minorEastAsia" w:eastAsiaTheme="minorEastAsia" w:hAnsiTheme="minorEastAsia" w:cs="宋体"/>
                <w:color w:val="000000" w:themeColor="text1"/>
                <w:kern w:val="0"/>
              </w:rPr>
              <w:t>4.10</w:t>
            </w:r>
          </w:p>
        </w:tc>
      </w:tr>
      <w:tr w:rsidR="00692AD4">
        <w:tc>
          <w:tcPr>
            <w:tcW w:w="817" w:type="dxa"/>
            <w:vAlign w:val="center"/>
          </w:tcPr>
          <w:p w:rsidR="00692AD4" w:rsidRDefault="00176EDF">
            <w:pPr>
              <w:jc w:val="center"/>
            </w:pPr>
            <w:r>
              <w:rPr>
                <w:rFonts w:asciiTheme="minorEastAsia" w:eastAsiaTheme="minorEastAsia" w:hAnsiTheme="minorEastAsia" w:cs="宋体"/>
                <w:color w:val="000000" w:themeColor="text1"/>
                <w:kern w:val="0"/>
              </w:rPr>
              <w:t>6</w:t>
            </w:r>
          </w:p>
        </w:tc>
        <w:tc>
          <w:tcPr>
            <w:tcW w:w="1276" w:type="dxa"/>
            <w:vAlign w:val="center"/>
          </w:tcPr>
          <w:p w:rsidR="00692AD4" w:rsidRDefault="00176EDF">
            <w:pPr>
              <w:jc w:val="center"/>
            </w:pPr>
            <w:r>
              <w:rPr>
                <w:rFonts w:asciiTheme="minorEastAsia" w:eastAsiaTheme="minorEastAsia" w:hAnsiTheme="minorEastAsia" w:cs="宋体"/>
                <w:color w:val="000000" w:themeColor="text1"/>
                <w:kern w:val="0"/>
              </w:rPr>
              <w:t>000333</w:t>
            </w:r>
          </w:p>
        </w:tc>
        <w:tc>
          <w:tcPr>
            <w:tcW w:w="1701" w:type="dxa"/>
            <w:vAlign w:val="center"/>
          </w:tcPr>
          <w:p w:rsidR="00692AD4" w:rsidRDefault="00176EDF">
            <w:pPr>
              <w:jc w:val="center"/>
            </w:pPr>
            <w:r>
              <w:rPr>
                <w:rFonts w:asciiTheme="minorEastAsia" w:eastAsiaTheme="minorEastAsia" w:hAnsiTheme="minorEastAsia" w:cs="宋体"/>
                <w:color w:val="000000" w:themeColor="text1"/>
                <w:kern w:val="0"/>
              </w:rPr>
              <w:t>美的集团</w:t>
            </w:r>
          </w:p>
        </w:tc>
        <w:tc>
          <w:tcPr>
            <w:tcW w:w="1276" w:type="dxa"/>
            <w:vAlign w:val="center"/>
          </w:tcPr>
          <w:p w:rsidR="00692AD4" w:rsidRDefault="00176EDF">
            <w:pPr>
              <w:jc w:val="right"/>
            </w:pPr>
            <w:r>
              <w:rPr>
                <w:rFonts w:asciiTheme="minorEastAsia" w:eastAsiaTheme="minorEastAsia" w:hAnsiTheme="minorEastAsia" w:cs="宋体"/>
                <w:color w:val="000000" w:themeColor="text1"/>
                <w:kern w:val="0"/>
              </w:rPr>
              <w:t>654,754.00</w:t>
            </w:r>
          </w:p>
        </w:tc>
        <w:tc>
          <w:tcPr>
            <w:tcW w:w="1842" w:type="dxa"/>
            <w:vAlign w:val="center"/>
          </w:tcPr>
          <w:p w:rsidR="00692AD4" w:rsidRDefault="00176EDF">
            <w:pPr>
              <w:jc w:val="right"/>
            </w:pPr>
            <w:r>
              <w:rPr>
                <w:rFonts w:asciiTheme="minorEastAsia" w:eastAsiaTheme="minorEastAsia" w:hAnsiTheme="minorEastAsia" w:cs="宋体"/>
                <w:color w:val="000000" w:themeColor="text1"/>
                <w:kern w:val="0"/>
              </w:rPr>
              <w:t>33,457,929.40</w:t>
            </w:r>
          </w:p>
        </w:tc>
        <w:tc>
          <w:tcPr>
            <w:tcW w:w="1616" w:type="dxa"/>
            <w:vAlign w:val="center"/>
          </w:tcPr>
          <w:p w:rsidR="00692AD4" w:rsidRDefault="00176EDF">
            <w:pPr>
              <w:jc w:val="right"/>
            </w:pPr>
            <w:r>
              <w:rPr>
                <w:rFonts w:asciiTheme="minorEastAsia" w:eastAsiaTheme="minorEastAsia" w:hAnsiTheme="minorEastAsia" w:cs="宋体"/>
                <w:color w:val="000000" w:themeColor="text1"/>
                <w:kern w:val="0"/>
              </w:rPr>
              <w:t>4.07</w:t>
            </w:r>
          </w:p>
        </w:tc>
      </w:tr>
      <w:tr w:rsidR="00692AD4">
        <w:tc>
          <w:tcPr>
            <w:tcW w:w="817" w:type="dxa"/>
            <w:vAlign w:val="center"/>
          </w:tcPr>
          <w:p w:rsidR="00692AD4" w:rsidRDefault="00176EDF">
            <w:pPr>
              <w:jc w:val="center"/>
            </w:pPr>
            <w:r>
              <w:rPr>
                <w:rFonts w:asciiTheme="minorEastAsia" w:eastAsiaTheme="minorEastAsia" w:hAnsiTheme="minorEastAsia" w:cs="宋体"/>
                <w:color w:val="000000" w:themeColor="text1"/>
                <w:kern w:val="0"/>
              </w:rPr>
              <w:t>7</w:t>
            </w:r>
          </w:p>
        </w:tc>
        <w:tc>
          <w:tcPr>
            <w:tcW w:w="1276" w:type="dxa"/>
            <w:vAlign w:val="center"/>
          </w:tcPr>
          <w:p w:rsidR="00692AD4" w:rsidRDefault="00176EDF">
            <w:pPr>
              <w:jc w:val="center"/>
            </w:pPr>
            <w:r>
              <w:rPr>
                <w:rFonts w:asciiTheme="minorEastAsia" w:eastAsiaTheme="minorEastAsia" w:hAnsiTheme="minorEastAsia" w:cs="宋体"/>
                <w:color w:val="000000" w:themeColor="text1"/>
                <w:kern w:val="0"/>
              </w:rPr>
              <w:t>600519</w:t>
            </w:r>
          </w:p>
        </w:tc>
        <w:tc>
          <w:tcPr>
            <w:tcW w:w="1701" w:type="dxa"/>
            <w:vAlign w:val="center"/>
          </w:tcPr>
          <w:p w:rsidR="00692AD4" w:rsidRDefault="00176EDF">
            <w:pPr>
              <w:jc w:val="center"/>
            </w:pPr>
            <w:r>
              <w:rPr>
                <w:rFonts w:asciiTheme="minorEastAsia" w:eastAsiaTheme="minorEastAsia" w:hAnsiTheme="minorEastAsia" w:cs="宋体"/>
                <w:color w:val="000000" w:themeColor="text1"/>
                <w:kern w:val="0"/>
              </w:rPr>
              <w:t>贵州茅台</w:t>
            </w:r>
          </w:p>
        </w:tc>
        <w:tc>
          <w:tcPr>
            <w:tcW w:w="1276" w:type="dxa"/>
            <w:vAlign w:val="center"/>
          </w:tcPr>
          <w:p w:rsidR="00692AD4" w:rsidRDefault="00176EDF">
            <w:pPr>
              <w:jc w:val="right"/>
            </w:pPr>
            <w:r>
              <w:rPr>
                <w:rFonts w:asciiTheme="minorEastAsia" w:eastAsiaTheme="minorEastAsia" w:hAnsiTheme="minorEastAsia" w:cs="宋体"/>
                <w:color w:val="000000" w:themeColor="text1"/>
                <w:kern w:val="0"/>
              </w:rPr>
              <w:t>24,384.00</w:t>
            </w:r>
          </w:p>
        </w:tc>
        <w:tc>
          <w:tcPr>
            <w:tcW w:w="1842" w:type="dxa"/>
            <w:vAlign w:val="center"/>
          </w:tcPr>
          <w:p w:rsidR="00692AD4" w:rsidRDefault="00176EDF">
            <w:pPr>
              <w:jc w:val="right"/>
            </w:pPr>
            <w:r>
              <w:rPr>
                <w:rFonts w:asciiTheme="minorEastAsia" w:eastAsiaTheme="minorEastAsia" w:hAnsiTheme="minorEastAsia" w:cs="宋体"/>
                <w:color w:val="000000" w:themeColor="text1"/>
                <w:kern w:val="0"/>
              </w:rPr>
              <w:t>28,041,600.00</w:t>
            </w:r>
          </w:p>
        </w:tc>
        <w:tc>
          <w:tcPr>
            <w:tcW w:w="1616" w:type="dxa"/>
            <w:vAlign w:val="center"/>
          </w:tcPr>
          <w:p w:rsidR="00692AD4" w:rsidRDefault="00176EDF">
            <w:pPr>
              <w:jc w:val="right"/>
            </w:pPr>
            <w:r>
              <w:rPr>
                <w:rFonts w:asciiTheme="minorEastAsia" w:eastAsiaTheme="minorEastAsia" w:hAnsiTheme="minorEastAsia" w:cs="宋体"/>
                <w:color w:val="000000" w:themeColor="text1"/>
                <w:kern w:val="0"/>
              </w:rPr>
              <w:t>3.41</w:t>
            </w:r>
          </w:p>
        </w:tc>
      </w:tr>
      <w:tr w:rsidR="00692AD4">
        <w:tc>
          <w:tcPr>
            <w:tcW w:w="817" w:type="dxa"/>
            <w:vAlign w:val="center"/>
          </w:tcPr>
          <w:p w:rsidR="00692AD4" w:rsidRDefault="00176EDF">
            <w:pPr>
              <w:jc w:val="center"/>
            </w:pPr>
            <w:r>
              <w:rPr>
                <w:rFonts w:asciiTheme="minorEastAsia" w:eastAsiaTheme="minorEastAsia" w:hAnsiTheme="minorEastAsia" w:cs="宋体"/>
                <w:color w:val="000000" w:themeColor="text1"/>
                <w:kern w:val="0"/>
              </w:rPr>
              <w:t>8</w:t>
            </w:r>
          </w:p>
        </w:tc>
        <w:tc>
          <w:tcPr>
            <w:tcW w:w="1276" w:type="dxa"/>
            <w:vAlign w:val="center"/>
          </w:tcPr>
          <w:p w:rsidR="00692AD4" w:rsidRDefault="00176EDF">
            <w:pPr>
              <w:jc w:val="center"/>
            </w:pPr>
            <w:r>
              <w:rPr>
                <w:rFonts w:asciiTheme="minorEastAsia" w:eastAsiaTheme="minorEastAsia" w:hAnsiTheme="minorEastAsia" w:cs="宋体"/>
                <w:color w:val="000000" w:themeColor="text1"/>
                <w:kern w:val="0"/>
              </w:rPr>
              <w:t>600048</w:t>
            </w:r>
          </w:p>
        </w:tc>
        <w:tc>
          <w:tcPr>
            <w:tcW w:w="1701" w:type="dxa"/>
            <w:vAlign w:val="center"/>
          </w:tcPr>
          <w:p w:rsidR="00692AD4" w:rsidRDefault="00176EDF">
            <w:pPr>
              <w:jc w:val="center"/>
            </w:pPr>
            <w:r>
              <w:rPr>
                <w:rFonts w:asciiTheme="minorEastAsia" w:eastAsiaTheme="minorEastAsia" w:hAnsiTheme="minorEastAsia" w:cs="宋体"/>
                <w:color w:val="000000" w:themeColor="text1"/>
                <w:kern w:val="0"/>
              </w:rPr>
              <w:t>保利地产</w:t>
            </w:r>
          </w:p>
        </w:tc>
        <w:tc>
          <w:tcPr>
            <w:tcW w:w="1276" w:type="dxa"/>
            <w:vAlign w:val="center"/>
          </w:tcPr>
          <w:p w:rsidR="00692AD4" w:rsidRDefault="00176EDF">
            <w:pPr>
              <w:jc w:val="right"/>
            </w:pPr>
            <w:r>
              <w:rPr>
                <w:rFonts w:asciiTheme="minorEastAsia" w:eastAsiaTheme="minorEastAsia" w:hAnsiTheme="minorEastAsia" w:cs="宋体"/>
                <w:color w:val="000000" w:themeColor="text1"/>
                <w:kern w:val="0"/>
              </w:rPr>
              <w:t>1,810,000.00</w:t>
            </w:r>
          </w:p>
        </w:tc>
        <w:tc>
          <w:tcPr>
            <w:tcW w:w="1842" w:type="dxa"/>
            <w:vAlign w:val="center"/>
          </w:tcPr>
          <w:p w:rsidR="00692AD4" w:rsidRDefault="00176EDF">
            <w:pPr>
              <w:jc w:val="right"/>
            </w:pPr>
            <w:r>
              <w:rPr>
                <w:rFonts w:asciiTheme="minorEastAsia" w:eastAsiaTheme="minorEastAsia" w:hAnsiTheme="minorEastAsia" w:cs="宋体"/>
                <w:color w:val="000000" w:themeColor="text1"/>
                <w:kern w:val="0"/>
              </w:rPr>
              <w:t>25,883,000.00</w:t>
            </w:r>
          </w:p>
        </w:tc>
        <w:tc>
          <w:tcPr>
            <w:tcW w:w="1616" w:type="dxa"/>
            <w:vAlign w:val="center"/>
          </w:tcPr>
          <w:p w:rsidR="00692AD4" w:rsidRDefault="00176EDF">
            <w:pPr>
              <w:jc w:val="right"/>
            </w:pPr>
            <w:r>
              <w:rPr>
                <w:rFonts w:asciiTheme="minorEastAsia" w:eastAsiaTheme="minorEastAsia" w:hAnsiTheme="minorEastAsia" w:cs="宋体"/>
                <w:color w:val="000000" w:themeColor="text1"/>
                <w:kern w:val="0"/>
              </w:rPr>
              <w:t>3.15</w:t>
            </w:r>
          </w:p>
        </w:tc>
      </w:tr>
      <w:tr w:rsidR="00692AD4">
        <w:tc>
          <w:tcPr>
            <w:tcW w:w="817" w:type="dxa"/>
            <w:vAlign w:val="center"/>
          </w:tcPr>
          <w:p w:rsidR="00692AD4" w:rsidRDefault="00176EDF">
            <w:pPr>
              <w:jc w:val="center"/>
            </w:pPr>
            <w:r>
              <w:rPr>
                <w:rFonts w:asciiTheme="minorEastAsia" w:eastAsiaTheme="minorEastAsia" w:hAnsiTheme="minorEastAsia" w:cs="宋体"/>
                <w:color w:val="000000" w:themeColor="text1"/>
                <w:kern w:val="0"/>
              </w:rPr>
              <w:t>9</w:t>
            </w:r>
          </w:p>
        </w:tc>
        <w:tc>
          <w:tcPr>
            <w:tcW w:w="1276" w:type="dxa"/>
            <w:vAlign w:val="center"/>
          </w:tcPr>
          <w:p w:rsidR="00692AD4" w:rsidRDefault="00176EDF">
            <w:pPr>
              <w:jc w:val="center"/>
            </w:pPr>
            <w:r>
              <w:rPr>
                <w:rFonts w:asciiTheme="minorEastAsia" w:eastAsiaTheme="minorEastAsia" w:hAnsiTheme="minorEastAsia" w:cs="宋体"/>
                <w:color w:val="000000" w:themeColor="text1"/>
                <w:kern w:val="0"/>
              </w:rPr>
              <w:t>002415</w:t>
            </w:r>
          </w:p>
        </w:tc>
        <w:tc>
          <w:tcPr>
            <w:tcW w:w="1701" w:type="dxa"/>
            <w:vAlign w:val="center"/>
          </w:tcPr>
          <w:p w:rsidR="00692AD4" w:rsidRDefault="00176EDF">
            <w:pPr>
              <w:jc w:val="center"/>
            </w:pPr>
            <w:r>
              <w:rPr>
                <w:rFonts w:asciiTheme="minorEastAsia" w:eastAsiaTheme="minorEastAsia" w:hAnsiTheme="minorEastAsia" w:cs="宋体"/>
                <w:color w:val="000000" w:themeColor="text1"/>
                <w:kern w:val="0"/>
              </w:rPr>
              <w:t>海康威视</w:t>
            </w:r>
          </w:p>
        </w:tc>
        <w:tc>
          <w:tcPr>
            <w:tcW w:w="1276" w:type="dxa"/>
            <w:vAlign w:val="center"/>
          </w:tcPr>
          <w:p w:rsidR="00692AD4" w:rsidRDefault="00176EDF">
            <w:pPr>
              <w:jc w:val="right"/>
            </w:pPr>
            <w:r>
              <w:rPr>
                <w:rFonts w:asciiTheme="minorEastAsia" w:eastAsiaTheme="minorEastAsia" w:hAnsiTheme="minorEastAsia" w:cs="宋体"/>
                <w:color w:val="000000" w:themeColor="text1"/>
                <w:kern w:val="0"/>
              </w:rPr>
              <w:t>801,200.00</w:t>
            </w:r>
          </w:p>
        </w:tc>
        <w:tc>
          <w:tcPr>
            <w:tcW w:w="1842" w:type="dxa"/>
            <w:vAlign w:val="center"/>
          </w:tcPr>
          <w:p w:rsidR="00692AD4" w:rsidRDefault="00176EDF">
            <w:pPr>
              <w:jc w:val="right"/>
            </w:pPr>
            <w:r>
              <w:rPr>
                <w:rFonts w:asciiTheme="minorEastAsia" w:eastAsiaTheme="minorEastAsia" w:hAnsiTheme="minorEastAsia" w:cs="宋体"/>
                <w:color w:val="000000" w:themeColor="text1"/>
                <w:kern w:val="0"/>
              </w:rPr>
              <w:t>25,878,760.00</w:t>
            </w:r>
          </w:p>
        </w:tc>
        <w:tc>
          <w:tcPr>
            <w:tcW w:w="1616" w:type="dxa"/>
            <w:vAlign w:val="center"/>
          </w:tcPr>
          <w:p w:rsidR="00692AD4" w:rsidRDefault="00176EDF">
            <w:pPr>
              <w:jc w:val="right"/>
            </w:pPr>
            <w:r>
              <w:rPr>
                <w:rFonts w:asciiTheme="minorEastAsia" w:eastAsiaTheme="minorEastAsia" w:hAnsiTheme="minorEastAsia" w:cs="宋体"/>
                <w:color w:val="000000" w:themeColor="text1"/>
                <w:kern w:val="0"/>
              </w:rPr>
              <w:t>3.15</w:t>
            </w:r>
          </w:p>
        </w:tc>
      </w:tr>
      <w:tr w:rsidR="00692AD4">
        <w:tc>
          <w:tcPr>
            <w:tcW w:w="817" w:type="dxa"/>
            <w:vAlign w:val="center"/>
          </w:tcPr>
          <w:p w:rsidR="00692AD4" w:rsidRDefault="00176EDF">
            <w:pPr>
              <w:jc w:val="center"/>
            </w:pPr>
            <w:r>
              <w:rPr>
                <w:rFonts w:asciiTheme="minorEastAsia" w:eastAsiaTheme="minorEastAsia" w:hAnsiTheme="minorEastAsia" w:cs="宋体"/>
                <w:color w:val="000000" w:themeColor="text1"/>
                <w:kern w:val="0"/>
              </w:rPr>
              <w:t>10</w:t>
            </w:r>
          </w:p>
        </w:tc>
        <w:tc>
          <w:tcPr>
            <w:tcW w:w="1276" w:type="dxa"/>
            <w:vAlign w:val="center"/>
          </w:tcPr>
          <w:p w:rsidR="00692AD4" w:rsidRDefault="00176EDF">
            <w:pPr>
              <w:jc w:val="center"/>
            </w:pPr>
            <w:r>
              <w:rPr>
                <w:rFonts w:asciiTheme="minorEastAsia" w:eastAsiaTheme="minorEastAsia" w:hAnsiTheme="minorEastAsia" w:cs="宋体"/>
                <w:color w:val="000000" w:themeColor="text1"/>
                <w:kern w:val="0"/>
              </w:rPr>
              <w:t>601888</w:t>
            </w:r>
          </w:p>
        </w:tc>
        <w:tc>
          <w:tcPr>
            <w:tcW w:w="1701" w:type="dxa"/>
            <w:vAlign w:val="center"/>
          </w:tcPr>
          <w:p w:rsidR="00692AD4" w:rsidRDefault="00176EDF">
            <w:pPr>
              <w:jc w:val="center"/>
            </w:pPr>
            <w:r>
              <w:rPr>
                <w:rFonts w:asciiTheme="minorEastAsia" w:eastAsiaTheme="minorEastAsia" w:hAnsiTheme="minorEastAsia" w:cs="宋体"/>
                <w:color w:val="000000" w:themeColor="text1"/>
                <w:kern w:val="0"/>
              </w:rPr>
              <w:t>中国国旅</w:t>
            </w:r>
          </w:p>
        </w:tc>
        <w:tc>
          <w:tcPr>
            <w:tcW w:w="1276" w:type="dxa"/>
            <w:vAlign w:val="center"/>
          </w:tcPr>
          <w:p w:rsidR="00692AD4" w:rsidRDefault="00176EDF">
            <w:pPr>
              <w:jc w:val="right"/>
            </w:pPr>
            <w:r>
              <w:rPr>
                <w:rFonts w:asciiTheme="minorEastAsia" w:eastAsiaTheme="minorEastAsia" w:hAnsiTheme="minorEastAsia" w:cs="宋体"/>
                <w:color w:val="000000" w:themeColor="text1"/>
                <w:kern w:val="0"/>
              </w:rPr>
              <w:t>277,900.00</w:t>
            </w:r>
          </w:p>
        </w:tc>
        <w:tc>
          <w:tcPr>
            <w:tcW w:w="1842" w:type="dxa"/>
            <w:vAlign w:val="center"/>
          </w:tcPr>
          <w:p w:rsidR="00692AD4" w:rsidRDefault="00176EDF">
            <w:pPr>
              <w:jc w:val="right"/>
            </w:pPr>
            <w:r>
              <w:rPr>
                <w:rFonts w:asciiTheme="minorEastAsia" w:eastAsiaTheme="minorEastAsia" w:hAnsiTheme="minorEastAsia" w:cs="宋体"/>
                <w:color w:val="000000" w:themeColor="text1"/>
                <w:kern w:val="0"/>
              </w:rPr>
              <w:t>25,861,374.00</w:t>
            </w:r>
          </w:p>
        </w:tc>
        <w:tc>
          <w:tcPr>
            <w:tcW w:w="1616" w:type="dxa"/>
            <w:vAlign w:val="center"/>
          </w:tcPr>
          <w:p w:rsidR="00692AD4" w:rsidRDefault="00176EDF">
            <w:pPr>
              <w:jc w:val="right"/>
            </w:pPr>
            <w:r>
              <w:rPr>
                <w:rFonts w:asciiTheme="minorEastAsia" w:eastAsiaTheme="minorEastAsia" w:hAnsiTheme="minorEastAsia" w:cs="宋体"/>
                <w:color w:val="000000" w:themeColor="text1"/>
                <w:kern w:val="0"/>
              </w:rPr>
              <w:t>3.15</w:t>
            </w:r>
          </w:p>
        </w:tc>
      </w:tr>
    </w:tbl>
    <w:p w:rsidR="00692AD4" w:rsidRDefault="00692AD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692AD4" w:rsidRDefault="00692AD4">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本基金本报告期末未持有债券。</w:t>
      </w:r>
    </w:p>
    <w:p w:rsidR="00692AD4" w:rsidRDefault="00692AD4">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692AD4" w:rsidRDefault="00692AD4">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692AD4" w:rsidRDefault="00176EDF">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692AD4" w:rsidRDefault="00692AD4">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692AD4" w:rsidRDefault="00692AD4">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692AD4" w:rsidRDefault="00692AD4">
      <w:pPr>
        <w:adjustRightInd w:val="0"/>
        <w:snapToGrid w:val="0"/>
        <w:spacing w:line="360" w:lineRule="exact"/>
        <w:rPr>
          <w:rFonts w:asciiTheme="minorEastAsia" w:eastAsiaTheme="minorEastAsia" w:hAnsiTheme="minorEastAsia"/>
          <w:color w:val="000000" w:themeColor="text1"/>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692AD4" w:rsidRDefault="00176EDF">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692AD4" w:rsidRDefault="00176EDF">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692AD4" w:rsidRDefault="00176EDF">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8"/>
        <w:tblW w:w="8513" w:type="dxa"/>
        <w:tblInd w:w="15" w:type="dxa"/>
        <w:tblLayout w:type="fixed"/>
        <w:tblLook w:val="04A0" w:firstRow="1" w:lastRow="0" w:firstColumn="1" w:lastColumn="0" w:noHBand="0" w:noVBand="1"/>
      </w:tblPr>
      <w:tblGrid>
        <w:gridCol w:w="1235"/>
        <w:gridCol w:w="2470"/>
        <w:gridCol w:w="4808"/>
      </w:tblGrid>
      <w:tr w:rsidR="00692AD4">
        <w:tc>
          <w:tcPr>
            <w:tcW w:w="1235" w:type="dxa"/>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692AD4" w:rsidRDefault="00176EDF">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692AD4">
        <w:tc>
          <w:tcPr>
            <w:tcW w:w="1235" w:type="dxa"/>
            <w:vAlign w:val="center"/>
          </w:tcPr>
          <w:p w:rsidR="00692AD4" w:rsidRDefault="00176EDF">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692AD4" w:rsidRDefault="00176EDF">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692AD4" w:rsidRDefault="00176EDF">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318,987.69</w:t>
            </w:r>
          </w:p>
        </w:tc>
      </w:tr>
      <w:tr w:rsidR="00692AD4">
        <w:tc>
          <w:tcPr>
            <w:tcW w:w="1235" w:type="dxa"/>
            <w:vAlign w:val="center"/>
          </w:tcPr>
          <w:p w:rsidR="00692AD4" w:rsidRDefault="00176EDF">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692AD4" w:rsidRDefault="00176EDF">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692AD4" w:rsidRDefault="00176EDF">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692AD4">
        <w:tc>
          <w:tcPr>
            <w:tcW w:w="1235" w:type="dxa"/>
            <w:vAlign w:val="center"/>
          </w:tcPr>
          <w:p w:rsidR="00692AD4" w:rsidRDefault="00176EDF">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692AD4" w:rsidRDefault="00176EDF">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692AD4" w:rsidRDefault="00176EDF">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692AD4">
        <w:tc>
          <w:tcPr>
            <w:tcW w:w="1235" w:type="dxa"/>
            <w:vAlign w:val="center"/>
          </w:tcPr>
          <w:p w:rsidR="00692AD4" w:rsidRDefault="00176EDF">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692AD4" w:rsidRDefault="00176EDF">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692AD4" w:rsidRDefault="00176EDF">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35,457.60</w:t>
            </w:r>
          </w:p>
        </w:tc>
      </w:tr>
      <w:tr w:rsidR="00692AD4">
        <w:tc>
          <w:tcPr>
            <w:tcW w:w="1235" w:type="dxa"/>
            <w:vAlign w:val="center"/>
          </w:tcPr>
          <w:p w:rsidR="00692AD4" w:rsidRDefault="00176EDF">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692AD4" w:rsidRDefault="00176EDF">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692AD4" w:rsidRDefault="00176EDF">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29,213.54</w:t>
            </w:r>
          </w:p>
        </w:tc>
      </w:tr>
      <w:tr w:rsidR="00692AD4">
        <w:tc>
          <w:tcPr>
            <w:tcW w:w="1235" w:type="dxa"/>
            <w:vAlign w:val="center"/>
          </w:tcPr>
          <w:p w:rsidR="00692AD4" w:rsidRDefault="00176EDF">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692AD4" w:rsidRDefault="00176EDF">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692AD4" w:rsidRDefault="00176EDF">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692AD4">
        <w:tc>
          <w:tcPr>
            <w:tcW w:w="1235" w:type="dxa"/>
            <w:vAlign w:val="center"/>
          </w:tcPr>
          <w:p w:rsidR="00692AD4" w:rsidRDefault="00176EDF">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692AD4" w:rsidRDefault="00176EDF">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692AD4" w:rsidRDefault="00176EDF">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692AD4">
        <w:tc>
          <w:tcPr>
            <w:tcW w:w="1235" w:type="dxa"/>
            <w:vAlign w:val="center"/>
          </w:tcPr>
          <w:p w:rsidR="00692AD4" w:rsidRDefault="00176EDF">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692AD4" w:rsidRDefault="00176EDF">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692AD4" w:rsidRDefault="00176EDF">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692AD4">
        <w:tc>
          <w:tcPr>
            <w:tcW w:w="1235" w:type="dxa"/>
            <w:vAlign w:val="center"/>
          </w:tcPr>
          <w:p w:rsidR="00692AD4" w:rsidRDefault="00176EDF">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692AD4" w:rsidRDefault="00176EDF">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692AD4" w:rsidRDefault="00176EDF">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383,658.83</w:t>
            </w:r>
          </w:p>
        </w:tc>
      </w:tr>
    </w:tbl>
    <w:p w:rsidR="00692AD4" w:rsidRDefault="00692AD4">
      <w:pPr>
        <w:autoSpaceDE w:val="0"/>
        <w:autoSpaceDN w:val="0"/>
        <w:adjustRightInd w:val="0"/>
        <w:spacing w:line="360" w:lineRule="auto"/>
        <w:rPr>
          <w:rFonts w:asciiTheme="minorEastAsia" w:eastAsiaTheme="minorEastAsia" w:hAnsiTheme="minorEastAsia"/>
          <w:color w:val="000000" w:themeColor="text1"/>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692AD4" w:rsidRDefault="00692AD4">
      <w:pPr>
        <w:autoSpaceDE w:val="0"/>
        <w:autoSpaceDN w:val="0"/>
        <w:adjustRightInd w:val="0"/>
        <w:spacing w:line="360" w:lineRule="auto"/>
        <w:rPr>
          <w:rFonts w:asciiTheme="minorEastAsia" w:eastAsiaTheme="minorEastAsia" w:hAnsiTheme="minorEastAsia"/>
          <w:color w:val="000000" w:themeColor="text1"/>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692AD4" w:rsidRDefault="00692AD4">
      <w:pPr>
        <w:autoSpaceDE w:val="0"/>
        <w:autoSpaceDN w:val="0"/>
        <w:adjustRightInd w:val="0"/>
        <w:spacing w:line="360" w:lineRule="auto"/>
        <w:rPr>
          <w:rFonts w:asciiTheme="minorEastAsia" w:eastAsiaTheme="minorEastAsia" w:hAnsiTheme="minorEastAsia"/>
          <w:color w:val="000000" w:themeColor="text1"/>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692AD4" w:rsidRDefault="00176EDF">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692AD4" w:rsidRDefault="00176EDF">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692AD4">
        <w:tc>
          <w:tcPr>
            <w:tcW w:w="4609" w:type="dxa"/>
            <w:tcBorders>
              <w:top w:val="single" w:sz="8" w:space="0" w:color="000000"/>
              <w:left w:val="single" w:sz="8" w:space="0" w:color="000000"/>
              <w:bottom w:val="single" w:sz="8" w:space="0" w:color="000000"/>
              <w:right w:val="single" w:sz="8" w:space="0" w:color="000000"/>
            </w:tcBorders>
            <w:vAlign w:val="center"/>
          </w:tcPr>
          <w:p w:rsidR="00692AD4" w:rsidRDefault="00176EDF">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92AD4" w:rsidRDefault="00176EDF">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1,448,112,171.83</w:t>
            </w:r>
          </w:p>
        </w:tc>
      </w:tr>
      <w:tr w:rsidR="00692AD4">
        <w:tc>
          <w:tcPr>
            <w:tcW w:w="4609" w:type="dxa"/>
            <w:tcBorders>
              <w:top w:val="single" w:sz="8" w:space="0" w:color="000000"/>
              <w:left w:val="single" w:sz="8" w:space="0" w:color="000000"/>
              <w:bottom w:val="single" w:sz="8" w:space="0" w:color="000000"/>
              <w:right w:val="single" w:sz="8" w:space="0" w:color="000000"/>
            </w:tcBorders>
            <w:vAlign w:val="center"/>
          </w:tcPr>
          <w:p w:rsidR="00692AD4" w:rsidRDefault="00176EDF">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92AD4" w:rsidRDefault="00176EDF">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6,057,829.38</w:t>
            </w:r>
          </w:p>
        </w:tc>
      </w:tr>
      <w:tr w:rsidR="00692AD4">
        <w:tc>
          <w:tcPr>
            <w:tcW w:w="4609" w:type="dxa"/>
            <w:tcBorders>
              <w:top w:val="single" w:sz="8" w:space="0" w:color="000000"/>
              <w:left w:val="single" w:sz="8" w:space="0" w:color="000000"/>
              <w:bottom w:val="single" w:sz="8" w:space="0" w:color="000000"/>
              <w:right w:val="single" w:sz="8" w:space="0" w:color="000000"/>
            </w:tcBorders>
            <w:vAlign w:val="center"/>
          </w:tcPr>
          <w:p w:rsidR="00692AD4" w:rsidRDefault="00176EDF">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92AD4" w:rsidRDefault="00176EDF">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100,597,022.68</w:t>
            </w:r>
          </w:p>
        </w:tc>
      </w:tr>
      <w:tr w:rsidR="00692AD4">
        <w:tc>
          <w:tcPr>
            <w:tcW w:w="4609" w:type="dxa"/>
            <w:tcBorders>
              <w:top w:val="single" w:sz="8" w:space="0" w:color="000000"/>
              <w:left w:val="single" w:sz="8" w:space="0" w:color="000000"/>
              <w:bottom w:val="single" w:sz="8" w:space="0" w:color="000000"/>
              <w:right w:val="single" w:sz="8" w:space="0" w:color="000000"/>
            </w:tcBorders>
            <w:vAlign w:val="center"/>
          </w:tcPr>
          <w:p w:rsidR="00692AD4" w:rsidRDefault="00176EDF">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92AD4" w:rsidRDefault="00176EDF">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692AD4">
        <w:tc>
          <w:tcPr>
            <w:tcW w:w="4609" w:type="dxa"/>
            <w:tcBorders>
              <w:top w:val="single" w:sz="8" w:space="0" w:color="000000"/>
              <w:left w:val="single" w:sz="8" w:space="0" w:color="000000"/>
              <w:bottom w:val="single" w:sz="8" w:space="0" w:color="000000"/>
              <w:right w:val="single" w:sz="8" w:space="0" w:color="000000"/>
            </w:tcBorders>
            <w:vAlign w:val="center"/>
          </w:tcPr>
          <w:p w:rsidR="00692AD4" w:rsidRDefault="00176EDF">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92AD4" w:rsidRDefault="00176EDF">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1,353,572,978.53</w:t>
            </w:r>
          </w:p>
        </w:tc>
      </w:tr>
    </w:tbl>
    <w:p w:rsidR="00692AD4" w:rsidRDefault="00176EDF">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692AD4" w:rsidRDefault="00176EDF">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692AD4" w:rsidRDefault="00176EDF">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692AD4" w:rsidRDefault="00692AD4">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692AD4" w:rsidRDefault="00176EDF">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 中国证监会批准上投摩根整合驱动灵活配置混合型证券投资基金设立的文件；</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 《上投摩根整合驱动灵活配置混合型证券投资基金基金合同》；</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 《上投摩根整合驱动灵活配置混合型证券投资基金托管协议》；</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 《上投摩根开放式基金业务规则》；</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 基金管理人业务资格批件、营业执照；</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 基金托管人业务资格批件和营业执照。</w:t>
      </w:r>
    </w:p>
    <w:p w:rsidR="00692AD4" w:rsidRDefault="00692AD4">
      <w:pPr>
        <w:spacing w:line="360" w:lineRule="auto"/>
        <w:ind w:firstLineChars="200" w:firstLine="480"/>
        <w:rPr>
          <w:rFonts w:asciiTheme="minorEastAsia" w:eastAsiaTheme="minorEastAsia" w:hAnsiTheme="minorEastAsia"/>
          <w:color w:val="000000" w:themeColor="text1"/>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基金管理人或基金托管人住所。</w:t>
      </w:r>
    </w:p>
    <w:p w:rsidR="00692AD4" w:rsidRDefault="00692AD4">
      <w:pPr>
        <w:spacing w:line="360" w:lineRule="auto"/>
        <w:ind w:firstLineChars="200" w:firstLine="480"/>
        <w:rPr>
          <w:rFonts w:asciiTheme="minorEastAsia" w:eastAsiaTheme="minorEastAsia" w:hAnsiTheme="minorEastAsia"/>
          <w:color w:val="000000" w:themeColor="text1"/>
          <w:sz w:val="24"/>
          <w:szCs w:val="24"/>
        </w:rPr>
      </w:pPr>
    </w:p>
    <w:p w:rsidR="00692AD4" w:rsidRDefault="00176EDF">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692AD4" w:rsidRDefault="00176EDF">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692AD4" w:rsidRDefault="00692AD4">
      <w:pPr>
        <w:spacing w:line="360" w:lineRule="auto"/>
        <w:ind w:left="840"/>
        <w:jc w:val="right"/>
        <w:rPr>
          <w:rFonts w:asciiTheme="minorEastAsia" w:eastAsiaTheme="minorEastAsia" w:hAnsiTheme="minorEastAsia"/>
          <w:color w:val="000000" w:themeColor="text1"/>
          <w:sz w:val="24"/>
          <w:szCs w:val="24"/>
        </w:rPr>
      </w:pPr>
    </w:p>
    <w:p w:rsidR="00692AD4" w:rsidRDefault="00692AD4">
      <w:pPr>
        <w:spacing w:line="360" w:lineRule="auto"/>
        <w:ind w:left="840"/>
        <w:jc w:val="right"/>
        <w:rPr>
          <w:rFonts w:asciiTheme="minorEastAsia" w:eastAsiaTheme="minorEastAsia" w:hAnsiTheme="minorEastAsia"/>
          <w:color w:val="000000" w:themeColor="text1"/>
          <w:sz w:val="24"/>
          <w:szCs w:val="24"/>
        </w:rPr>
      </w:pPr>
    </w:p>
    <w:p w:rsidR="00692AD4" w:rsidRDefault="00692AD4">
      <w:pPr>
        <w:spacing w:line="360" w:lineRule="auto"/>
        <w:ind w:left="840"/>
        <w:jc w:val="right"/>
        <w:rPr>
          <w:rFonts w:asciiTheme="minorEastAsia" w:eastAsiaTheme="minorEastAsia" w:hAnsiTheme="minorEastAsia"/>
          <w:color w:val="000000" w:themeColor="text1"/>
          <w:sz w:val="24"/>
          <w:szCs w:val="24"/>
        </w:rPr>
      </w:pPr>
    </w:p>
    <w:p w:rsidR="00692AD4" w:rsidRDefault="00692AD4">
      <w:pPr>
        <w:spacing w:line="360" w:lineRule="auto"/>
        <w:ind w:left="840"/>
        <w:jc w:val="right"/>
        <w:rPr>
          <w:rFonts w:asciiTheme="minorEastAsia" w:eastAsiaTheme="minorEastAsia" w:hAnsiTheme="minorEastAsia"/>
          <w:color w:val="000000" w:themeColor="text1"/>
          <w:sz w:val="24"/>
          <w:szCs w:val="24"/>
        </w:rPr>
      </w:pPr>
    </w:p>
    <w:p w:rsidR="00692AD4" w:rsidRDefault="00692AD4">
      <w:pPr>
        <w:spacing w:line="360" w:lineRule="auto"/>
        <w:ind w:left="840"/>
        <w:jc w:val="right"/>
        <w:rPr>
          <w:rFonts w:asciiTheme="minorEastAsia" w:eastAsiaTheme="minorEastAsia" w:hAnsiTheme="minorEastAsia"/>
          <w:color w:val="000000" w:themeColor="text1"/>
          <w:sz w:val="24"/>
          <w:szCs w:val="24"/>
        </w:rPr>
      </w:pPr>
    </w:p>
    <w:p w:rsidR="00692AD4" w:rsidRDefault="00692AD4">
      <w:pPr>
        <w:spacing w:line="360" w:lineRule="auto"/>
        <w:ind w:left="840"/>
        <w:jc w:val="right"/>
        <w:rPr>
          <w:rFonts w:asciiTheme="minorEastAsia" w:eastAsiaTheme="minorEastAsia" w:hAnsiTheme="minorEastAsia"/>
          <w:color w:val="000000" w:themeColor="text1"/>
          <w:sz w:val="24"/>
          <w:szCs w:val="24"/>
        </w:rPr>
      </w:pPr>
    </w:p>
    <w:p w:rsidR="00692AD4" w:rsidRDefault="00692AD4">
      <w:pPr>
        <w:spacing w:line="360" w:lineRule="auto"/>
        <w:ind w:left="840"/>
        <w:jc w:val="right"/>
        <w:rPr>
          <w:rFonts w:asciiTheme="minorEastAsia" w:eastAsiaTheme="minorEastAsia" w:hAnsiTheme="minorEastAsia"/>
          <w:color w:val="000000" w:themeColor="text1"/>
          <w:sz w:val="24"/>
          <w:szCs w:val="24"/>
        </w:rPr>
      </w:pPr>
    </w:p>
    <w:p w:rsidR="00692AD4" w:rsidRDefault="00692AD4">
      <w:pPr>
        <w:spacing w:line="360" w:lineRule="auto"/>
        <w:ind w:left="840"/>
        <w:jc w:val="right"/>
        <w:rPr>
          <w:rFonts w:asciiTheme="minorEastAsia" w:eastAsiaTheme="minorEastAsia" w:hAnsiTheme="minorEastAsia"/>
          <w:color w:val="000000" w:themeColor="text1"/>
          <w:sz w:val="24"/>
          <w:szCs w:val="24"/>
        </w:rPr>
      </w:pPr>
    </w:p>
    <w:p w:rsidR="00692AD4" w:rsidRDefault="00176EDF">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692AD4" w:rsidRDefault="00176EDF">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二〇一九年十月二十五日</w:t>
      </w:r>
    </w:p>
    <w:p w:rsidR="00692AD4" w:rsidRDefault="00692AD4">
      <w:pPr>
        <w:spacing w:line="360" w:lineRule="auto"/>
        <w:ind w:left="840"/>
        <w:jc w:val="right"/>
        <w:rPr>
          <w:rFonts w:asciiTheme="minorEastAsia" w:eastAsiaTheme="minorEastAsia" w:hAnsiTheme="minorEastAsia"/>
          <w:b/>
          <w:bCs/>
          <w:color w:val="000000" w:themeColor="text1"/>
          <w:sz w:val="24"/>
          <w:szCs w:val="24"/>
        </w:rPr>
      </w:pPr>
    </w:p>
    <w:p w:rsidR="00692AD4" w:rsidRDefault="00692AD4">
      <w:pPr>
        <w:rPr>
          <w:rFonts w:asciiTheme="minorEastAsia" w:eastAsiaTheme="minorEastAsia" w:hAnsiTheme="minorEastAsia"/>
          <w:color w:val="000000" w:themeColor="text1"/>
          <w:sz w:val="24"/>
          <w:szCs w:val="24"/>
        </w:rPr>
      </w:pPr>
    </w:p>
    <w:sectPr w:rsidR="00692AD4">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091" w:rsidRDefault="00176EDF">
      <w:r>
        <w:separator/>
      </w:r>
    </w:p>
  </w:endnote>
  <w:endnote w:type="continuationSeparator" w:id="0">
    <w:p w:rsidR="00446091" w:rsidRDefault="0017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D4" w:rsidRDefault="00176EDF">
    <w:pPr>
      <w:pStyle w:val="ac"/>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084B2D" w:rsidRPr="00084B2D">
      <w:rPr>
        <w:noProof/>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D4" w:rsidRDefault="00176EDF">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084B2D">
      <w:rPr>
        <w:rStyle w:val="af3"/>
        <w:noProof/>
      </w:rPr>
      <w:t>3</w:t>
    </w:r>
    <w:r>
      <w:rPr>
        <w:rStyle w:val="af3"/>
      </w:rPr>
      <w:fldChar w:fldCharType="end"/>
    </w:r>
  </w:p>
  <w:p w:rsidR="00692AD4" w:rsidRDefault="00692AD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091" w:rsidRDefault="00176EDF">
      <w:r>
        <w:separator/>
      </w:r>
    </w:p>
  </w:footnote>
  <w:footnote w:type="continuationSeparator" w:id="0">
    <w:p w:rsidR="00446091" w:rsidRDefault="00176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AD4" w:rsidRDefault="00176EDF">
    <w:pPr>
      <w:pStyle w:val="ad"/>
      <w:pBdr>
        <w:bottom w:val="single" w:sz="6" w:space="0" w:color="auto"/>
      </w:pBdr>
      <w:jc w:val="right"/>
    </w:pPr>
    <w:r>
      <w:rPr>
        <w:rFonts w:hint="eastAsia"/>
      </w:rPr>
      <w:t>上投摩根整合驱动灵活配置混合型证券投资基金</w:t>
    </w:r>
    <w:r>
      <w:rPr>
        <w:rFonts w:hint="eastAsia"/>
      </w:rPr>
      <w:t>2019</w:t>
    </w:r>
    <w:r>
      <w:rPr>
        <w:rFonts w:hint="eastAsia"/>
      </w:rPr>
      <w:t>年第</w:t>
    </w:r>
    <w:r>
      <w:rPr>
        <w:rFonts w:hint="eastAsia"/>
      </w:rPr>
      <w:t>3</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84B2D"/>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76EDF"/>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B6FBC"/>
    <w:rsid w:val="003C2B36"/>
    <w:rsid w:val="003C2DCA"/>
    <w:rsid w:val="003E2240"/>
    <w:rsid w:val="003E62FB"/>
    <w:rsid w:val="003F39DF"/>
    <w:rsid w:val="003F63BE"/>
    <w:rsid w:val="004061AC"/>
    <w:rsid w:val="00406C52"/>
    <w:rsid w:val="004149AC"/>
    <w:rsid w:val="0042009D"/>
    <w:rsid w:val="00427F58"/>
    <w:rsid w:val="00433805"/>
    <w:rsid w:val="00446091"/>
    <w:rsid w:val="00465285"/>
    <w:rsid w:val="00471408"/>
    <w:rsid w:val="004858E0"/>
    <w:rsid w:val="004934E9"/>
    <w:rsid w:val="004943C2"/>
    <w:rsid w:val="004A11A7"/>
    <w:rsid w:val="004C702F"/>
    <w:rsid w:val="004D495A"/>
    <w:rsid w:val="004E5975"/>
    <w:rsid w:val="004E790A"/>
    <w:rsid w:val="004F50FD"/>
    <w:rsid w:val="00500A03"/>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2AD4"/>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9BBC8A-632F-4123-B02B-2BD5AA0B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Char"/>
    <w:uiPriority w:val="99"/>
    <w:semiHidden/>
    <w:qFormat/>
    <w:rPr>
      <w:b/>
      <w:bCs/>
    </w:rPr>
  </w:style>
  <w:style w:type="paragraph" w:styleId="a5">
    <w:name w:val="annotation text"/>
    <w:basedOn w:val="a"/>
    <w:link w:val="Char0"/>
    <w:uiPriority w:val="99"/>
    <w:semiHidden/>
    <w:qFormat/>
    <w:pPr>
      <w:jc w:val="left"/>
    </w:pPr>
  </w:style>
  <w:style w:type="paragraph" w:styleId="a6">
    <w:name w:val="Document Map"/>
    <w:basedOn w:val="a"/>
    <w:link w:val="Char1"/>
    <w:uiPriority w:val="99"/>
    <w:semiHidden/>
    <w:pPr>
      <w:shd w:val="clear" w:color="auto" w:fill="000080"/>
    </w:pPr>
  </w:style>
  <w:style w:type="paragraph" w:styleId="a7">
    <w:name w:val="Body Text"/>
    <w:basedOn w:val="a"/>
    <w:link w:val="Char2"/>
    <w:uiPriority w:val="99"/>
    <w:qFormat/>
    <w:pPr>
      <w:spacing w:after="120"/>
    </w:pPr>
  </w:style>
  <w:style w:type="paragraph" w:styleId="a8">
    <w:name w:val="Body Text Indent"/>
    <w:basedOn w:val="a"/>
    <w:link w:val="Char3"/>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9">
    <w:name w:val="Plain Text"/>
    <w:basedOn w:val="a"/>
    <w:link w:val="Char4"/>
    <w:uiPriority w:val="99"/>
    <w:rPr>
      <w:rFonts w:ascii="宋体" w:hAnsi="Courier New" w:cs="宋体"/>
    </w:rPr>
  </w:style>
  <w:style w:type="paragraph" w:styleId="aa">
    <w:name w:val="Date"/>
    <w:basedOn w:val="a"/>
    <w:next w:val="a"/>
    <w:link w:val="Char5"/>
    <w:qFormat/>
    <w:rPr>
      <w:sz w:val="24"/>
      <w:szCs w:val="24"/>
    </w:rPr>
  </w:style>
  <w:style w:type="paragraph" w:styleId="20">
    <w:name w:val="Body Text Indent 2"/>
    <w:basedOn w:val="a"/>
    <w:link w:val="2Char0"/>
    <w:uiPriority w:val="99"/>
    <w:qFormat/>
    <w:pPr>
      <w:spacing w:line="560" w:lineRule="exact"/>
      <w:ind w:firstLineChars="200" w:firstLine="480"/>
    </w:pPr>
    <w:rPr>
      <w:rFonts w:ascii="宋体" w:hAnsi="宋体" w:cs="宋体"/>
      <w:color w:val="FF0000"/>
      <w:sz w:val="24"/>
      <w:szCs w:val="24"/>
    </w:rPr>
  </w:style>
  <w:style w:type="paragraph" w:styleId="ab">
    <w:name w:val="Balloon Text"/>
    <w:basedOn w:val="a"/>
    <w:link w:val="Char6"/>
    <w:uiPriority w:val="99"/>
    <w:semiHidden/>
    <w:qFormat/>
    <w:rPr>
      <w:sz w:val="18"/>
      <w:szCs w:val="18"/>
    </w:rPr>
  </w:style>
  <w:style w:type="paragraph" w:styleId="ac">
    <w:name w:val="footer"/>
    <w:basedOn w:val="a"/>
    <w:link w:val="Char7"/>
    <w:uiPriority w:val="99"/>
    <w:qFormat/>
    <w:pPr>
      <w:tabs>
        <w:tab w:val="center" w:pos="4153"/>
        <w:tab w:val="right" w:pos="8306"/>
      </w:tabs>
      <w:snapToGrid w:val="0"/>
      <w:jc w:val="left"/>
    </w:pPr>
    <w:rPr>
      <w:sz w:val="18"/>
      <w:szCs w:val="18"/>
    </w:rPr>
  </w:style>
  <w:style w:type="paragraph" w:styleId="ad">
    <w:name w:val="header"/>
    <w:basedOn w:val="a"/>
    <w:link w:val="Char8"/>
    <w:uiPriority w:val="99"/>
    <w:pPr>
      <w:pBdr>
        <w:bottom w:val="single" w:sz="6" w:space="1" w:color="auto"/>
      </w:pBdr>
      <w:tabs>
        <w:tab w:val="center" w:pos="4153"/>
        <w:tab w:val="right" w:pos="8306"/>
      </w:tabs>
      <w:snapToGrid w:val="0"/>
      <w:jc w:val="center"/>
    </w:pPr>
    <w:rPr>
      <w:sz w:val="18"/>
      <w:szCs w:val="18"/>
    </w:rPr>
  </w:style>
  <w:style w:type="paragraph" w:styleId="ae">
    <w:name w:val="List"/>
    <w:basedOn w:val="a7"/>
    <w:uiPriority w:val="99"/>
    <w:pPr>
      <w:spacing w:after="220" w:line="220" w:lineRule="atLeast"/>
      <w:ind w:left="1440" w:hanging="360"/>
    </w:pPr>
  </w:style>
  <w:style w:type="paragraph" w:styleId="af">
    <w:name w:val="footnote text"/>
    <w:basedOn w:val="a"/>
    <w:link w:val="Char9"/>
    <w:pPr>
      <w:snapToGrid w:val="0"/>
      <w:jc w:val="left"/>
    </w:pPr>
    <w:rPr>
      <w:sz w:val="18"/>
      <w:szCs w:val="18"/>
    </w:rPr>
  </w:style>
  <w:style w:type="paragraph" w:styleId="30">
    <w:name w:val="Body Text Indent 3"/>
    <w:basedOn w:val="a"/>
    <w:link w:val="3Char0"/>
    <w:uiPriority w:val="99"/>
    <w:pPr>
      <w:spacing w:line="560" w:lineRule="exact"/>
      <w:ind w:firstLineChars="200" w:firstLine="420"/>
    </w:pPr>
    <w:rPr>
      <w:rFonts w:ascii="Arial" w:hAnsi="Arial" w:cs="Arial"/>
      <w:color w:val="FF0000"/>
    </w:rPr>
  </w:style>
  <w:style w:type="paragraph" w:styleId="af0">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0">
    <w:name w:val="index 1"/>
    <w:basedOn w:val="a"/>
    <w:next w:val="a"/>
    <w:uiPriority w:val="99"/>
    <w:semiHidden/>
    <w:qFormat/>
    <w:pPr>
      <w:jc w:val="right"/>
    </w:pPr>
    <w:rPr>
      <w:color w:val="008000"/>
    </w:rPr>
  </w:style>
  <w:style w:type="paragraph" w:styleId="af1">
    <w:name w:val="Title"/>
    <w:basedOn w:val="a"/>
    <w:next w:val="a"/>
    <w:link w:val="Chara"/>
    <w:uiPriority w:val="99"/>
    <w:qFormat/>
    <w:pPr>
      <w:spacing w:before="240" w:after="60"/>
      <w:jc w:val="center"/>
      <w:outlineLvl w:val="0"/>
    </w:pPr>
    <w:rPr>
      <w:rFonts w:ascii="Cambria" w:hAnsi="Cambria" w:cs="Cambria"/>
      <w:b/>
      <w:bCs/>
      <w:sz w:val="32"/>
      <w:szCs w:val="32"/>
    </w:rPr>
  </w:style>
  <w:style w:type="character" w:styleId="af2">
    <w:name w:val="Strong"/>
    <w:basedOn w:val="a1"/>
    <w:uiPriority w:val="22"/>
    <w:qFormat/>
    <w:rPr>
      <w:b/>
      <w:bCs/>
    </w:rPr>
  </w:style>
  <w:style w:type="character" w:styleId="af3">
    <w:name w:val="page number"/>
    <w:basedOn w:val="a1"/>
    <w:uiPriority w:val="99"/>
  </w:style>
  <w:style w:type="character" w:styleId="af4">
    <w:name w:val="FollowedHyperlink"/>
    <w:basedOn w:val="a1"/>
    <w:uiPriority w:val="99"/>
    <w:qFormat/>
    <w:rPr>
      <w:color w:val="800080"/>
      <w:u w:val="single"/>
    </w:rPr>
  </w:style>
  <w:style w:type="character" w:styleId="af5">
    <w:name w:val="Hyperlink"/>
    <w:basedOn w:val="a1"/>
    <w:uiPriority w:val="99"/>
    <w:rPr>
      <w:color w:val="0000FF"/>
      <w:u w:val="single"/>
    </w:rPr>
  </w:style>
  <w:style w:type="character" w:styleId="af6">
    <w:name w:val="annotation reference"/>
    <w:basedOn w:val="a1"/>
    <w:uiPriority w:val="99"/>
    <w:semiHidden/>
    <w:qFormat/>
    <w:rPr>
      <w:sz w:val="21"/>
      <w:szCs w:val="21"/>
    </w:rPr>
  </w:style>
  <w:style w:type="character" w:styleId="af7">
    <w:name w:val="footnote reference"/>
    <w:basedOn w:val="a1"/>
    <w:rPr>
      <w:vertAlign w:val="superscript"/>
    </w:rPr>
  </w:style>
  <w:style w:type="table" w:styleId="af8">
    <w:name w:val="Table Grid"/>
    <w:basedOn w:val="a2"/>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rPr>
      <w:rFonts w:ascii="Times New Roman" w:eastAsia="宋体" w:hAnsi="Times New Roman" w:cs="Times New Roman"/>
      <w:b/>
      <w:bCs/>
      <w:kern w:val="44"/>
      <w:sz w:val="44"/>
      <w:szCs w:val="44"/>
    </w:rPr>
  </w:style>
  <w:style w:type="character" w:customStyle="1" w:styleId="2Char">
    <w:name w:val="标题 2 Char"/>
    <w:basedOn w:val="a1"/>
    <w:link w:val="2"/>
    <w:uiPriority w:val="99"/>
    <w:rPr>
      <w:rFonts w:ascii="Arial" w:eastAsia="宋体" w:hAnsi="Arial" w:cs="Arial"/>
      <w:b/>
      <w:bCs/>
      <w:sz w:val="24"/>
      <w:szCs w:val="24"/>
    </w:rPr>
  </w:style>
  <w:style w:type="character" w:customStyle="1" w:styleId="3Char">
    <w:name w:val="标题 3 Char"/>
    <w:basedOn w:val="a1"/>
    <w:link w:val="3"/>
    <w:uiPriority w:val="99"/>
    <w:rPr>
      <w:rFonts w:ascii="Times New Roman" w:eastAsia="宋体" w:hAnsi="Times New Roman" w:cs="Times New Roman"/>
      <w:b/>
      <w:bCs/>
      <w:sz w:val="32"/>
      <w:szCs w:val="32"/>
    </w:rPr>
  </w:style>
  <w:style w:type="character" w:customStyle="1" w:styleId="Char3">
    <w:name w:val="正文文本缩进 Char"/>
    <w:basedOn w:val="a1"/>
    <w:link w:val="a8"/>
    <w:uiPriority w:val="99"/>
    <w:rPr>
      <w:rFonts w:ascii="Arial Unicode MS" w:eastAsia="Arial Unicode MS" w:hAnsi="Arial Unicode MS" w:cs="Arial Unicode MS"/>
      <w:kern w:val="0"/>
      <w:sz w:val="24"/>
      <w:szCs w:val="24"/>
    </w:rPr>
  </w:style>
  <w:style w:type="character" w:customStyle="1" w:styleId="Char4">
    <w:name w:val="纯文本 Char"/>
    <w:basedOn w:val="a1"/>
    <w:link w:val="a9"/>
    <w:uiPriority w:val="99"/>
    <w:rPr>
      <w:rFonts w:ascii="宋体" w:eastAsia="宋体" w:hAnsi="Courier New" w:cs="宋体"/>
      <w:szCs w:val="21"/>
    </w:rPr>
  </w:style>
  <w:style w:type="character" w:customStyle="1" w:styleId="2Char0">
    <w:name w:val="正文文本缩进 2 Char"/>
    <w:basedOn w:val="a1"/>
    <w:link w:val="20"/>
    <w:uiPriority w:val="99"/>
    <w:rPr>
      <w:rFonts w:ascii="宋体" w:eastAsia="宋体" w:hAnsi="宋体" w:cs="宋体"/>
      <w:color w:val="FF0000"/>
      <w:sz w:val="24"/>
      <w:szCs w:val="24"/>
    </w:rPr>
  </w:style>
  <w:style w:type="character" w:customStyle="1" w:styleId="Char7">
    <w:name w:val="页脚 Char"/>
    <w:basedOn w:val="a1"/>
    <w:link w:val="ac"/>
    <w:uiPriority w:val="99"/>
    <w:rPr>
      <w:rFonts w:ascii="Times New Roman" w:eastAsia="宋体" w:hAnsi="Times New Roman" w:cs="Times New Roman"/>
      <w:sz w:val="18"/>
      <w:szCs w:val="18"/>
    </w:rPr>
  </w:style>
  <w:style w:type="character" w:customStyle="1" w:styleId="3Char0">
    <w:name w:val="正文文本缩进 3 Char"/>
    <w:basedOn w:val="a1"/>
    <w:link w:val="30"/>
    <w:uiPriority w:val="99"/>
    <w:rPr>
      <w:rFonts w:ascii="Arial" w:eastAsia="宋体" w:hAnsi="Arial" w:cs="Arial"/>
      <w:color w:val="FF0000"/>
      <w:szCs w:val="21"/>
    </w:rPr>
  </w:style>
  <w:style w:type="character" w:customStyle="1" w:styleId="Char8">
    <w:name w:val="页眉 Char"/>
    <w:basedOn w:val="a1"/>
    <w:link w:val="ad"/>
    <w:uiPriority w:val="99"/>
    <w:rPr>
      <w:rFonts w:ascii="Times New Roman" w:eastAsia="宋体" w:hAnsi="Times New Roman" w:cs="Times New Roman"/>
      <w:sz w:val="18"/>
      <w:szCs w:val="18"/>
    </w:rPr>
  </w:style>
  <w:style w:type="character" w:customStyle="1" w:styleId="Char2">
    <w:name w:val="正文文本 Char"/>
    <w:basedOn w:val="a1"/>
    <w:link w:val="a7"/>
    <w:uiPriority w:val="99"/>
    <w:qFormat/>
    <w:rPr>
      <w:rFonts w:ascii="Times New Roman" w:eastAsia="宋体" w:hAnsi="Times New Roman" w:cs="Times New Roman"/>
      <w:szCs w:val="21"/>
    </w:rPr>
  </w:style>
  <w:style w:type="character" w:customStyle="1" w:styleId="Char5">
    <w:name w:val="日期 Char"/>
    <w:basedOn w:val="a1"/>
    <w:link w:val="aa"/>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Char6">
    <w:name w:val="批注框文本 Char"/>
    <w:basedOn w:val="a1"/>
    <w:link w:val="ab"/>
    <w:uiPriority w:val="99"/>
    <w:semiHidden/>
    <w:qFormat/>
    <w:rPr>
      <w:rFonts w:ascii="Times New Roman" w:eastAsia="宋体" w:hAnsi="Times New Roman" w:cs="Times New Roman"/>
      <w:sz w:val="18"/>
      <w:szCs w:val="18"/>
    </w:rPr>
  </w:style>
  <w:style w:type="character" w:customStyle="1" w:styleId="Char0">
    <w:name w:val="批注文字 Char"/>
    <w:basedOn w:val="a1"/>
    <w:link w:val="a5"/>
    <w:uiPriority w:val="99"/>
    <w:semiHidden/>
    <w:qFormat/>
    <w:rPr>
      <w:rFonts w:ascii="Times New Roman" w:eastAsia="宋体" w:hAnsi="Times New Roman" w:cs="Times New Roman"/>
      <w:szCs w:val="21"/>
    </w:rPr>
  </w:style>
  <w:style w:type="character" w:customStyle="1" w:styleId="Char">
    <w:name w:val="批注主题 Char"/>
    <w:basedOn w:val="Char0"/>
    <w:link w:val="a4"/>
    <w:uiPriority w:val="99"/>
    <w:semiHidden/>
    <w:qFormat/>
    <w:rPr>
      <w:rFonts w:ascii="Times New Roman" w:eastAsia="宋体" w:hAnsi="Times New Roman" w:cs="Times New Roman"/>
      <w:b/>
      <w:bCs/>
      <w:szCs w:val="21"/>
    </w:rPr>
  </w:style>
  <w:style w:type="paragraph" w:customStyle="1" w:styleId="Charb">
    <w:name w:val="Char"/>
    <w:basedOn w:val="a"/>
    <w:uiPriority w:val="99"/>
    <w:qFormat/>
  </w:style>
  <w:style w:type="character" w:customStyle="1" w:styleId="Char1">
    <w:name w:val="文档结构图 Char"/>
    <w:basedOn w:val="a1"/>
    <w:link w:val="a6"/>
    <w:uiPriority w:val="99"/>
    <w:semiHidden/>
    <w:rPr>
      <w:rFonts w:ascii="Times New Roman" w:eastAsia="宋体" w:hAnsi="Times New Roman" w:cs="Times New Roman"/>
      <w:szCs w:val="21"/>
      <w:shd w:val="clear" w:color="auto" w:fill="000080"/>
    </w:rPr>
  </w:style>
  <w:style w:type="paragraph" w:customStyle="1" w:styleId="af9">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Char9">
    <w:name w:val="脚注文本 Char"/>
    <w:basedOn w:val="a1"/>
    <w:link w:val="af"/>
    <w:rPr>
      <w:rFonts w:ascii="Times New Roman" w:eastAsia="宋体" w:hAnsi="Times New Roman" w:cs="Times New Roman"/>
      <w:sz w:val="18"/>
      <w:szCs w:val="18"/>
    </w:rPr>
  </w:style>
  <w:style w:type="paragraph" w:customStyle="1" w:styleId="Char10">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Chara">
    <w:name w:val="标题 Char"/>
    <w:basedOn w:val="a1"/>
    <w:link w:val="af1"/>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1">
    <w:name w:val="无间隔1"/>
    <w:link w:val="Charc"/>
    <w:uiPriority w:val="1"/>
    <w:qFormat/>
    <w:rPr>
      <w:rFonts w:ascii="Calibri" w:eastAsia="宋体" w:hAnsi="Calibri" w:cs="Calibri"/>
      <w:sz w:val="22"/>
      <w:szCs w:val="22"/>
    </w:rPr>
  </w:style>
  <w:style w:type="character" w:customStyle="1" w:styleId="Charc">
    <w:name w:val="无间隔 Char"/>
    <w:basedOn w:val="a1"/>
    <w:link w:val="11"/>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2">
    <w:name w:val="列出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9E7146-8279-428A-87AE-774F4FD8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Ersong Zhu</cp:lastModifiedBy>
  <cp:revision>266</cp:revision>
  <dcterms:created xsi:type="dcterms:W3CDTF">2012-10-16T06:07:00Z</dcterms:created>
  <dcterms:modified xsi:type="dcterms:W3CDTF">2019-10-23T07:19:00Z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