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E6898" w:rsidRDefault="0080146C">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上投摩根整合驱动灵活配置混合型证券投资基金</w:t>
      </w:r>
    </w:p>
    <w:p w:rsidR="00AE6898" w:rsidRDefault="0080146C">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2019年第4季度报告</w:t>
      </w:r>
    </w:p>
    <w:p w:rsidR="00AE6898" w:rsidRDefault="0080146C">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2019年12月31日</w:t>
      </w: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jc w:val="center"/>
        <w:rPr>
          <w:rFonts w:asciiTheme="minorEastAsia" w:eastAsiaTheme="minorEastAsia" w:hAnsiTheme="minorEastAsia"/>
          <w:b/>
          <w:bCs/>
          <w:color w:val="000000" w:themeColor="text1"/>
          <w:sz w:val="24"/>
          <w:szCs w:val="24"/>
        </w:rPr>
      </w:pPr>
    </w:p>
    <w:p w:rsidR="00AE6898" w:rsidRDefault="00AE6898">
      <w:pPr>
        <w:spacing w:line="360" w:lineRule="auto"/>
        <w:rPr>
          <w:rFonts w:asciiTheme="minorEastAsia" w:eastAsiaTheme="minorEastAsia" w:hAnsiTheme="minorEastAsia"/>
          <w:b/>
          <w:bCs/>
          <w:color w:val="000000" w:themeColor="text1"/>
          <w:sz w:val="24"/>
          <w:szCs w:val="24"/>
        </w:rPr>
      </w:pPr>
    </w:p>
    <w:p w:rsidR="00AE6898" w:rsidRDefault="0080146C">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AE6898" w:rsidRDefault="0080146C">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AE6898" w:rsidRDefault="0080146C">
      <w:pPr>
        <w:spacing w:line="360" w:lineRule="auto"/>
        <w:ind w:firstLineChars="900" w:firstLine="2168"/>
        <w:rPr>
          <w:rFonts w:asciiTheme="minorEastAsia" w:eastAsiaTheme="minorEastAsia" w:hAnsiTheme="minorEastAsia"/>
          <w:b/>
          <w:color w:val="000000" w:themeColor="text1"/>
          <w:sz w:val="24"/>
          <w:szCs w:val="24"/>
        </w:rPr>
        <w:sectPr w:rsidR="00AE689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二〇二〇年一月二十日</w:t>
      </w:r>
    </w:p>
    <w:p w:rsidR="00AE6898" w:rsidRDefault="0080146C">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基金托管人中国银行股份有限公司根据本基金合同规定，于2020年1月17日复核了本报告中的财务指标、净值表现和投资组合报告等内容，保证复核内容不存在虚假记载、误导性陈述或者重大遗漏。 </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本报告期自2019年10月1日起至12月31日止。</w:t>
      </w:r>
    </w:p>
    <w:p w:rsidR="00AE6898" w:rsidRDefault="0080146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AE6898">
        <w:tc>
          <w:tcPr>
            <w:tcW w:w="2835"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上投摩根整合驱动混合</w:t>
            </w:r>
          </w:p>
        </w:tc>
      </w:tr>
      <w:tr w:rsidR="00AE6898">
        <w:tc>
          <w:tcPr>
            <w:tcW w:w="2835" w:type="dxa"/>
            <w:tcBorders>
              <w:top w:val="single" w:sz="4" w:space="0" w:color="auto"/>
              <w:left w:val="single" w:sz="4" w:space="0" w:color="auto"/>
              <w:bottom w:val="single" w:sz="4" w:space="0" w:color="auto"/>
              <w:right w:val="single" w:sz="4" w:space="0" w:color="auto"/>
            </w:tcBorders>
            <w:vAlign w:val="center"/>
          </w:tcPr>
          <w:p w:rsidR="00AE6898" w:rsidRDefault="0080146C">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AE6898" w:rsidRDefault="0080146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001192</w:t>
            </w:r>
          </w:p>
        </w:tc>
      </w:tr>
      <w:tr w:rsidR="00AE6898">
        <w:tc>
          <w:tcPr>
            <w:tcW w:w="2835" w:type="dxa"/>
            <w:tcBorders>
              <w:top w:val="single" w:sz="4" w:space="0" w:color="auto"/>
              <w:left w:val="single" w:sz="4" w:space="0" w:color="auto"/>
              <w:bottom w:val="single" w:sz="4" w:space="0" w:color="auto"/>
              <w:right w:val="single" w:sz="4" w:space="0" w:color="auto"/>
            </w:tcBorders>
            <w:vAlign w:val="center"/>
          </w:tcPr>
          <w:p w:rsidR="00AE6898" w:rsidRDefault="0080146C">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AE6898" w:rsidRDefault="0080146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001192</w:t>
            </w:r>
          </w:p>
        </w:tc>
      </w:tr>
      <w:tr w:rsidR="00AE6898">
        <w:tc>
          <w:tcPr>
            <w:tcW w:w="2835"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AE6898">
        <w:tc>
          <w:tcPr>
            <w:tcW w:w="2835"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2015年4月23日</w:t>
            </w:r>
          </w:p>
        </w:tc>
      </w:tr>
      <w:tr w:rsidR="00AE6898">
        <w:tc>
          <w:tcPr>
            <w:tcW w:w="2835"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1,275,046,145.14</w:t>
            </w:r>
            <w:r>
              <w:rPr>
                <w:rFonts w:asciiTheme="minorEastAsia" w:eastAsiaTheme="minorEastAsia" w:hAnsiTheme="minorEastAsia" w:hint="eastAsia"/>
                <w:color w:val="000000" w:themeColor="text1"/>
                <w:kern w:val="0"/>
              </w:rPr>
              <w:t>份</w:t>
            </w:r>
          </w:p>
        </w:tc>
      </w:tr>
      <w:tr w:rsidR="00AE6898">
        <w:tc>
          <w:tcPr>
            <w:tcW w:w="2835"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通过深入细致的基本面研究，把握企业整合发展带来的投资机会，在严格的风险控制前提下，力争实现基金资产的长期增值。</w:t>
            </w:r>
          </w:p>
        </w:tc>
      </w:tr>
      <w:tr w:rsidR="00AE6898">
        <w:tc>
          <w:tcPr>
            <w:tcW w:w="2835"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本基金通过自上而下和自下而上相结合、定性分析和定量分析互相补充的方法，在股票、债券和现金等资产类别之间进行相对灵活的配置。</w:t>
            </w:r>
          </w:p>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本基金将重点投资于整合主题相关的上市公司。在个股选</w:t>
            </w:r>
            <w:r>
              <w:rPr>
                <w:rFonts w:asciiTheme="minorEastAsia" w:eastAsiaTheme="minorEastAsia" w:hAnsiTheme="minorEastAsia"/>
                <w:color w:val="000000" w:themeColor="text1"/>
                <w:kern w:val="0"/>
              </w:rPr>
              <w:lastRenderedPageBreak/>
              <w:t>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tc>
      </w:tr>
      <w:tr w:rsidR="00AE6898">
        <w:tc>
          <w:tcPr>
            <w:tcW w:w="2835"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中证800指数收益率*60%+中债总指数收益率*40%</w:t>
            </w:r>
          </w:p>
        </w:tc>
      </w:tr>
      <w:tr w:rsidR="00AE6898">
        <w:tc>
          <w:tcPr>
            <w:tcW w:w="2835"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本基金属于混合型基金产品，预期风险和收益水平高于债券型基金和货币市场基金，低于股票型基金，属于较高风险收益水平的基金产品。</w:t>
            </w:r>
          </w:p>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本基金风险收益特征会定期评估并在公司网站发布，请投资者关注。</w:t>
            </w:r>
          </w:p>
        </w:tc>
      </w:tr>
      <w:tr w:rsidR="00AE6898">
        <w:tc>
          <w:tcPr>
            <w:tcW w:w="2835"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AE6898">
        <w:tc>
          <w:tcPr>
            <w:tcW w:w="2835"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AE6898" w:rsidRDefault="0080146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AE6898" w:rsidRDefault="0080146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80146C" w:rsidTr="0080146C">
        <w:tc>
          <w:tcPr>
            <w:tcW w:w="3402" w:type="dxa"/>
            <w:vAlign w:val="center"/>
          </w:tcPr>
          <w:p w:rsidR="00AE6898" w:rsidRDefault="0080146C">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AE6898" w:rsidRDefault="0080146C">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AE6898" w:rsidRDefault="0080146C">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2019年10月1日-2019年12月31日</w:t>
            </w:r>
            <w:r>
              <w:rPr>
                <w:rFonts w:asciiTheme="minorEastAsia" w:eastAsiaTheme="minorEastAsia" w:hAnsiTheme="minorEastAsia" w:cs="宋体" w:hint="eastAsia"/>
                <w:color w:val="000000" w:themeColor="text1"/>
              </w:rPr>
              <w:t>)</w:t>
            </w:r>
          </w:p>
        </w:tc>
      </w:tr>
      <w:tr w:rsidR="0080146C" w:rsidTr="0080146C">
        <w:tc>
          <w:tcPr>
            <w:tcW w:w="3402"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AE6898" w:rsidRDefault="0080146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58,772,991.74</w:t>
            </w:r>
          </w:p>
        </w:tc>
      </w:tr>
      <w:tr w:rsidR="0080146C" w:rsidTr="0080146C">
        <w:tc>
          <w:tcPr>
            <w:tcW w:w="3402"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AE6898" w:rsidRDefault="0080146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62,356,277.07</w:t>
            </w:r>
          </w:p>
        </w:tc>
      </w:tr>
      <w:tr w:rsidR="0080146C" w:rsidTr="0080146C">
        <w:tc>
          <w:tcPr>
            <w:tcW w:w="3402"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AE6898" w:rsidRDefault="0080146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0.0473</w:t>
            </w:r>
          </w:p>
        </w:tc>
      </w:tr>
      <w:tr w:rsidR="0080146C" w:rsidTr="0080146C">
        <w:tc>
          <w:tcPr>
            <w:tcW w:w="3402"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AE6898" w:rsidRDefault="0080146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835,050,590.49</w:t>
            </w:r>
          </w:p>
        </w:tc>
      </w:tr>
      <w:tr w:rsidR="0080146C" w:rsidTr="0080146C">
        <w:trPr>
          <w:trHeight w:val="158"/>
        </w:trPr>
        <w:tc>
          <w:tcPr>
            <w:tcW w:w="3402" w:type="dxa"/>
            <w:vAlign w:val="center"/>
          </w:tcPr>
          <w:p w:rsidR="00AE6898" w:rsidRDefault="0080146C">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AE6898" w:rsidRDefault="0080146C">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0.655</w:t>
            </w:r>
          </w:p>
        </w:tc>
      </w:tr>
    </w:tbl>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注：本期已实现收益指基金本期利息收入、投资收益、其他收入(不含公允价值变动收益)扣除相关费用后的余额，本期利润为本期已实现收益加上本期公允价值变动收益。 </w:t>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AE6898" w:rsidRDefault="0080146C">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AE6898">
        <w:tc>
          <w:tcPr>
            <w:tcW w:w="1395"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AE6898">
        <w:tc>
          <w:tcPr>
            <w:tcW w:w="1395" w:type="dxa"/>
            <w:vAlign w:val="center"/>
          </w:tcPr>
          <w:p w:rsidR="00AE6898" w:rsidRDefault="0080146C">
            <w:pPr>
              <w:jc w:val="left"/>
            </w:pPr>
            <w:r>
              <w:rPr>
                <w:rFonts w:asciiTheme="minorEastAsia" w:eastAsiaTheme="minorEastAsia" w:hAnsiTheme="minorEastAsia"/>
                <w:color w:val="000000" w:themeColor="text1"/>
                <w:kern w:val="0"/>
              </w:rPr>
              <w:t>过去三个月</w:t>
            </w:r>
          </w:p>
        </w:tc>
        <w:tc>
          <w:tcPr>
            <w:tcW w:w="1092" w:type="dxa"/>
            <w:vAlign w:val="center"/>
          </w:tcPr>
          <w:p w:rsidR="00AE6898" w:rsidRDefault="0080146C">
            <w:pPr>
              <w:jc w:val="center"/>
            </w:pPr>
            <w:r>
              <w:rPr>
                <w:rFonts w:asciiTheme="minorEastAsia" w:eastAsiaTheme="minorEastAsia" w:hAnsiTheme="minorEastAsia"/>
                <w:color w:val="000000" w:themeColor="text1"/>
                <w:kern w:val="0"/>
              </w:rPr>
              <w:t>7.91%</w:t>
            </w:r>
          </w:p>
        </w:tc>
        <w:tc>
          <w:tcPr>
            <w:tcW w:w="1161" w:type="dxa"/>
            <w:vAlign w:val="center"/>
          </w:tcPr>
          <w:p w:rsidR="00AE6898" w:rsidRDefault="0080146C">
            <w:pPr>
              <w:jc w:val="center"/>
            </w:pPr>
            <w:r>
              <w:rPr>
                <w:rFonts w:asciiTheme="minorEastAsia" w:eastAsiaTheme="minorEastAsia" w:hAnsiTheme="minorEastAsia"/>
                <w:color w:val="000000" w:themeColor="text1"/>
                <w:kern w:val="0"/>
              </w:rPr>
              <w:t>0.63%</w:t>
            </w:r>
          </w:p>
        </w:tc>
        <w:tc>
          <w:tcPr>
            <w:tcW w:w="1181" w:type="dxa"/>
            <w:vAlign w:val="center"/>
          </w:tcPr>
          <w:p w:rsidR="00AE6898" w:rsidRDefault="0080146C">
            <w:pPr>
              <w:jc w:val="center"/>
            </w:pPr>
            <w:r>
              <w:rPr>
                <w:rFonts w:asciiTheme="minorEastAsia" w:eastAsiaTheme="minorEastAsia" w:hAnsiTheme="minorEastAsia"/>
                <w:color w:val="000000" w:themeColor="text1"/>
                <w:kern w:val="0"/>
              </w:rPr>
              <w:t>4.67%</w:t>
            </w:r>
          </w:p>
        </w:tc>
        <w:tc>
          <w:tcPr>
            <w:tcW w:w="1188" w:type="dxa"/>
            <w:vAlign w:val="center"/>
          </w:tcPr>
          <w:p w:rsidR="00AE6898" w:rsidRDefault="0080146C">
            <w:pPr>
              <w:jc w:val="center"/>
            </w:pPr>
            <w:r>
              <w:rPr>
                <w:rFonts w:asciiTheme="minorEastAsia" w:eastAsiaTheme="minorEastAsia" w:hAnsiTheme="minorEastAsia"/>
                <w:color w:val="000000" w:themeColor="text1"/>
                <w:kern w:val="0"/>
              </w:rPr>
              <w:t>0.45%</w:t>
            </w:r>
          </w:p>
        </w:tc>
        <w:tc>
          <w:tcPr>
            <w:tcW w:w="1199" w:type="dxa"/>
            <w:vAlign w:val="center"/>
          </w:tcPr>
          <w:p w:rsidR="00AE6898" w:rsidRDefault="0080146C">
            <w:pPr>
              <w:jc w:val="center"/>
            </w:pPr>
            <w:r>
              <w:rPr>
                <w:rFonts w:asciiTheme="minorEastAsia" w:eastAsiaTheme="minorEastAsia" w:hAnsiTheme="minorEastAsia"/>
                <w:color w:val="000000" w:themeColor="text1"/>
                <w:kern w:val="0"/>
              </w:rPr>
              <w:t>3.24%</w:t>
            </w:r>
          </w:p>
        </w:tc>
        <w:tc>
          <w:tcPr>
            <w:tcW w:w="1204" w:type="dxa"/>
            <w:vAlign w:val="center"/>
          </w:tcPr>
          <w:p w:rsidR="00AE6898" w:rsidRDefault="0080146C">
            <w:pPr>
              <w:jc w:val="center"/>
            </w:pPr>
            <w:r>
              <w:rPr>
                <w:rFonts w:asciiTheme="minorEastAsia" w:eastAsiaTheme="minorEastAsia" w:hAnsiTheme="minorEastAsia"/>
                <w:color w:val="000000" w:themeColor="text1"/>
                <w:kern w:val="0"/>
              </w:rPr>
              <w:t>0.18%</w:t>
            </w:r>
          </w:p>
        </w:tc>
      </w:tr>
    </w:tbl>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AE6898" w:rsidRDefault="0080146C">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上投摩根整合驱动灵活配置混合型证券投资基金</w:t>
      </w:r>
    </w:p>
    <w:p w:rsidR="00AE6898" w:rsidRDefault="0080146C">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AE6898" w:rsidRDefault="0080146C">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2015年4月23日</w:t>
      </w:r>
      <w:r>
        <w:rPr>
          <w:rFonts w:asciiTheme="minorEastAsia" w:eastAsiaTheme="minorEastAsia" w:hAnsiTheme="minorEastAsia" w:hint="eastAsia"/>
          <w:color w:val="000000" w:themeColor="text1"/>
        </w:rPr>
        <w:t>至2019年12月31日)</w:t>
      </w:r>
    </w:p>
    <w:p w:rsidR="00AE6898" w:rsidRDefault="0080146C">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注：本基金合同生效日为2015年4月23日，图示时间段为2015年4月23日至2019年12月31日。</w:t>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本基金建仓期自2015年4月23日至2015年10月22日，建仓期结束时资产配置比例符合本基金基金合同规定。</w:t>
      </w:r>
    </w:p>
    <w:p w:rsidR="00AE6898" w:rsidRDefault="00AE6898">
      <w:pPr>
        <w:tabs>
          <w:tab w:val="left" w:pos="1800"/>
        </w:tabs>
        <w:spacing w:line="360" w:lineRule="auto"/>
        <w:rPr>
          <w:rFonts w:asciiTheme="minorEastAsia" w:eastAsiaTheme="minorEastAsia" w:hAnsiTheme="minorEastAsia"/>
          <w:color w:val="000000" w:themeColor="text1"/>
          <w:sz w:val="24"/>
          <w:szCs w:val="24"/>
        </w:rPr>
      </w:pPr>
    </w:p>
    <w:p w:rsidR="00AE6898" w:rsidRDefault="0080146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AE6898">
        <w:trPr>
          <w:cantSplit/>
          <w:trHeight w:val="292"/>
        </w:trPr>
        <w:tc>
          <w:tcPr>
            <w:tcW w:w="851" w:type="dxa"/>
            <w:vMerge w:val="restart"/>
            <w:vAlign w:val="center"/>
          </w:tcPr>
          <w:p w:rsidR="00AE6898" w:rsidRDefault="0080146C">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AE6898" w:rsidRDefault="0080146C">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AE6898" w:rsidRDefault="0080146C">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AE6898">
        <w:trPr>
          <w:cantSplit/>
        </w:trPr>
        <w:tc>
          <w:tcPr>
            <w:tcW w:w="851" w:type="dxa"/>
            <w:vMerge/>
            <w:vAlign w:val="center"/>
          </w:tcPr>
          <w:p w:rsidR="00AE6898" w:rsidRDefault="00AE689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AE6898" w:rsidRDefault="00AE689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AE6898" w:rsidRDefault="00AE689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AE6898" w:rsidRDefault="00AE6898">
            <w:pPr>
              <w:widowControl/>
              <w:spacing w:line="360" w:lineRule="auto"/>
              <w:jc w:val="left"/>
              <w:rPr>
                <w:rFonts w:asciiTheme="minorEastAsia" w:eastAsiaTheme="minorEastAsia" w:hAnsiTheme="minorEastAsia"/>
                <w:color w:val="000000" w:themeColor="text1"/>
                <w:kern w:val="0"/>
              </w:rPr>
            </w:pPr>
          </w:p>
        </w:tc>
      </w:tr>
      <w:tr w:rsidR="00AE6898">
        <w:tc>
          <w:tcPr>
            <w:tcW w:w="851" w:type="dxa"/>
            <w:vAlign w:val="center"/>
          </w:tcPr>
          <w:p w:rsidR="00AE6898" w:rsidRDefault="0080146C">
            <w:pPr>
              <w:jc w:val="center"/>
            </w:pPr>
            <w:r>
              <w:rPr>
                <w:rFonts w:asciiTheme="minorEastAsia" w:eastAsiaTheme="minorEastAsia" w:hAnsiTheme="minorEastAsia"/>
                <w:color w:val="000000" w:themeColor="text1"/>
              </w:rPr>
              <w:t>征茂平</w:t>
            </w:r>
          </w:p>
        </w:tc>
        <w:tc>
          <w:tcPr>
            <w:tcW w:w="850" w:type="dxa"/>
            <w:vAlign w:val="center"/>
          </w:tcPr>
          <w:p w:rsidR="00AE6898" w:rsidRDefault="0080146C">
            <w:pPr>
              <w:jc w:val="center"/>
            </w:pPr>
            <w:r>
              <w:rPr>
                <w:rFonts w:asciiTheme="minorEastAsia" w:eastAsiaTheme="minorEastAsia" w:hAnsiTheme="minorEastAsia"/>
                <w:color w:val="000000" w:themeColor="text1"/>
              </w:rPr>
              <w:t>本基金基金经理</w:t>
            </w:r>
          </w:p>
        </w:tc>
        <w:tc>
          <w:tcPr>
            <w:tcW w:w="1560" w:type="dxa"/>
            <w:vAlign w:val="center"/>
          </w:tcPr>
          <w:p w:rsidR="00AE6898" w:rsidRDefault="0080146C">
            <w:pPr>
              <w:jc w:val="center"/>
            </w:pPr>
            <w:r>
              <w:rPr>
                <w:rFonts w:asciiTheme="minorEastAsia" w:eastAsiaTheme="minorEastAsia" w:hAnsiTheme="minorEastAsia"/>
                <w:color w:val="000000" w:themeColor="text1"/>
              </w:rPr>
              <w:t>2015-09-18</w:t>
            </w:r>
          </w:p>
        </w:tc>
        <w:tc>
          <w:tcPr>
            <w:tcW w:w="1559" w:type="dxa"/>
            <w:vAlign w:val="center"/>
          </w:tcPr>
          <w:p w:rsidR="00AE6898" w:rsidRDefault="0080146C">
            <w:pPr>
              <w:jc w:val="center"/>
            </w:pPr>
            <w:r>
              <w:rPr>
                <w:rFonts w:asciiTheme="minorEastAsia" w:eastAsiaTheme="minorEastAsia" w:hAnsiTheme="minorEastAsia"/>
                <w:color w:val="000000" w:themeColor="text1"/>
              </w:rPr>
              <w:t>-</w:t>
            </w:r>
          </w:p>
        </w:tc>
        <w:tc>
          <w:tcPr>
            <w:tcW w:w="1417" w:type="dxa"/>
            <w:vAlign w:val="center"/>
          </w:tcPr>
          <w:p w:rsidR="00AE6898" w:rsidRDefault="0080146C">
            <w:pPr>
              <w:jc w:val="center"/>
            </w:pPr>
            <w:r>
              <w:rPr>
                <w:rFonts w:asciiTheme="minorEastAsia" w:eastAsiaTheme="minorEastAsia" w:hAnsiTheme="minorEastAsia"/>
                <w:color w:val="000000" w:themeColor="text1"/>
              </w:rPr>
              <w:t>19年</w:t>
            </w:r>
          </w:p>
        </w:tc>
        <w:tc>
          <w:tcPr>
            <w:tcW w:w="2694" w:type="dxa"/>
            <w:vAlign w:val="center"/>
          </w:tcPr>
          <w:p w:rsidR="00AE6898" w:rsidRDefault="0080146C">
            <w:r>
              <w:rPr>
                <w:rFonts w:asciiTheme="minorEastAsia" w:eastAsiaTheme="minorEastAsia" w:hAnsiTheme="minorEastAsia"/>
                <w:color w:val="000000" w:themeColor="text1"/>
              </w:rPr>
              <w:t>征茂平先生自2001年3月至2004年3月在上海证大投资管理有限公司任高级研究员从事证券研究的工作；2004年3月至2005年4月在平安证券有限公司任高级研究员从事证券研究的工作；2005年5月至2008年5月在大成基金管理有限公司任研究员从事成长股票组合的管理工作；2008年5月起加入上投摩根基金管理有限公司，先后担任行业专家、基金经理助理、研究部总监助理、基金经理，自2013年7月至2019年7月担任上投摩根大盘蓝筹股票型证券投资基金基金经理，2013年9月至2018年6月担任上投摩根红利回报混合型证券投资基金基金经理,2014年1月至2015年2月担任上投摩根阿尔法混合型证券投资基金基金经理，自2015年9月起同时担任上投摩根整合驱动灵活配置混合型证券投资基金基金经理，自2016年11月起同时担任上投摩根中国世纪灵活配置混合型证券投资基金基金经理。</w:t>
            </w:r>
          </w:p>
        </w:tc>
      </w:tr>
    </w:tbl>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注：1.任职日期和离任日期均指根据公司决定确定的聘任日期和解聘日期。</w:t>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整合驱动灵活配置混合型证券投资基金基金合同》的规定。基金经理对个股和投资组合的比例遵循了投资决策委员会的授权限制，基金投资比例符合基金合同和法律法规的要求。</w:t>
      </w:r>
    </w:p>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AE6898" w:rsidRDefault="0080146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AE6898" w:rsidRDefault="0080146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AE6898" w:rsidRDefault="00AE6898">
      <w:pPr>
        <w:spacing w:line="360" w:lineRule="auto"/>
        <w:ind w:firstLineChars="200" w:firstLine="480"/>
        <w:rPr>
          <w:rFonts w:asciiTheme="minorEastAsia" w:eastAsiaTheme="minorEastAsia" w:hAnsiTheme="minorEastAsia"/>
          <w:color w:val="000000" w:themeColor="text1"/>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AE6898" w:rsidRDefault="0080146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80146C" w:rsidRPr="007E25D4" w:rsidRDefault="0080146C" w:rsidP="0080146C">
      <w:pPr>
        <w:spacing w:line="360" w:lineRule="auto"/>
        <w:ind w:firstLineChars="200" w:firstLine="420"/>
        <w:rPr>
          <w:rFonts w:ascii="宋体" w:hAnsi="宋体" w:cs="宋体"/>
        </w:rPr>
      </w:pPr>
      <w:r w:rsidRPr="007E25D4">
        <w:rPr>
          <w:rFonts w:ascii="宋体" w:hAnsi="宋体" w:cs="宋体" w:hint="eastAsia"/>
        </w:rPr>
        <w:t>四季度猪价大幅上涨导致CPI超出市场预期，并在一定程度上使得投资者对未来流动性释放有所担忧，但基建投资对经济的正面影响在逐步兑现，因此A股市场在经历二、三季度震荡调整后，四季度震荡上行并继续呈现较为明显的结构性行情：以半导体为代表的消费电子行业景气持续上升，成为四季度涨幅最大板块，相关个股估值和股价均创出历史新高，而银行、地产等低估值板块表现一般。</w:t>
      </w:r>
    </w:p>
    <w:p w:rsidR="0080146C" w:rsidRPr="007E25D4" w:rsidRDefault="0080146C" w:rsidP="0080146C">
      <w:pPr>
        <w:spacing w:line="360" w:lineRule="auto"/>
        <w:ind w:firstLineChars="200" w:firstLine="420"/>
        <w:rPr>
          <w:rFonts w:ascii="宋体" w:hAnsi="宋体" w:cs="宋体"/>
        </w:rPr>
      </w:pPr>
      <w:r w:rsidRPr="007E25D4">
        <w:rPr>
          <w:rFonts w:ascii="宋体" w:hAnsi="宋体" w:cs="宋体" w:hint="eastAsia"/>
        </w:rPr>
        <w:t>基金判断前三季度A股市场因确定性溢价导致的极致化结构性行情以及由此带来的估值大幅提升在四季度有望得到纠偏，前期涨幅较大的行业和估值较高个股在四季度获得超额收益的概率不大，因此组合在四季度重点配置了估值合理、成长确定性较高的医药、白酒、家电等板块，同时适当增持估值较低的银行、保险、地产等大金融板块</w:t>
      </w:r>
      <w:r>
        <w:rPr>
          <w:rFonts w:ascii="宋体" w:hAnsi="宋体" w:cs="宋体" w:hint="eastAsia"/>
        </w:rPr>
        <w:t>，</w:t>
      </w:r>
      <w:r w:rsidRPr="007E25D4">
        <w:rPr>
          <w:rFonts w:ascii="宋体" w:hAnsi="宋体" w:cs="宋体" w:hint="eastAsia"/>
        </w:rPr>
        <w:t>并降低TMT行业的配置；投资结果表明：在存量资金博弈背景下，四季度投资者对于行业景气确定性较高的医药和TMT行业继续给予较高的估值溢价，相关行业龙头在四季度继续创出新高，因此尽管组合内医药行业对净值贡献较高，但由于TMT行业配置较低、大金融板块涨幅较少导致四季度组合整体净值表现一般。</w:t>
      </w:r>
    </w:p>
    <w:p w:rsidR="00AE6898" w:rsidRPr="0080146C" w:rsidRDefault="0080146C">
      <w:pPr>
        <w:spacing w:line="360" w:lineRule="auto"/>
        <w:ind w:firstLineChars="200" w:firstLine="420"/>
        <w:rPr>
          <w:rFonts w:asciiTheme="minorEastAsia" w:eastAsiaTheme="minorEastAsia" w:hAnsiTheme="minorEastAsia"/>
          <w:color w:val="000000" w:themeColor="text1"/>
        </w:rPr>
      </w:pPr>
      <w:r w:rsidRPr="007E25D4">
        <w:rPr>
          <w:rFonts w:ascii="宋体" w:hAnsi="宋体" w:cs="宋体" w:hint="eastAsia"/>
        </w:rPr>
        <w:t>本基金认为2019年四季度市场风险有效释放以及贸易</w:t>
      </w:r>
      <w:r>
        <w:rPr>
          <w:rFonts w:ascii="宋体" w:hAnsi="宋体" w:cs="宋体" w:hint="eastAsia"/>
        </w:rPr>
        <w:t>摩擦</w:t>
      </w:r>
      <w:r w:rsidRPr="007E25D4">
        <w:rPr>
          <w:rFonts w:ascii="宋体" w:hAnsi="宋体" w:cs="宋体" w:hint="eastAsia"/>
        </w:rPr>
        <w:t>得到缓解将有利于2020年一季度市场风险偏好的提升，但在存量资金博弈背景下，2020年一季度</w:t>
      </w:r>
      <w:r>
        <w:rPr>
          <w:rFonts w:ascii="宋体" w:hAnsi="宋体" w:cs="宋体" w:hint="eastAsia"/>
        </w:rPr>
        <w:t>预计</w:t>
      </w:r>
      <w:r w:rsidRPr="007E25D4">
        <w:rPr>
          <w:rFonts w:ascii="宋体" w:hAnsi="宋体" w:cs="宋体" w:hint="eastAsia"/>
        </w:rPr>
        <w:t>将以结构性行情为主，基于行业基本面趋势、估值比较，将重点关注估值较低、边际得到改善大金融、地产、与基建相关性较强的周期行业龙头以及行业景气持续向好、估值合理的消费电子板块。</w:t>
      </w:r>
    </w:p>
    <w:p w:rsidR="00AE6898" w:rsidRDefault="0080146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本报告期上投摩根整合驱动混合份额净值增长率为:7.91%，同期业绩比较基准收益率为:4.67%。</w:t>
      </w:r>
    </w:p>
    <w:p w:rsidR="00AE6898" w:rsidRDefault="00AE6898">
      <w:pPr>
        <w:spacing w:line="360" w:lineRule="auto"/>
        <w:ind w:firstLineChars="200" w:firstLine="480"/>
        <w:rPr>
          <w:rFonts w:asciiTheme="minorEastAsia" w:eastAsiaTheme="minorEastAsia" w:hAnsiTheme="minorEastAsia"/>
          <w:color w:val="000000" w:themeColor="text1"/>
          <w:sz w:val="24"/>
          <w:szCs w:val="24"/>
        </w:rPr>
      </w:pPr>
    </w:p>
    <w:p w:rsidR="00AE6898" w:rsidRDefault="0080146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AE6898" w:rsidRDefault="0080146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AE6898">
        <w:trPr>
          <w:jc w:val="center"/>
        </w:trPr>
        <w:tc>
          <w:tcPr>
            <w:tcW w:w="720" w:type="dxa"/>
            <w:vAlign w:val="center"/>
          </w:tcPr>
          <w:p w:rsidR="00AE6898" w:rsidRDefault="0080146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AE6898" w:rsidRDefault="0080146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AE6898" w:rsidRDefault="0080146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AE6898" w:rsidRDefault="0080146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AE6898">
        <w:trPr>
          <w:jc w:val="center"/>
        </w:trPr>
        <w:tc>
          <w:tcPr>
            <w:tcW w:w="720" w:type="dxa"/>
            <w:vAlign w:val="center"/>
          </w:tcPr>
          <w:p w:rsidR="00AE6898" w:rsidRDefault="0080146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AE6898" w:rsidRDefault="0080146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788,843,912.90</w:t>
            </w:r>
          </w:p>
        </w:tc>
        <w:tc>
          <w:tcPr>
            <w:tcW w:w="1843"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93.40</w:t>
            </w:r>
          </w:p>
        </w:tc>
      </w:tr>
      <w:tr w:rsidR="00AE6898">
        <w:trPr>
          <w:jc w:val="center"/>
        </w:trPr>
        <w:tc>
          <w:tcPr>
            <w:tcW w:w="720" w:type="dxa"/>
            <w:vAlign w:val="center"/>
          </w:tcPr>
          <w:p w:rsidR="00AE6898" w:rsidRDefault="00AE689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AE6898" w:rsidRDefault="0080146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788,843,912.90</w:t>
            </w:r>
          </w:p>
        </w:tc>
        <w:tc>
          <w:tcPr>
            <w:tcW w:w="1843"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93.40</w:t>
            </w:r>
          </w:p>
        </w:tc>
      </w:tr>
      <w:tr w:rsidR="00AE6898">
        <w:trPr>
          <w:jc w:val="center"/>
        </w:trPr>
        <w:tc>
          <w:tcPr>
            <w:tcW w:w="720" w:type="dxa"/>
            <w:vAlign w:val="center"/>
          </w:tcPr>
          <w:p w:rsidR="00AE6898" w:rsidRDefault="0080146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AE6898" w:rsidRDefault="0080146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E6898">
        <w:trPr>
          <w:jc w:val="center"/>
        </w:trPr>
        <w:tc>
          <w:tcPr>
            <w:tcW w:w="720" w:type="dxa"/>
            <w:vAlign w:val="center"/>
          </w:tcPr>
          <w:p w:rsidR="00AE6898" w:rsidRDefault="00AE689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AE6898" w:rsidRDefault="0080146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E6898">
        <w:trPr>
          <w:jc w:val="center"/>
        </w:trPr>
        <w:tc>
          <w:tcPr>
            <w:tcW w:w="720" w:type="dxa"/>
            <w:vAlign w:val="center"/>
          </w:tcPr>
          <w:p w:rsidR="00AE6898" w:rsidRDefault="00AE689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AE6898" w:rsidRDefault="0080146C">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E6898">
        <w:trPr>
          <w:jc w:val="center"/>
        </w:trPr>
        <w:tc>
          <w:tcPr>
            <w:tcW w:w="720" w:type="dxa"/>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AE6898" w:rsidRDefault="0080146C">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E6898">
        <w:trPr>
          <w:jc w:val="center"/>
        </w:trPr>
        <w:tc>
          <w:tcPr>
            <w:tcW w:w="720"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AE6898" w:rsidRDefault="0080146C">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E6898">
        <w:trPr>
          <w:jc w:val="center"/>
        </w:trPr>
        <w:tc>
          <w:tcPr>
            <w:tcW w:w="720" w:type="dxa"/>
            <w:vAlign w:val="center"/>
          </w:tcPr>
          <w:p w:rsidR="00AE6898" w:rsidRDefault="0080146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AE6898" w:rsidRDefault="0080146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E6898">
        <w:trPr>
          <w:jc w:val="center"/>
        </w:trPr>
        <w:tc>
          <w:tcPr>
            <w:tcW w:w="720" w:type="dxa"/>
            <w:vAlign w:val="center"/>
          </w:tcPr>
          <w:p w:rsidR="00AE6898" w:rsidRDefault="00AE689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AE6898" w:rsidRDefault="0080146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AE6898">
        <w:trPr>
          <w:jc w:val="center"/>
        </w:trPr>
        <w:tc>
          <w:tcPr>
            <w:tcW w:w="720" w:type="dxa"/>
            <w:vAlign w:val="center"/>
          </w:tcPr>
          <w:p w:rsidR="00AE6898" w:rsidRDefault="0080146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AE6898" w:rsidRDefault="0080146C">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46,717,820.92</w:t>
            </w:r>
          </w:p>
        </w:tc>
        <w:tc>
          <w:tcPr>
            <w:tcW w:w="1843" w:type="dxa"/>
            <w:vAlign w:val="center"/>
          </w:tcPr>
          <w:p w:rsidR="00AE6898" w:rsidRDefault="0080146C">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5.53</w:t>
            </w:r>
          </w:p>
        </w:tc>
      </w:tr>
      <w:tr w:rsidR="00AE6898">
        <w:trPr>
          <w:jc w:val="center"/>
        </w:trPr>
        <w:tc>
          <w:tcPr>
            <w:tcW w:w="720" w:type="dxa"/>
            <w:vAlign w:val="center"/>
          </w:tcPr>
          <w:p w:rsidR="00AE6898" w:rsidRDefault="0080146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AE6898" w:rsidRDefault="0080146C">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9,063,402.88</w:t>
            </w:r>
          </w:p>
        </w:tc>
        <w:tc>
          <w:tcPr>
            <w:tcW w:w="1843" w:type="dxa"/>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1.07</w:t>
            </w:r>
          </w:p>
        </w:tc>
      </w:tr>
      <w:tr w:rsidR="00AE6898">
        <w:trPr>
          <w:jc w:val="center"/>
        </w:trPr>
        <w:tc>
          <w:tcPr>
            <w:tcW w:w="720" w:type="dxa"/>
            <w:vAlign w:val="center"/>
          </w:tcPr>
          <w:p w:rsidR="00AE6898" w:rsidRDefault="0080146C">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AE6898" w:rsidRDefault="0080146C">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844,625,136.70</w:t>
            </w:r>
          </w:p>
        </w:tc>
        <w:tc>
          <w:tcPr>
            <w:tcW w:w="1843" w:type="dxa"/>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AE6898" w:rsidRDefault="00AE689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AE6898" w:rsidRDefault="0080146C">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AE689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18,743,204.00</w:t>
            </w:r>
          </w:p>
          <w:p w:rsidR="00AE6898" w:rsidRDefault="00AE689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2.24</w:t>
            </w:r>
          </w:p>
          <w:p w:rsidR="00AE6898" w:rsidRDefault="00AE6898">
            <w:pPr>
              <w:jc w:val="right"/>
              <w:rPr>
                <w:rFonts w:asciiTheme="minorEastAsia" w:eastAsiaTheme="minorEastAsia" w:hAnsiTheme="minorEastAsia" w:cs="宋体"/>
                <w:color w:val="000000" w:themeColor="text1"/>
                <w:kern w:val="0"/>
              </w:rPr>
            </w:pP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383,938,420.95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45.98</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1,991,806.54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0.24</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8,296,548.00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0.99</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24,340.00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24,369,908.07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2.92</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252,006,201.96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30.18</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93,466,414.14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11.19</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31,790.00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3,261,048.00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0.39</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6,578.04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2,387,070.00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0.29</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320,583.20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0.04</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AE68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AE689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E6898" w:rsidRDefault="0080146C">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788,843,912.90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E6898" w:rsidRDefault="0080146C">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94.47</w:t>
            </w:r>
          </w:p>
        </w:tc>
      </w:tr>
    </w:tbl>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AE6898">
        <w:tc>
          <w:tcPr>
            <w:tcW w:w="817"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AE6898">
        <w:tc>
          <w:tcPr>
            <w:tcW w:w="817" w:type="dxa"/>
            <w:vAlign w:val="center"/>
          </w:tcPr>
          <w:p w:rsidR="00AE6898" w:rsidRDefault="0080146C">
            <w:pPr>
              <w:jc w:val="center"/>
            </w:pPr>
            <w:r>
              <w:rPr>
                <w:rFonts w:asciiTheme="minorEastAsia" w:eastAsiaTheme="minorEastAsia" w:hAnsiTheme="minorEastAsia" w:cs="宋体"/>
                <w:color w:val="000000" w:themeColor="text1"/>
                <w:kern w:val="0"/>
              </w:rPr>
              <w:t>1</w:t>
            </w:r>
          </w:p>
        </w:tc>
        <w:tc>
          <w:tcPr>
            <w:tcW w:w="1276" w:type="dxa"/>
            <w:vAlign w:val="center"/>
          </w:tcPr>
          <w:p w:rsidR="00AE6898" w:rsidRDefault="0080146C">
            <w:pPr>
              <w:jc w:val="center"/>
            </w:pPr>
            <w:r>
              <w:rPr>
                <w:rFonts w:asciiTheme="minorEastAsia" w:eastAsiaTheme="minorEastAsia" w:hAnsiTheme="minorEastAsia" w:cs="宋体"/>
                <w:color w:val="000000" w:themeColor="text1"/>
                <w:kern w:val="0"/>
              </w:rPr>
              <w:t>000651</w:t>
            </w:r>
          </w:p>
        </w:tc>
        <w:tc>
          <w:tcPr>
            <w:tcW w:w="1701" w:type="dxa"/>
            <w:vAlign w:val="center"/>
          </w:tcPr>
          <w:p w:rsidR="00AE6898" w:rsidRDefault="0080146C">
            <w:pPr>
              <w:jc w:val="center"/>
            </w:pPr>
            <w:r>
              <w:rPr>
                <w:rFonts w:asciiTheme="minorEastAsia" w:eastAsiaTheme="minorEastAsia" w:hAnsiTheme="minorEastAsia" w:cs="宋体"/>
                <w:color w:val="000000" w:themeColor="text1"/>
                <w:kern w:val="0"/>
              </w:rPr>
              <w:t>格力电器</w:t>
            </w:r>
          </w:p>
        </w:tc>
        <w:tc>
          <w:tcPr>
            <w:tcW w:w="1276" w:type="dxa"/>
            <w:vAlign w:val="center"/>
          </w:tcPr>
          <w:p w:rsidR="00AE6898" w:rsidRDefault="0080146C">
            <w:pPr>
              <w:jc w:val="right"/>
            </w:pPr>
            <w:r>
              <w:rPr>
                <w:rFonts w:asciiTheme="minorEastAsia" w:eastAsiaTheme="minorEastAsia" w:hAnsiTheme="minorEastAsia" w:cs="宋体"/>
                <w:color w:val="000000" w:themeColor="text1"/>
                <w:kern w:val="0"/>
              </w:rPr>
              <w:t>733,100.00</w:t>
            </w:r>
          </w:p>
        </w:tc>
        <w:tc>
          <w:tcPr>
            <w:tcW w:w="1842" w:type="dxa"/>
            <w:vAlign w:val="center"/>
          </w:tcPr>
          <w:p w:rsidR="00AE6898" w:rsidRDefault="0080146C">
            <w:pPr>
              <w:jc w:val="right"/>
            </w:pPr>
            <w:r>
              <w:rPr>
                <w:rFonts w:asciiTheme="minorEastAsia" w:eastAsiaTheme="minorEastAsia" w:hAnsiTheme="minorEastAsia" w:cs="宋体"/>
                <w:color w:val="000000" w:themeColor="text1"/>
                <w:kern w:val="0"/>
              </w:rPr>
              <w:t>48,076,698.00</w:t>
            </w:r>
          </w:p>
        </w:tc>
        <w:tc>
          <w:tcPr>
            <w:tcW w:w="1616" w:type="dxa"/>
            <w:vAlign w:val="center"/>
          </w:tcPr>
          <w:p w:rsidR="00AE6898" w:rsidRDefault="0080146C">
            <w:pPr>
              <w:jc w:val="right"/>
            </w:pPr>
            <w:r>
              <w:rPr>
                <w:rFonts w:asciiTheme="minorEastAsia" w:eastAsiaTheme="minorEastAsia" w:hAnsiTheme="minorEastAsia" w:cs="宋体"/>
                <w:color w:val="000000" w:themeColor="text1"/>
                <w:kern w:val="0"/>
              </w:rPr>
              <w:t>5.76</w:t>
            </w:r>
          </w:p>
        </w:tc>
      </w:tr>
      <w:tr w:rsidR="00AE6898">
        <w:tc>
          <w:tcPr>
            <w:tcW w:w="817" w:type="dxa"/>
            <w:vAlign w:val="center"/>
          </w:tcPr>
          <w:p w:rsidR="00AE6898" w:rsidRDefault="0080146C">
            <w:pPr>
              <w:jc w:val="center"/>
            </w:pPr>
            <w:r>
              <w:rPr>
                <w:rFonts w:asciiTheme="minorEastAsia" w:eastAsiaTheme="minorEastAsia" w:hAnsiTheme="minorEastAsia" w:cs="宋体"/>
                <w:color w:val="000000" w:themeColor="text1"/>
                <w:kern w:val="0"/>
              </w:rPr>
              <w:t>2</w:t>
            </w:r>
          </w:p>
        </w:tc>
        <w:tc>
          <w:tcPr>
            <w:tcW w:w="1276" w:type="dxa"/>
            <w:vAlign w:val="center"/>
          </w:tcPr>
          <w:p w:rsidR="00AE6898" w:rsidRDefault="0080146C">
            <w:pPr>
              <w:jc w:val="center"/>
            </w:pPr>
            <w:r>
              <w:rPr>
                <w:rFonts w:asciiTheme="minorEastAsia" w:eastAsiaTheme="minorEastAsia" w:hAnsiTheme="minorEastAsia" w:cs="宋体"/>
                <w:color w:val="000000" w:themeColor="text1"/>
                <w:kern w:val="0"/>
              </w:rPr>
              <w:t>603338</w:t>
            </w:r>
          </w:p>
        </w:tc>
        <w:tc>
          <w:tcPr>
            <w:tcW w:w="1701" w:type="dxa"/>
            <w:vAlign w:val="center"/>
          </w:tcPr>
          <w:p w:rsidR="00AE6898" w:rsidRDefault="0080146C">
            <w:pPr>
              <w:jc w:val="center"/>
            </w:pPr>
            <w:r>
              <w:rPr>
                <w:rFonts w:asciiTheme="minorEastAsia" w:eastAsiaTheme="minorEastAsia" w:hAnsiTheme="minorEastAsia" w:cs="宋体"/>
                <w:color w:val="000000" w:themeColor="text1"/>
                <w:kern w:val="0"/>
              </w:rPr>
              <w:t>浙江鼎力</w:t>
            </w:r>
          </w:p>
        </w:tc>
        <w:tc>
          <w:tcPr>
            <w:tcW w:w="1276" w:type="dxa"/>
            <w:vAlign w:val="center"/>
          </w:tcPr>
          <w:p w:rsidR="00AE6898" w:rsidRDefault="0080146C">
            <w:pPr>
              <w:jc w:val="right"/>
            </w:pPr>
            <w:r>
              <w:rPr>
                <w:rFonts w:asciiTheme="minorEastAsia" w:eastAsiaTheme="minorEastAsia" w:hAnsiTheme="minorEastAsia" w:cs="宋体"/>
                <w:color w:val="000000" w:themeColor="text1"/>
                <w:kern w:val="0"/>
              </w:rPr>
              <w:t>637,072.00</w:t>
            </w:r>
          </w:p>
        </w:tc>
        <w:tc>
          <w:tcPr>
            <w:tcW w:w="1842" w:type="dxa"/>
            <w:vAlign w:val="center"/>
          </w:tcPr>
          <w:p w:rsidR="00AE6898" w:rsidRDefault="0080146C">
            <w:pPr>
              <w:jc w:val="right"/>
            </w:pPr>
            <w:r>
              <w:rPr>
                <w:rFonts w:asciiTheme="minorEastAsia" w:eastAsiaTheme="minorEastAsia" w:hAnsiTheme="minorEastAsia" w:cs="宋体"/>
                <w:color w:val="000000" w:themeColor="text1"/>
                <w:kern w:val="0"/>
              </w:rPr>
              <w:t>45,550,648.00</w:t>
            </w:r>
          </w:p>
        </w:tc>
        <w:tc>
          <w:tcPr>
            <w:tcW w:w="1616" w:type="dxa"/>
            <w:vAlign w:val="center"/>
          </w:tcPr>
          <w:p w:rsidR="00AE6898" w:rsidRDefault="0080146C">
            <w:pPr>
              <w:jc w:val="right"/>
            </w:pPr>
            <w:r>
              <w:rPr>
                <w:rFonts w:asciiTheme="minorEastAsia" w:eastAsiaTheme="minorEastAsia" w:hAnsiTheme="minorEastAsia" w:cs="宋体"/>
                <w:color w:val="000000" w:themeColor="text1"/>
                <w:kern w:val="0"/>
              </w:rPr>
              <w:t>5.45</w:t>
            </w:r>
          </w:p>
        </w:tc>
      </w:tr>
      <w:tr w:rsidR="00AE6898">
        <w:tc>
          <w:tcPr>
            <w:tcW w:w="817" w:type="dxa"/>
            <w:vAlign w:val="center"/>
          </w:tcPr>
          <w:p w:rsidR="00AE6898" w:rsidRDefault="0080146C">
            <w:pPr>
              <w:jc w:val="center"/>
            </w:pPr>
            <w:r>
              <w:rPr>
                <w:rFonts w:asciiTheme="minorEastAsia" w:eastAsiaTheme="minorEastAsia" w:hAnsiTheme="minorEastAsia" w:cs="宋体"/>
                <w:color w:val="000000" w:themeColor="text1"/>
                <w:kern w:val="0"/>
              </w:rPr>
              <w:t>3</w:t>
            </w:r>
          </w:p>
        </w:tc>
        <w:tc>
          <w:tcPr>
            <w:tcW w:w="1276" w:type="dxa"/>
            <w:vAlign w:val="center"/>
          </w:tcPr>
          <w:p w:rsidR="00AE6898" w:rsidRDefault="0080146C">
            <w:pPr>
              <w:jc w:val="center"/>
            </w:pPr>
            <w:r>
              <w:rPr>
                <w:rFonts w:asciiTheme="minorEastAsia" w:eastAsiaTheme="minorEastAsia" w:hAnsiTheme="minorEastAsia" w:cs="宋体"/>
                <w:color w:val="000000" w:themeColor="text1"/>
                <w:kern w:val="0"/>
              </w:rPr>
              <w:t>600030</w:t>
            </w:r>
          </w:p>
        </w:tc>
        <w:tc>
          <w:tcPr>
            <w:tcW w:w="1701" w:type="dxa"/>
            <w:vAlign w:val="center"/>
          </w:tcPr>
          <w:p w:rsidR="00AE6898" w:rsidRDefault="0080146C">
            <w:pPr>
              <w:jc w:val="center"/>
            </w:pPr>
            <w:r>
              <w:rPr>
                <w:rFonts w:asciiTheme="minorEastAsia" w:eastAsiaTheme="minorEastAsia" w:hAnsiTheme="minorEastAsia" w:cs="宋体"/>
                <w:color w:val="000000" w:themeColor="text1"/>
                <w:kern w:val="0"/>
              </w:rPr>
              <w:t>中信证券</w:t>
            </w:r>
          </w:p>
        </w:tc>
        <w:tc>
          <w:tcPr>
            <w:tcW w:w="1276" w:type="dxa"/>
            <w:vAlign w:val="center"/>
          </w:tcPr>
          <w:p w:rsidR="00AE6898" w:rsidRDefault="0080146C">
            <w:pPr>
              <w:jc w:val="right"/>
            </w:pPr>
            <w:r>
              <w:rPr>
                <w:rFonts w:asciiTheme="minorEastAsia" w:eastAsiaTheme="minorEastAsia" w:hAnsiTheme="minorEastAsia" w:cs="宋体"/>
                <w:color w:val="000000" w:themeColor="text1"/>
                <w:kern w:val="0"/>
              </w:rPr>
              <w:t>1,434,700.00</w:t>
            </w:r>
          </w:p>
        </w:tc>
        <w:tc>
          <w:tcPr>
            <w:tcW w:w="1842" w:type="dxa"/>
            <w:vAlign w:val="center"/>
          </w:tcPr>
          <w:p w:rsidR="00AE6898" w:rsidRDefault="0080146C">
            <w:pPr>
              <w:jc w:val="right"/>
            </w:pPr>
            <w:r>
              <w:rPr>
                <w:rFonts w:asciiTheme="minorEastAsia" w:eastAsiaTheme="minorEastAsia" w:hAnsiTheme="minorEastAsia" w:cs="宋体"/>
                <w:color w:val="000000" w:themeColor="text1"/>
                <w:kern w:val="0"/>
              </w:rPr>
              <w:t>36,297,910.00</w:t>
            </w:r>
          </w:p>
        </w:tc>
        <w:tc>
          <w:tcPr>
            <w:tcW w:w="1616" w:type="dxa"/>
            <w:vAlign w:val="center"/>
          </w:tcPr>
          <w:p w:rsidR="00AE6898" w:rsidRDefault="0080146C">
            <w:pPr>
              <w:jc w:val="right"/>
            </w:pPr>
            <w:r>
              <w:rPr>
                <w:rFonts w:asciiTheme="minorEastAsia" w:eastAsiaTheme="minorEastAsia" w:hAnsiTheme="minorEastAsia" w:cs="宋体"/>
                <w:color w:val="000000" w:themeColor="text1"/>
                <w:kern w:val="0"/>
              </w:rPr>
              <w:t>4.35</w:t>
            </w:r>
          </w:p>
        </w:tc>
      </w:tr>
      <w:tr w:rsidR="00AE6898">
        <w:tc>
          <w:tcPr>
            <w:tcW w:w="817" w:type="dxa"/>
            <w:vAlign w:val="center"/>
          </w:tcPr>
          <w:p w:rsidR="00AE6898" w:rsidRDefault="0080146C">
            <w:pPr>
              <w:jc w:val="center"/>
            </w:pPr>
            <w:r>
              <w:rPr>
                <w:rFonts w:asciiTheme="minorEastAsia" w:eastAsiaTheme="minorEastAsia" w:hAnsiTheme="minorEastAsia" w:cs="宋体"/>
                <w:color w:val="000000" w:themeColor="text1"/>
                <w:kern w:val="0"/>
              </w:rPr>
              <w:t>4</w:t>
            </w:r>
          </w:p>
        </w:tc>
        <w:tc>
          <w:tcPr>
            <w:tcW w:w="1276" w:type="dxa"/>
            <w:vAlign w:val="center"/>
          </w:tcPr>
          <w:p w:rsidR="00AE6898" w:rsidRDefault="0080146C">
            <w:pPr>
              <w:jc w:val="center"/>
            </w:pPr>
            <w:r>
              <w:rPr>
                <w:rFonts w:asciiTheme="minorEastAsia" w:eastAsiaTheme="minorEastAsia" w:hAnsiTheme="minorEastAsia" w:cs="宋体"/>
                <w:color w:val="000000" w:themeColor="text1"/>
                <w:kern w:val="0"/>
              </w:rPr>
              <w:t>000333</w:t>
            </w:r>
          </w:p>
        </w:tc>
        <w:tc>
          <w:tcPr>
            <w:tcW w:w="1701" w:type="dxa"/>
            <w:vAlign w:val="center"/>
          </w:tcPr>
          <w:p w:rsidR="00AE6898" w:rsidRDefault="0080146C">
            <w:pPr>
              <w:jc w:val="center"/>
            </w:pPr>
            <w:r>
              <w:rPr>
                <w:rFonts w:asciiTheme="minorEastAsia" w:eastAsiaTheme="minorEastAsia" w:hAnsiTheme="minorEastAsia" w:cs="宋体"/>
                <w:color w:val="000000" w:themeColor="text1"/>
                <w:kern w:val="0"/>
              </w:rPr>
              <w:t>美的集团</w:t>
            </w:r>
          </w:p>
        </w:tc>
        <w:tc>
          <w:tcPr>
            <w:tcW w:w="1276" w:type="dxa"/>
            <w:vAlign w:val="center"/>
          </w:tcPr>
          <w:p w:rsidR="00AE6898" w:rsidRDefault="0080146C">
            <w:pPr>
              <w:jc w:val="right"/>
            </w:pPr>
            <w:r>
              <w:rPr>
                <w:rFonts w:asciiTheme="minorEastAsia" w:eastAsiaTheme="minorEastAsia" w:hAnsiTheme="minorEastAsia" w:cs="宋体"/>
                <w:color w:val="000000" w:themeColor="text1"/>
                <w:kern w:val="0"/>
              </w:rPr>
              <w:t>611,416.00</w:t>
            </w:r>
          </w:p>
        </w:tc>
        <w:tc>
          <w:tcPr>
            <w:tcW w:w="1842" w:type="dxa"/>
            <w:vAlign w:val="center"/>
          </w:tcPr>
          <w:p w:rsidR="00AE6898" w:rsidRDefault="0080146C">
            <w:pPr>
              <w:jc w:val="right"/>
            </w:pPr>
            <w:r>
              <w:rPr>
                <w:rFonts w:asciiTheme="minorEastAsia" w:eastAsiaTheme="minorEastAsia" w:hAnsiTheme="minorEastAsia" w:cs="宋体"/>
                <w:color w:val="000000" w:themeColor="text1"/>
                <w:kern w:val="0"/>
              </w:rPr>
              <w:t>35,614,982.00</w:t>
            </w:r>
          </w:p>
        </w:tc>
        <w:tc>
          <w:tcPr>
            <w:tcW w:w="1616" w:type="dxa"/>
            <w:vAlign w:val="center"/>
          </w:tcPr>
          <w:p w:rsidR="00AE6898" w:rsidRDefault="0080146C">
            <w:pPr>
              <w:jc w:val="right"/>
            </w:pPr>
            <w:r>
              <w:rPr>
                <w:rFonts w:asciiTheme="minorEastAsia" w:eastAsiaTheme="minorEastAsia" w:hAnsiTheme="minorEastAsia" w:cs="宋体"/>
                <w:color w:val="000000" w:themeColor="text1"/>
                <w:kern w:val="0"/>
              </w:rPr>
              <w:t>4.27</w:t>
            </w:r>
          </w:p>
        </w:tc>
      </w:tr>
      <w:tr w:rsidR="00AE6898">
        <w:tc>
          <w:tcPr>
            <w:tcW w:w="817" w:type="dxa"/>
            <w:vAlign w:val="center"/>
          </w:tcPr>
          <w:p w:rsidR="00AE6898" w:rsidRDefault="0080146C">
            <w:pPr>
              <w:jc w:val="center"/>
            </w:pPr>
            <w:r>
              <w:rPr>
                <w:rFonts w:asciiTheme="minorEastAsia" w:eastAsiaTheme="minorEastAsia" w:hAnsiTheme="minorEastAsia" w:cs="宋体"/>
                <w:color w:val="000000" w:themeColor="text1"/>
                <w:kern w:val="0"/>
              </w:rPr>
              <w:t>5</w:t>
            </w:r>
          </w:p>
        </w:tc>
        <w:tc>
          <w:tcPr>
            <w:tcW w:w="1276" w:type="dxa"/>
            <w:vAlign w:val="center"/>
          </w:tcPr>
          <w:p w:rsidR="00AE6898" w:rsidRDefault="0080146C">
            <w:pPr>
              <w:jc w:val="center"/>
            </w:pPr>
            <w:r>
              <w:rPr>
                <w:rFonts w:asciiTheme="minorEastAsia" w:eastAsiaTheme="minorEastAsia" w:hAnsiTheme="minorEastAsia" w:cs="宋体"/>
                <w:color w:val="000000" w:themeColor="text1"/>
                <w:kern w:val="0"/>
              </w:rPr>
              <w:t>601688</w:t>
            </w:r>
          </w:p>
        </w:tc>
        <w:tc>
          <w:tcPr>
            <w:tcW w:w="1701" w:type="dxa"/>
            <w:vAlign w:val="center"/>
          </w:tcPr>
          <w:p w:rsidR="00AE6898" w:rsidRDefault="0080146C">
            <w:pPr>
              <w:jc w:val="center"/>
            </w:pPr>
            <w:r>
              <w:rPr>
                <w:rFonts w:asciiTheme="minorEastAsia" w:eastAsiaTheme="minorEastAsia" w:hAnsiTheme="minorEastAsia" w:cs="宋体"/>
                <w:color w:val="000000" w:themeColor="text1"/>
                <w:kern w:val="0"/>
              </w:rPr>
              <w:t>华泰证券</w:t>
            </w:r>
          </w:p>
        </w:tc>
        <w:tc>
          <w:tcPr>
            <w:tcW w:w="1276" w:type="dxa"/>
            <w:vAlign w:val="center"/>
          </w:tcPr>
          <w:p w:rsidR="00AE6898" w:rsidRDefault="0080146C">
            <w:pPr>
              <w:jc w:val="right"/>
            </w:pPr>
            <w:r>
              <w:rPr>
                <w:rFonts w:asciiTheme="minorEastAsia" w:eastAsiaTheme="minorEastAsia" w:hAnsiTheme="minorEastAsia" w:cs="宋体"/>
                <w:color w:val="000000" w:themeColor="text1"/>
                <w:kern w:val="0"/>
              </w:rPr>
              <w:t>1,673,200.00</w:t>
            </w:r>
          </w:p>
        </w:tc>
        <w:tc>
          <w:tcPr>
            <w:tcW w:w="1842" w:type="dxa"/>
            <w:vAlign w:val="center"/>
          </w:tcPr>
          <w:p w:rsidR="00AE6898" w:rsidRDefault="0080146C">
            <w:pPr>
              <w:jc w:val="right"/>
            </w:pPr>
            <w:r>
              <w:rPr>
                <w:rFonts w:asciiTheme="minorEastAsia" w:eastAsiaTheme="minorEastAsia" w:hAnsiTheme="minorEastAsia" w:cs="宋体"/>
                <w:color w:val="000000" w:themeColor="text1"/>
                <w:kern w:val="0"/>
              </w:rPr>
              <w:t>33,982,692.00</w:t>
            </w:r>
          </w:p>
        </w:tc>
        <w:tc>
          <w:tcPr>
            <w:tcW w:w="1616" w:type="dxa"/>
            <w:vAlign w:val="center"/>
          </w:tcPr>
          <w:p w:rsidR="00AE6898" w:rsidRDefault="0080146C">
            <w:pPr>
              <w:jc w:val="right"/>
            </w:pPr>
            <w:r>
              <w:rPr>
                <w:rFonts w:asciiTheme="minorEastAsia" w:eastAsiaTheme="minorEastAsia" w:hAnsiTheme="minorEastAsia" w:cs="宋体"/>
                <w:color w:val="000000" w:themeColor="text1"/>
                <w:kern w:val="0"/>
              </w:rPr>
              <w:t>4.07</w:t>
            </w:r>
          </w:p>
        </w:tc>
      </w:tr>
      <w:tr w:rsidR="00AE6898">
        <w:tc>
          <w:tcPr>
            <w:tcW w:w="817" w:type="dxa"/>
            <w:vAlign w:val="center"/>
          </w:tcPr>
          <w:p w:rsidR="00AE6898" w:rsidRDefault="0080146C">
            <w:pPr>
              <w:jc w:val="center"/>
            </w:pPr>
            <w:r>
              <w:rPr>
                <w:rFonts w:asciiTheme="minorEastAsia" w:eastAsiaTheme="minorEastAsia" w:hAnsiTheme="minorEastAsia" w:cs="宋体"/>
                <w:color w:val="000000" w:themeColor="text1"/>
                <w:kern w:val="0"/>
              </w:rPr>
              <w:t>6</w:t>
            </w:r>
          </w:p>
        </w:tc>
        <w:tc>
          <w:tcPr>
            <w:tcW w:w="1276" w:type="dxa"/>
            <w:vAlign w:val="center"/>
          </w:tcPr>
          <w:p w:rsidR="00AE6898" w:rsidRDefault="0080146C">
            <w:pPr>
              <w:jc w:val="center"/>
            </w:pPr>
            <w:r>
              <w:rPr>
                <w:rFonts w:asciiTheme="minorEastAsia" w:eastAsiaTheme="minorEastAsia" w:hAnsiTheme="minorEastAsia" w:cs="宋体"/>
                <w:color w:val="000000" w:themeColor="text1"/>
                <w:kern w:val="0"/>
              </w:rPr>
              <w:t>600276</w:t>
            </w:r>
          </w:p>
        </w:tc>
        <w:tc>
          <w:tcPr>
            <w:tcW w:w="1701" w:type="dxa"/>
            <w:vAlign w:val="center"/>
          </w:tcPr>
          <w:p w:rsidR="00AE6898" w:rsidRDefault="0080146C">
            <w:pPr>
              <w:jc w:val="center"/>
            </w:pPr>
            <w:r>
              <w:rPr>
                <w:rFonts w:asciiTheme="minorEastAsia" w:eastAsiaTheme="minorEastAsia" w:hAnsiTheme="minorEastAsia" w:cs="宋体"/>
                <w:color w:val="000000" w:themeColor="text1"/>
                <w:kern w:val="0"/>
              </w:rPr>
              <w:t>恒瑞医药</w:t>
            </w:r>
          </w:p>
        </w:tc>
        <w:tc>
          <w:tcPr>
            <w:tcW w:w="1276" w:type="dxa"/>
            <w:vAlign w:val="center"/>
          </w:tcPr>
          <w:p w:rsidR="00AE6898" w:rsidRDefault="0080146C">
            <w:pPr>
              <w:jc w:val="right"/>
            </w:pPr>
            <w:r>
              <w:rPr>
                <w:rFonts w:asciiTheme="minorEastAsia" w:eastAsiaTheme="minorEastAsia" w:hAnsiTheme="minorEastAsia" w:cs="宋体"/>
                <w:color w:val="000000" w:themeColor="text1"/>
                <w:kern w:val="0"/>
              </w:rPr>
              <w:t>326,886.00</w:t>
            </w:r>
          </w:p>
        </w:tc>
        <w:tc>
          <w:tcPr>
            <w:tcW w:w="1842" w:type="dxa"/>
            <w:vAlign w:val="center"/>
          </w:tcPr>
          <w:p w:rsidR="00AE6898" w:rsidRDefault="0080146C">
            <w:pPr>
              <w:jc w:val="right"/>
            </w:pPr>
            <w:r>
              <w:rPr>
                <w:rFonts w:asciiTheme="minorEastAsia" w:eastAsiaTheme="minorEastAsia" w:hAnsiTheme="minorEastAsia" w:cs="宋体"/>
                <w:color w:val="000000" w:themeColor="text1"/>
                <w:kern w:val="0"/>
              </w:rPr>
              <w:t>28,609,062.72</w:t>
            </w:r>
          </w:p>
        </w:tc>
        <w:tc>
          <w:tcPr>
            <w:tcW w:w="1616" w:type="dxa"/>
            <w:vAlign w:val="center"/>
          </w:tcPr>
          <w:p w:rsidR="00AE6898" w:rsidRDefault="0080146C">
            <w:pPr>
              <w:jc w:val="right"/>
            </w:pPr>
            <w:r>
              <w:rPr>
                <w:rFonts w:asciiTheme="minorEastAsia" w:eastAsiaTheme="minorEastAsia" w:hAnsiTheme="minorEastAsia" w:cs="宋体"/>
                <w:color w:val="000000" w:themeColor="text1"/>
                <w:kern w:val="0"/>
              </w:rPr>
              <w:t>3.43</w:t>
            </w:r>
          </w:p>
        </w:tc>
      </w:tr>
      <w:tr w:rsidR="00AE6898">
        <w:tc>
          <w:tcPr>
            <w:tcW w:w="817" w:type="dxa"/>
            <w:vAlign w:val="center"/>
          </w:tcPr>
          <w:p w:rsidR="00AE6898" w:rsidRDefault="0080146C">
            <w:pPr>
              <w:jc w:val="center"/>
            </w:pPr>
            <w:r>
              <w:rPr>
                <w:rFonts w:asciiTheme="minorEastAsia" w:eastAsiaTheme="minorEastAsia" w:hAnsiTheme="minorEastAsia" w:cs="宋体"/>
                <w:color w:val="000000" w:themeColor="text1"/>
                <w:kern w:val="0"/>
              </w:rPr>
              <w:t>7</w:t>
            </w:r>
          </w:p>
        </w:tc>
        <w:tc>
          <w:tcPr>
            <w:tcW w:w="1276" w:type="dxa"/>
            <w:vAlign w:val="center"/>
          </w:tcPr>
          <w:p w:rsidR="00AE6898" w:rsidRDefault="0080146C">
            <w:pPr>
              <w:jc w:val="center"/>
            </w:pPr>
            <w:r>
              <w:rPr>
                <w:rFonts w:asciiTheme="minorEastAsia" w:eastAsiaTheme="minorEastAsia" w:hAnsiTheme="minorEastAsia" w:cs="宋体"/>
                <w:color w:val="000000" w:themeColor="text1"/>
                <w:kern w:val="0"/>
              </w:rPr>
              <w:t>600383</w:t>
            </w:r>
          </w:p>
        </w:tc>
        <w:tc>
          <w:tcPr>
            <w:tcW w:w="1701" w:type="dxa"/>
            <w:vAlign w:val="center"/>
          </w:tcPr>
          <w:p w:rsidR="00AE6898" w:rsidRDefault="0080146C">
            <w:pPr>
              <w:jc w:val="center"/>
            </w:pPr>
            <w:r>
              <w:rPr>
                <w:rFonts w:asciiTheme="minorEastAsia" w:eastAsiaTheme="minorEastAsia" w:hAnsiTheme="minorEastAsia" w:cs="宋体"/>
                <w:color w:val="000000" w:themeColor="text1"/>
                <w:kern w:val="0"/>
              </w:rPr>
              <w:t>金地集团</w:t>
            </w:r>
          </w:p>
        </w:tc>
        <w:tc>
          <w:tcPr>
            <w:tcW w:w="1276" w:type="dxa"/>
            <w:vAlign w:val="center"/>
          </w:tcPr>
          <w:p w:rsidR="00AE6898" w:rsidRDefault="0080146C">
            <w:pPr>
              <w:jc w:val="right"/>
            </w:pPr>
            <w:r>
              <w:rPr>
                <w:rFonts w:asciiTheme="minorEastAsia" w:eastAsiaTheme="minorEastAsia" w:hAnsiTheme="minorEastAsia" w:cs="宋体"/>
                <w:color w:val="000000" w:themeColor="text1"/>
                <w:kern w:val="0"/>
              </w:rPr>
              <w:t>1,882,266.00</w:t>
            </w:r>
          </w:p>
        </w:tc>
        <w:tc>
          <w:tcPr>
            <w:tcW w:w="1842" w:type="dxa"/>
            <w:vAlign w:val="center"/>
          </w:tcPr>
          <w:p w:rsidR="00AE6898" w:rsidRDefault="0080146C">
            <w:pPr>
              <w:jc w:val="right"/>
            </w:pPr>
            <w:r>
              <w:rPr>
                <w:rFonts w:asciiTheme="minorEastAsia" w:eastAsiaTheme="minorEastAsia" w:hAnsiTheme="minorEastAsia" w:cs="宋体"/>
                <w:color w:val="000000" w:themeColor="text1"/>
                <w:kern w:val="0"/>
              </w:rPr>
              <w:t>27,292,857.00</w:t>
            </w:r>
          </w:p>
        </w:tc>
        <w:tc>
          <w:tcPr>
            <w:tcW w:w="1616" w:type="dxa"/>
            <w:vAlign w:val="center"/>
          </w:tcPr>
          <w:p w:rsidR="00AE6898" w:rsidRDefault="0080146C">
            <w:pPr>
              <w:jc w:val="right"/>
            </w:pPr>
            <w:r>
              <w:rPr>
                <w:rFonts w:asciiTheme="minorEastAsia" w:eastAsiaTheme="minorEastAsia" w:hAnsiTheme="minorEastAsia" w:cs="宋体"/>
                <w:color w:val="000000" w:themeColor="text1"/>
                <w:kern w:val="0"/>
              </w:rPr>
              <w:t>3.27</w:t>
            </w:r>
          </w:p>
        </w:tc>
      </w:tr>
      <w:tr w:rsidR="00AE6898">
        <w:tc>
          <w:tcPr>
            <w:tcW w:w="817" w:type="dxa"/>
            <w:vAlign w:val="center"/>
          </w:tcPr>
          <w:p w:rsidR="00AE6898" w:rsidRDefault="0080146C">
            <w:pPr>
              <w:jc w:val="center"/>
            </w:pPr>
            <w:r>
              <w:rPr>
                <w:rFonts w:asciiTheme="minorEastAsia" w:eastAsiaTheme="minorEastAsia" w:hAnsiTheme="minorEastAsia" w:cs="宋体"/>
                <w:color w:val="000000" w:themeColor="text1"/>
                <w:kern w:val="0"/>
              </w:rPr>
              <w:t>8</w:t>
            </w:r>
          </w:p>
        </w:tc>
        <w:tc>
          <w:tcPr>
            <w:tcW w:w="1276" w:type="dxa"/>
            <w:vAlign w:val="center"/>
          </w:tcPr>
          <w:p w:rsidR="00AE6898" w:rsidRDefault="0080146C">
            <w:pPr>
              <w:jc w:val="center"/>
            </w:pPr>
            <w:r>
              <w:rPr>
                <w:rFonts w:asciiTheme="minorEastAsia" w:eastAsiaTheme="minorEastAsia" w:hAnsiTheme="minorEastAsia" w:cs="宋体"/>
                <w:color w:val="000000" w:themeColor="text1"/>
                <w:kern w:val="0"/>
              </w:rPr>
              <w:t>603799</w:t>
            </w:r>
          </w:p>
        </w:tc>
        <w:tc>
          <w:tcPr>
            <w:tcW w:w="1701" w:type="dxa"/>
            <w:vAlign w:val="center"/>
          </w:tcPr>
          <w:p w:rsidR="00AE6898" w:rsidRDefault="0080146C">
            <w:pPr>
              <w:jc w:val="center"/>
            </w:pPr>
            <w:r>
              <w:rPr>
                <w:rFonts w:asciiTheme="minorEastAsia" w:eastAsiaTheme="minorEastAsia" w:hAnsiTheme="minorEastAsia" w:cs="宋体"/>
                <w:color w:val="000000" w:themeColor="text1"/>
                <w:kern w:val="0"/>
              </w:rPr>
              <w:t>华友钴业</w:t>
            </w:r>
          </w:p>
        </w:tc>
        <w:tc>
          <w:tcPr>
            <w:tcW w:w="1276" w:type="dxa"/>
            <w:vAlign w:val="center"/>
          </w:tcPr>
          <w:p w:rsidR="00AE6898" w:rsidRDefault="0080146C">
            <w:pPr>
              <w:jc w:val="right"/>
            </w:pPr>
            <w:r>
              <w:rPr>
                <w:rFonts w:asciiTheme="minorEastAsia" w:eastAsiaTheme="minorEastAsia" w:hAnsiTheme="minorEastAsia" w:cs="宋体"/>
                <w:color w:val="000000" w:themeColor="text1"/>
                <w:kern w:val="0"/>
              </w:rPr>
              <w:t>678,480.00</w:t>
            </w:r>
          </w:p>
        </w:tc>
        <w:tc>
          <w:tcPr>
            <w:tcW w:w="1842" w:type="dxa"/>
            <w:vAlign w:val="center"/>
          </w:tcPr>
          <w:p w:rsidR="00AE6898" w:rsidRDefault="0080146C">
            <w:pPr>
              <w:jc w:val="right"/>
            </w:pPr>
            <w:r>
              <w:rPr>
                <w:rFonts w:asciiTheme="minorEastAsia" w:eastAsiaTheme="minorEastAsia" w:hAnsiTheme="minorEastAsia" w:cs="宋体"/>
                <w:color w:val="000000" w:themeColor="text1"/>
                <w:kern w:val="0"/>
              </w:rPr>
              <w:t>26,725,327.20</w:t>
            </w:r>
          </w:p>
        </w:tc>
        <w:tc>
          <w:tcPr>
            <w:tcW w:w="1616" w:type="dxa"/>
            <w:vAlign w:val="center"/>
          </w:tcPr>
          <w:p w:rsidR="00AE6898" w:rsidRDefault="0080146C">
            <w:pPr>
              <w:jc w:val="right"/>
            </w:pPr>
            <w:r>
              <w:rPr>
                <w:rFonts w:asciiTheme="minorEastAsia" w:eastAsiaTheme="minorEastAsia" w:hAnsiTheme="minorEastAsia" w:cs="宋体"/>
                <w:color w:val="000000" w:themeColor="text1"/>
                <w:kern w:val="0"/>
              </w:rPr>
              <w:t>3.20</w:t>
            </w:r>
          </w:p>
        </w:tc>
      </w:tr>
      <w:tr w:rsidR="00AE6898">
        <w:tc>
          <w:tcPr>
            <w:tcW w:w="817" w:type="dxa"/>
            <w:vAlign w:val="center"/>
          </w:tcPr>
          <w:p w:rsidR="00AE6898" w:rsidRDefault="0080146C">
            <w:pPr>
              <w:jc w:val="center"/>
            </w:pPr>
            <w:r>
              <w:rPr>
                <w:rFonts w:asciiTheme="minorEastAsia" w:eastAsiaTheme="minorEastAsia" w:hAnsiTheme="minorEastAsia" w:cs="宋体"/>
                <w:color w:val="000000" w:themeColor="text1"/>
                <w:kern w:val="0"/>
              </w:rPr>
              <w:t>9</w:t>
            </w:r>
          </w:p>
        </w:tc>
        <w:tc>
          <w:tcPr>
            <w:tcW w:w="1276" w:type="dxa"/>
            <w:vAlign w:val="center"/>
          </w:tcPr>
          <w:p w:rsidR="00AE6898" w:rsidRDefault="0080146C">
            <w:pPr>
              <w:jc w:val="center"/>
            </w:pPr>
            <w:r>
              <w:rPr>
                <w:rFonts w:asciiTheme="minorEastAsia" w:eastAsiaTheme="minorEastAsia" w:hAnsiTheme="minorEastAsia" w:cs="宋体"/>
                <w:color w:val="000000" w:themeColor="text1"/>
                <w:kern w:val="0"/>
              </w:rPr>
              <w:t>600466</w:t>
            </w:r>
          </w:p>
        </w:tc>
        <w:tc>
          <w:tcPr>
            <w:tcW w:w="1701" w:type="dxa"/>
            <w:vAlign w:val="center"/>
          </w:tcPr>
          <w:p w:rsidR="00AE6898" w:rsidRDefault="0080146C">
            <w:pPr>
              <w:jc w:val="center"/>
            </w:pPr>
            <w:r>
              <w:rPr>
                <w:rFonts w:asciiTheme="minorEastAsia" w:eastAsiaTheme="minorEastAsia" w:hAnsiTheme="minorEastAsia" w:cs="宋体"/>
                <w:color w:val="000000" w:themeColor="text1"/>
                <w:kern w:val="0"/>
              </w:rPr>
              <w:t>蓝光发展</w:t>
            </w:r>
          </w:p>
        </w:tc>
        <w:tc>
          <w:tcPr>
            <w:tcW w:w="1276" w:type="dxa"/>
            <w:vAlign w:val="center"/>
          </w:tcPr>
          <w:p w:rsidR="00AE6898" w:rsidRDefault="0080146C">
            <w:pPr>
              <w:jc w:val="right"/>
            </w:pPr>
            <w:r>
              <w:rPr>
                <w:rFonts w:asciiTheme="minorEastAsia" w:eastAsiaTheme="minorEastAsia" w:hAnsiTheme="minorEastAsia" w:cs="宋体"/>
                <w:color w:val="000000" w:themeColor="text1"/>
                <w:kern w:val="0"/>
              </w:rPr>
              <w:t>3,620,000.00</w:t>
            </w:r>
          </w:p>
        </w:tc>
        <w:tc>
          <w:tcPr>
            <w:tcW w:w="1842" w:type="dxa"/>
            <w:vAlign w:val="center"/>
          </w:tcPr>
          <w:p w:rsidR="00AE6898" w:rsidRDefault="0080146C">
            <w:pPr>
              <w:jc w:val="right"/>
            </w:pPr>
            <w:r>
              <w:rPr>
                <w:rFonts w:asciiTheme="minorEastAsia" w:eastAsiaTheme="minorEastAsia" w:hAnsiTheme="minorEastAsia" w:cs="宋体"/>
                <w:color w:val="000000" w:themeColor="text1"/>
                <w:kern w:val="0"/>
              </w:rPr>
              <w:t>26,679,400.00</w:t>
            </w:r>
          </w:p>
        </w:tc>
        <w:tc>
          <w:tcPr>
            <w:tcW w:w="1616" w:type="dxa"/>
            <w:vAlign w:val="center"/>
          </w:tcPr>
          <w:p w:rsidR="00AE6898" w:rsidRDefault="0080146C">
            <w:pPr>
              <w:jc w:val="right"/>
            </w:pPr>
            <w:r>
              <w:rPr>
                <w:rFonts w:asciiTheme="minorEastAsia" w:eastAsiaTheme="minorEastAsia" w:hAnsiTheme="minorEastAsia" w:cs="宋体"/>
                <w:color w:val="000000" w:themeColor="text1"/>
                <w:kern w:val="0"/>
              </w:rPr>
              <w:t>3.19</w:t>
            </w:r>
          </w:p>
        </w:tc>
      </w:tr>
      <w:tr w:rsidR="00AE6898">
        <w:tc>
          <w:tcPr>
            <w:tcW w:w="817" w:type="dxa"/>
            <w:vAlign w:val="center"/>
          </w:tcPr>
          <w:p w:rsidR="00AE6898" w:rsidRDefault="0080146C">
            <w:pPr>
              <w:jc w:val="center"/>
            </w:pPr>
            <w:r>
              <w:rPr>
                <w:rFonts w:asciiTheme="minorEastAsia" w:eastAsiaTheme="minorEastAsia" w:hAnsiTheme="minorEastAsia" w:cs="宋体"/>
                <w:color w:val="000000" w:themeColor="text1"/>
                <w:kern w:val="0"/>
              </w:rPr>
              <w:t>10</w:t>
            </w:r>
          </w:p>
        </w:tc>
        <w:tc>
          <w:tcPr>
            <w:tcW w:w="1276" w:type="dxa"/>
            <w:vAlign w:val="center"/>
          </w:tcPr>
          <w:p w:rsidR="00AE6898" w:rsidRDefault="0080146C">
            <w:pPr>
              <w:jc w:val="center"/>
            </w:pPr>
            <w:r>
              <w:rPr>
                <w:rFonts w:asciiTheme="minorEastAsia" w:eastAsiaTheme="minorEastAsia" w:hAnsiTheme="minorEastAsia" w:cs="宋体"/>
                <w:color w:val="000000" w:themeColor="text1"/>
                <w:kern w:val="0"/>
              </w:rPr>
              <w:t>601166</w:t>
            </w:r>
          </w:p>
        </w:tc>
        <w:tc>
          <w:tcPr>
            <w:tcW w:w="1701" w:type="dxa"/>
            <w:vAlign w:val="center"/>
          </w:tcPr>
          <w:p w:rsidR="00AE6898" w:rsidRDefault="0080146C">
            <w:pPr>
              <w:jc w:val="center"/>
            </w:pPr>
            <w:r>
              <w:rPr>
                <w:rFonts w:asciiTheme="minorEastAsia" w:eastAsiaTheme="minorEastAsia" w:hAnsiTheme="minorEastAsia" w:cs="宋体"/>
                <w:color w:val="000000" w:themeColor="text1"/>
                <w:kern w:val="0"/>
              </w:rPr>
              <w:t>兴业银行</w:t>
            </w:r>
          </w:p>
        </w:tc>
        <w:tc>
          <w:tcPr>
            <w:tcW w:w="1276" w:type="dxa"/>
            <w:vAlign w:val="center"/>
          </w:tcPr>
          <w:p w:rsidR="00AE6898" w:rsidRDefault="0080146C">
            <w:pPr>
              <w:jc w:val="right"/>
            </w:pPr>
            <w:r>
              <w:rPr>
                <w:rFonts w:asciiTheme="minorEastAsia" w:eastAsiaTheme="minorEastAsia" w:hAnsiTheme="minorEastAsia" w:cs="宋体"/>
                <w:color w:val="000000" w:themeColor="text1"/>
                <w:kern w:val="0"/>
              </w:rPr>
              <w:t>1,345,300.00</w:t>
            </w:r>
          </w:p>
        </w:tc>
        <w:tc>
          <w:tcPr>
            <w:tcW w:w="1842" w:type="dxa"/>
            <w:vAlign w:val="center"/>
          </w:tcPr>
          <w:p w:rsidR="00AE6898" w:rsidRDefault="0080146C">
            <w:pPr>
              <w:jc w:val="right"/>
            </w:pPr>
            <w:r>
              <w:rPr>
                <w:rFonts w:asciiTheme="minorEastAsia" w:eastAsiaTheme="minorEastAsia" w:hAnsiTheme="minorEastAsia" w:cs="宋体"/>
                <w:color w:val="000000" w:themeColor="text1"/>
                <w:kern w:val="0"/>
              </w:rPr>
              <w:t>26,636,940.00</w:t>
            </w:r>
          </w:p>
        </w:tc>
        <w:tc>
          <w:tcPr>
            <w:tcW w:w="1616" w:type="dxa"/>
            <w:vAlign w:val="center"/>
          </w:tcPr>
          <w:p w:rsidR="00AE6898" w:rsidRDefault="0080146C">
            <w:pPr>
              <w:jc w:val="right"/>
            </w:pPr>
            <w:r>
              <w:rPr>
                <w:rFonts w:asciiTheme="minorEastAsia" w:eastAsiaTheme="minorEastAsia" w:hAnsiTheme="minorEastAsia" w:cs="宋体"/>
                <w:color w:val="000000" w:themeColor="text1"/>
                <w:kern w:val="0"/>
              </w:rPr>
              <w:t>3.19</w:t>
            </w:r>
          </w:p>
        </w:tc>
      </w:tr>
    </w:tbl>
    <w:p w:rsidR="00AE6898" w:rsidRDefault="00AE689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AE6898" w:rsidRDefault="00AE689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AE6898" w:rsidRDefault="00AE689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AE6898" w:rsidRDefault="0080146C">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AE6898" w:rsidRDefault="00AE689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AE6898" w:rsidRDefault="00AE6898">
      <w:pPr>
        <w:adjustRightInd w:val="0"/>
        <w:snapToGrid w:val="0"/>
        <w:spacing w:line="360" w:lineRule="exact"/>
        <w:rPr>
          <w:rFonts w:asciiTheme="minorEastAsia" w:eastAsiaTheme="minorEastAsia" w:hAnsiTheme="minorEastAsia"/>
          <w:color w:val="000000" w:themeColor="text1"/>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AE6898" w:rsidRDefault="0080146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AE6898" w:rsidRDefault="0080146C">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AE6898">
        <w:tc>
          <w:tcPr>
            <w:tcW w:w="1235"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AE6898" w:rsidRDefault="0080146C">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AE6898">
        <w:tc>
          <w:tcPr>
            <w:tcW w:w="1235" w:type="dxa"/>
            <w:vAlign w:val="center"/>
          </w:tcPr>
          <w:p w:rsidR="00AE6898" w:rsidRDefault="0080146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AE6898" w:rsidRDefault="0080146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AE6898" w:rsidRDefault="0080146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282,667.57</w:t>
            </w:r>
          </w:p>
        </w:tc>
      </w:tr>
      <w:tr w:rsidR="00AE6898">
        <w:tc>
          <w:tcPr>
            <w:tcW w:w="1235" w:type="dxa"/>
            <w:vAlign w:val="center"/>
          </w:tcPr>
          <w:p w:rsidR="00AE6898" w:rsidRDefault="0080146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AE6898" w:rsidRDefault="0080146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AE6898" w:rsidRDefault="0080146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8,660,981.01</w:t>
            </w:r>
          </w:p>
        </w:tc>
      </w:tr>
      <w:tr w:rsidR="00AE6898">
        <w:tc>
          <w:tcPr>
            <w:tcW w:w="1235" w:type="dxa"/>
            <w:vAlign w:val="center"/>
          </w:tcPr>
          <w:p w:rsidR="00AE6898" w:rsidRDefault="0080146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AE6898" w:rsidRDefault="0080146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AE6898" w:rsidRDefault="0080146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AE6898">
        <w:tc>
          <w:tcPr>
            <w:tcW w:w="1235" w:type="dxa"/>
            <w:vAlign w:val="center"/>
          </w:tcPr>
          <w:p w:rsidR="00AE6898" w:rsidRDefault="0080146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AE6898" w:rsidRDefault="0080146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AE6898" w:rsidRDefault="0080146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29,008.94</w:t>
            </w:r>
          </w:p>
        </w:tc>
      </w:tr>
      <w:tr w:rsidR="00AE6898">
        <w:tc>
          <w:tcPr>
            <w:tcW w:w="1235" w:type="dxa"/>
            <w:vAlign w:val="center"/>
          </w:tcPr>
          <w:p w:rsidR="00AE6898" w:rsidRDefault="0080146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AE6898" w:rsidRDefault="0080146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AE6898" w:rsidRDefault="0080146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90,745.36</w:t>
            </w:r>
          </w:p>
        </w:tc>
      </w:tr>
      <w:tr w:rsidR="00AE6898">
        <w:tc>
          <w:tcPr>
            <w:tcW w:w="1235" w:type="dxa"/>
            <w:vAlign w:val="center"/>
          </w:tcPr>
          <w:p w:rsidR="00AE6898" w:rsidRDefault="0080146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AE6898" w:rsidRDefault="0080146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AE6898" w:rsidRDefault="0080146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AE6898">
        <w:tc>
          <w:tcPr>
            <w:tcW w:w="1235" w:type="dxa"/>
            <w:vAlign w:val="center"/>
          </w:tcPr>
          <w:p w:rsidR="00AE6898" w:rsidRDefault="0080146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AE6898" w:rsidRDefault="0080146C">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AE6898" w:rsidRDefault="0080146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AE6898">
        <w:tc>
          <w:tcPr>
            <w:tcW w:w="1235" w:type="dxa"/>
            <w:vAlign w:val="center"/>
          </w:tcPr>
          <w:p w:rsidR="00AE6898" w:rsidRDefault="0080146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AE6898" w:rsidRDefault="0080146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AE6898" w:rsidRDefault="0080146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AE6898">
        <w:tc>
          <w:tcPr>
            <w:tcW w:w="1235" w:type="dxa"/>
            <w:vAlign w:val="center"/>
          </w:tcPr>
          <w:p w:rsidR="00AE6898" w:rsidRDefault="0080146C">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AE6898" w:rsidRDefault="0080146C">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AE6898" w:rsidRDefault="0080146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9,063,402.88</w:t>
            </w:r>
          </w:p>
        </w:tc>
      </w:tr>
    </w:tbl>
    <w:p w:rsidR="00AE6898" w:rsidRDefault="00AE6898">
      <w:pPr>
        <w:autoSpaceDE w:val="0"/>
        <w:autoSpaceDN w:val="0"/>
        <w:adjustRightInd w:val="0"/>
        <w:spacing w:line="360" w:lineRule="auto"/>
        <w:rPr>
          <w:rFonts w:asciiTheme="minorEastAsia" w:eastAsiaTheme="minorEastAsia" w:hAnsiTheme="minorEastAsia"/>
          <w:color w:val="000000" w:themeColor="text1"/>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AE6898" w:rsidRDefault="00AE6898">
      <w:pPr>
        <w:autoSpaceDE w:val="0"/>
        <w:autoSpaceDN w:val="0"/>
        <w:adjustRightInd w:val="0"/>
        <w:spacing w:line="360" w:lineRule="auto"/>
        <w:rPr>
          <w:rFonts w:asciiTheme="minorEastAsia" w:eastAsiaTheme="minorEastAsia" w:hAnsiTheme="minorEastAsia"/>
          <w:color w:val="000000" w:themeColor="text1"/>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tbl>
      <w:tblPr>
        <w:tblStyle w:val="af8"/>
        <w:tblW w:w="8513" w:type="dxa"/>
        <w:tblInd w:w="15" w:type="dxa"/>
        <w:tblLayout w:type="fixed"/>
        <w:tblLook w:val="04A0" w:firstRow="1" w:lastRow="0" w:firstColumn="1" w:lastColumn="0" w:noHBand="0" w:noVBand="1"/>
      </w:tblPr>
      <w:tblGrid>
        <w:gridCol w:w="1083"/>
        <w:gridCol w:w="1302"/>
        <w:gridCol w:w="1301"/>
        <w:gridCol w:w="1805"/>
        <w:gridCol w:w="1655"/>
        <w:gridCol w:w="1367"/>
      </w:tblGrid>
      <w:tr w:rsidR="00AE6898">
        <w:tc>
          <w:tcPr>
            <w:tcW w:w="1083"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02"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301"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805"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流通受限部分的公允价值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55"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c>
          <w:tcPr>
            <w:tcW w:w="1367" w:type="dxa"/>
            <w:vAlign w:val="center"/>
          </w:tcPr>
          <w:p w:rsidR="00AE6898" w:rsidRDefault="0080146C">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流通受限情况说明</w:t>
            </w:r>
          </w:p>
        </w:tc>
      </w:tr>
      <w:tr w:rsidR="00AE6898">
        <w:tc>
          <w:tcPr>
            <w:tcW w:w="1083" w:type="dxa"/>
            <w:vAlign w:val="center"/>
          </w:tcPr>
          <w:p w:rsidR="00AE6898" w:rsidRDefault="0080146C">
            <w:pPr>
              <w:jc w:val="center"/>
            </w:pPr>
            <w:r>
              <w:rPr>
                <w:rFonts w:asciiTheme="minorEastAsia" w:eastAsiaTheme="minorEastAsia" w:hAnsiTheme="minorEastAsia" w:cs="宋体"/>
                <w:color w:val="000000" w:themeColor="text1"/>
                <w:kern w:val="0"/>
              </w:rPr>
              <w:t>1</w:t>
            </w:r>
          </w:p>
        </w:tc>
        <w:tc>
          <w:tcPr>
            <w:tcW w:w="1302" w:type="dxa"/>
            <w:vAlign w:val="center"/>
          </w:tcPr>
          <w:p w:rsidR="00AE6898" w:rsidRDefault="0080146C">
            <w:pPr>
              <w:jc w:val="center"/>
            </w:pPr>
            <w:r>
              <w:rPr>
                <w:rFonts w:asciiTheme="minorEastAsia" w:eastAsiaTheme="minorEastAsia" w:hAnsiTheme="minorEastAsia" w:cs="宋体"/>
                <w:color w:val="000000" w:themeColor="text1"/>
                <w:kern w:val="0"/>
              </w:rPr>
              <w:t>603799</w:t>
            </w:r>
          </w:p>
        </w:tc>
        <w:tc>
          <w:tcPr>
            <w:tcW w:w="1301" w:type="dxa"/>
            <w:vAlign w:val="center"/>
          </w:tcPr>
          <w:p w:rsidR="00AE6898" w:rsidRDefault="0080146C">
            <w:pPr>
              <w:jc w:val="center"/>
            </w:pPr>
            <w:r>
              <w:rPr>
                <w:rFonts w:asciiTheme="minorEastAsia" w:eastAsiaTheme="minorEastAsia" w:hAnsiTheme="minorEastAsia" w:cs="宋体"/>
                <w:color w:val="000000" w:themeColor="text1"/>
                <w:kern w:val="0"/>
              </w:rPr>
              <w:t>华友钴业</w:t>
            </w:r>
          </w:p>
        </w:tc>
        <w:tc>
          <w:tcPr>
            <w:tcW w:w="1805" w:type="dxa"/>
            <w:vAlign w:val="center"/>
          </w:tcPr>
          <w:p w:rsidR="00AE6898" w:rsidRDefault="0080146C">
            <w:pPr>
              <w:jc w:val="right"/>
            </w:pPr>
            <w:r>
              <w:rPr>
                <w:rFonts w:asciiTheme="minorEastAsia" w:eastAsiaTheme="minorEastAsia" w:hAnsiTheme="minorEastAsia" w:cs="宋体"/>
                <w:color w:val="000000" w:themeColor="text1"/>
                <w:kern w:val="0"/>
              </w:rPr>
              <w:t>26,725,327.20</w:t>
            </w:r>
          </w:p>
        </w:tc>
        <w:tc>
          <w:tcPr>
            <w:tcW w:w="1655" w:type="dxa"/>
            <w:vAlign w:val="center"/>
          </w:tcPr>
          <w:p w:rsidR="00AE6898" w:rsidRDefault="0080146C">
            <w:pPr>
              <w:jc w:val="right"/>
            </w:pPr>
            <w:r>
              <w:rPr>
                <w:rFonts w:asciiTheme="minorEastAsia" w:eastAsiaTheme="minorEastAsia" w:hAnsiTheme="minorEastAsia" w:cs="宋体"/>
                <w:color w:val="000000" w:themeColor="text1"/>
                <w:kern w:val="0"/>
              </w:rPr>
              <w:t>3.20</w:t>
            </w:r>
          </w:p>
        </w:tc>
        <w:tc>
          <w:tcPr>
            <w:tcW w:w="1367" w:type="dxa"/>
            <w:vAlign w:val="center"/>
          </w:tcPr>
          <w:p w:rsidR="00AE6898" w:rsidRDefault="0080146C">
            <w:pPr>
              <w:jc w:val="right"/>
            </w:pPr>
            <w:r>
              <w:rPr>
                <w:rFonts w:asciiTheme="minorEastAsia" w:eastAsiaTheme="minorEastAsia" w:hAnsiTheme="minorEastAsia" w:cs="宋体"/>
                <w:color w:val="000000" w:themeColor="text1"/>
                <w:kern w:val="0"/>
              </w:rPr>
              <w:t>筹划重大事项</w:t>
            </w:r>
          </w:p>
        </w:tc>
      </w:tr>
    </w:tbl>
    <w:p w:rsidR="00AE6898" w:rsidRDefault="00AE6898">
      <w:pPr>
        <w:autoSpaceDE w:val="0"/>
        <w:autoSpaceDN w:val="0"/>
        <w:adjustRightInd w:val="0"/>
        <w:spacing w:line="360" w:lineRule="auto"/>
        <w:rPr>
          <w:rFonts w:asciiTheme="minorEastAsia" w:eastAsiaTheme="minorEastAsia" w:hAnsiTheme="minorEastAsia"/>
          <w:color w:val="000000" w:themeColor="text1"/>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AE6898" w:rsidRDefault="0080146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AE6898" w:rsidRDefault="0080146C">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AE6898">
        <w:tc>
          <w:tcPr>
            <w:tcW w:w="4609" w:type="dxa"/>
            <w:tcBorders>
              <w:top w:val="single" w:sz="8" w:space="0" w:color="000000"/>
              <w:left w:val="single" w:sz="8" w:space="0" w:color="000000"/>
              <w:bottom w:val="single" w:sz="8" w:space="0" w:color="000000"/>
              <w:right w:val="single" w:sz="8" w:space="0" w:color="000000"/>
            </w:tcBorders>
            <w:vAlign w:val="center"/>
          </w:tcPr>
          <w:p w:rsidR="00AE6898" w:rsidRDefault="0080146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E6898" w:rsidRDefault="0080146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1,353,572,978.53</w:t>
            </w:r>
          </w:p>
        </w:tc>
      </w:tr>
      <w:tr w:rsidR="00AE6898">
        <w:tc>
          <w:tcPr>
            <w:tcW w:w="4609" w:type="dxa"/>
            <w:tcBorders>
              <w:top w:val="single" w:sz="8" w:space="0" w:color="000000"/>
              <w:left w:val="single" w:sz="8" w:space="0" w:color="000000"/>
              <w:bottom w:val="single" w:sz="8" w:space="0" w:color="000000"/>
              <w:right w:val="single" w:sz="8" w:space="0" w:color="000000"/>
            </w:tcBorders>
            <w:vAlign w:val="center"/>
          </w:tcPr>
          <w:p w:rsidR="00AE6898" w:rsidRDefault="0080146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E6898" w:rsidRDefault="0080146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5,809,767.06</w:t>
            </w:r>
          </w:p>
        </w:tc>
      </w:tr>
      <w:tr w:rsidR="00AE6898">
        <w:tc>
          <w:tcPr>
            <w:tcW w:w="4609" w:type="dxa"/>
            <w:tcBorders>
              <w:top w:val="single" w:sz="8" w:space="0" w:color="000000"/>
              <w:left w:val="single" w:sz="8" w:space="0" w:color="000000"/>
              <w:bottom w:val="single" w:sz="8" w:space="0" w:color="000000"/>
              <w:right w:val="single" w:sz="8" w:space="0" w:color="000000"/>
            </w:tcBorders>
            <w:vAlign w:val="center"/>
          </w:tcPr>
          <w:p w:rsidR="00AE6898" w:rsidRDefault="0080146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E6898" w:rsidRDefault="0080146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84,336,600.45</w:t>
            </w:r>
          </w:p>
        </w:tc>
      </w:tr>
      <w:tr w:rsidR="00AE6898">
        <w:tc>
          <w:tcPr>
            <w:tcW w:w="4609" w:type="dxa"/>
            <w:tcBorders>
              <w:top w:val="single" w:sz="8" w:space="0" w:color="000000"/>
              <w:left w:val="single" w:sz="8" w:space="0" w:color="000000"/>
              <w:bottom w:val="single" w:sz="8" w:space="0" w:color="000000"/>
              <w:right w:val="single" w:sz="8" w:space="0" w:color="000000"/>
            </w:tcBorders>
            <w:vAlign w:val="center"/>
          </w:tcPr>
          <w:p w:rsidR="00AE6898" w:rsidRDefault="0080146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E6898" w:rsidRDefault="0080146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AE6898">
        <w:tc>
          <w:tcPr>
            <w:tcW w:w="4609" w:type="dxa"/>
            <w:tcBorders>
              <w:top w:val="single" w:sz="8" w:space="0" w:color="000000"/>
              <w:left w:val="single" w:sz="8" w:space="0" w:color="000000"/>
              <w:bottom w:val="single" w:sz="8" w:space="0" w:color="000000"/>
              <w:right w:val="single" w:sz="8" w:space="0" w:color="000000"/>
            </w:tcBorders>
            <w:vAlign w:val="center"/>
          </w:tcPr>
          <w:p w:rsidR="00AE6898" w:rsidRDefault="0080146C">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E6898" w:rsidRDefault="0080146C">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1,275,046,145.14</w:t>
            </w:r>
          </w:p>
        </w:tc>
      </w:tr>
    </w:tbl>
    <w:p w:rsidR="00AE6898" w:rsidRDefault="0080146C">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AE6898" w:rsidRDefault="0080146C">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AE6898" w:rsidRDefault="0080146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AE6898" w:rsidRDefault="00AE689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AE6898" w:rsidRDefault="0080146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中国证监会批准上投摩根整合驱动灵活配置混合型证券投资基金设立的文件；</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 《上投摩根整合驱动灵活配置混合型证券投资基金基金合同》；</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 《上投摩根整合驱动灵活配置混合型证券投资基金托管协议》；</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 《上投摩根开放式基金业务规则》；</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 基金管理人业务资格批件、营业执照；</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 基金托管人业务资格批件和营业执照。</w:t>
      </w:r>
    </w:p>
    <w:p w:rsidR="00AE6898" w:rsidRDefault="00AE6898">
      <w:pPr>
        <w:spacing w:line="360" w:lineRule="auto"/>
        <w:ind w:firstLineChars="200" w:firstLine="480"/>
        <w:rPr>
          <w:rFonts w:asciiTheme="minorEastAsia" w:eastAsiaTheme="minorEastAsia" w:hAnsiTheme="minorEastAsia"/>
          <w:color w:val="000000" w:themeColor="text1"/>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AE6898" w:rsidRDefault="00AE6898">
      <w:pPr>
        <w:spacing w:line="360" w:lineRule="auto"/>
        <w:ind w:firstLineChars="200" w:firstLine="480"/>
        <w:rPr>
          <w:rFonts w:asciiTheme="minorEastAsia" w:eastAsiaTheme="minorEastAsia" w:hAnsiTheme="minorEastAsia"/>
          <w:color w:val="000000" w:themeColor="text1"/>
          <w:sz w:val="24"/>
          <w:szCs w:val="24"/>
        </w:rPr>
      </w:pPr>
    </w:p>
    <w:p w:rsidR="00AE6898" w:rsidRDefault="0080146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AE6898" w:rsidRDefault="0080146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AE6898" w:rsidRDefault="00AE6898">
      <w:pPr>
        <w:spacing w:line="360" w:lineRule="auto"/>
        <w:ind w:left="840"/>
        <w:jc w:val="right"/>
        <w:rPr>
          <w:rFonts w:asciiTheme="minorEastAsia" w:eastAsiaTheme="minorEastAsia" w:hAnsiTheme="minorEastAsia"/>
          <w:color w:val="000000" w:themeColor="text1"/>
          <w:sz w:val="24"/>
          <w:szCs w:val="24"/>
        </w:rPr>
      </w:pPr>
    </w:p>
    <w:p w:rsidR="00AE6898" w:rsidRDefault="00AE6898">
      <w:pPr>
        <w:spacing w:line="360" w:lineRule="auto"/>
        <w:ind w:left="840"/>
        <w:jc w:val="right"/>
        <w:rPr>
          <w:rFonts w:asciiTheme="minorEastAsia" w:eastAsiaTheme="minorEastAsia" w:hAnsiTheme="minorEastAsia"/>
          <w:color w:val="000000" w:themeColor="text1"/>
          <w:sz w:val="24"/>
          <w:szCs w:val="24"/>
        </w:rPr>
      </w:pPr>
    </w:p>
    <w:p w:rsidR="00AE6898" w:rsidRDefault="00AE6898">
      <w:pPr>
        <w:spacing w:line="360" w:lineRule="auto"/>
        <w:ind w:left="840"/>
        <w:jc w:val="right"/>
        <w:rPr>
          <w:rFonts w:asciiTheme="minorEastAsia" w:eastAsiaTheme="minorEastAsia" w:hAnsiTheme="minorEastAsia"/>
          <w:color w:val="000000" w:themeColor="text1"/>
          <w:sz w:val="24"/>
          <w:szCs w:val="24"/>
        </w:rPr>
      </w:pPr>
    </w:p>
    <w:p w:rsidR="00AE6898" w:rsidRDefault="00AE6898">
      <w:pPr>
        <w:spacing w:line="360" w:lineRule="auto"/>
        <w:ind w:left="840"/>
        <w:jc w:val="right"/>
        <w:rPr>
          <w:rFonts w:asciiTheme="minorEastAsia" w:eastAsiaTheme="minorEastAsia" w:hAnsiTheme="minorEastAsia"/>
          <w:color w:val="000000" w:themeColor="text1"/>
          <w:sz w:val="24"/>
          <w:szCs w:val="24"/>
        </w:rPr>
      </w:pPr>
    </w:p>
    <w:p w:rsidR="00AE6898" w:rsidRDefault="00AE6898">
      <w:pPr>
        <w:spacing w:line="360" w:lineRule="auto"/>
        <w:ind w:left="840"/>
        <w:jc w:val="right"/>
        <w:rPr>
          <w:rFonts w:asciiTheme="minorEastAsia" w:eastAsiaTheme="minorEastAsia" w:hAnsiTheme="minorEastAsia"/>
          <w:color w:val="000000" w:themeColor="text1"/>
          <w:sz w:val="24"/>
          <w:szCs w:val="24"/>
        </w:rPr>
      </w:pPr>
    </w:p>
    <w:p w:rsidR="00AE6898" w:rsidRDefault="00AE6898">
      <w:pPr>
        <w:spacing w:line="360" w:lineRule="auto"/>
        <w:ind w:left="840"/>
        <w:jc w:val="right"/>
        <w:rPr>
          <w:rFonts w:asciiTheme="minorEastAsia" w:eastAsiaTheme="minorEastAsia" w:hAnsiTheme="minorEastAsia"/>
          <w:color w:val="000000" w:themeColor="text1"/>
          <w:sz w:val="24"/>
          <w:szCs w:val="24"/>
        </w:rPr>
      </w:pPr>
    </w:p>
    <w:p w:rsidR="00AE6898" w:rsidRDefault="00AE6898">
      <w:pPr>
        <w:spacing w:line="360" w:lineRule="auto"/>
        <w:ind w:left="840"/>
        <w:jc w:val="right"/>
        <w:rPr>
          <w:rFonts w:asciiTheme="minorEastAsia" w:eastAsiaTheme="minorEastAsia" w:hAnsiTheme="minorEastAsia"/>
          <w:color w:val="000000" w:themeColor="text1"/>
          <w:sz w:val="24"/>
          <w:szCs w:val="24"/>
        </w:rPr>
      </w:pPr>
    </w:p>
    <w:p w:rsidR="00AE6898" w:rsidRDefault="00AE6898">
      <w:pPr>
        <w:spacing w:line="360" w:lineRule="auto"/>
        <w:ind w:left="840"/>
        <w:jc w:val="right"/>
        <w:rPr>
          <w:rFonts w:asciiTheme="minorEastAsia" w:eastAsiaTheme="minorEastAsia" w:hAnsiTheme="minorEastAsia"/>
          <w:color w:val="000000" w:themeColor="text1"/>
          <w:sz w:val="24"/>
          <w:szCs w:val="24"/>
        </w:rPr>
      </w:pPr>
    </w:p>
    <w:p w:rsidR="00AE6898" w:rsidRDefault="0080146C">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AE6898" w:rsidRDefault="0080146C">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二〇二〇年一月二十日</w:t>
      </w:r>
    </w:p>
    <w:p w:rsidR="00AE6898" w:rsidRDefault="00AE6898">
      <w:pPr>
        <w:spacing w:line="360" w:lineRule="auto"/>
        <w:ind w:left="840"/>
        <w:jc w:val="right"/>
        <w:rPr>
          <w:rFonts w:asciiTheme="minorEastAsia" w:eastAsiaTheme="minorEastAsia" w:hAnsiTheme="minorEastAsia"/>
          <w:b/>
          <w:bCs/>
          <w:color w:val="000000" w:themeColor="text1"/>
          <w:sz w:val="24"/>
          <w:szCs w:val="24"/>
        </w:rPr>
      </w:pPr>
    </w:p>
    <w:p w:rsidR="00AE6898" w:rsidRDefault="00AE6898">
      <w:pPr>
        <w:rPr>
          <w:rFonts w:asciiTheme="minorEastAsia" w:eastAsiaTheme="minorEastAsia" w:hAnsiTheme="minorEastAsia"/>
          <w:color w:val="000000" w:themeColor="text1"/>
          <w:sz w:val="24"/>
          <w:szCs w:val="24"/>
        </w:rPr>
      </w:pPr>
    </w:p>
    <w:sectPr w:rsidR="00AE689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E53" w:rsidRDefault="0080146C">
      <w:r>
        <w:separator/>
      </w:r>
    </w:p>
  </w:endnote>
  <w:endnote w:type="continuationSeparator" w:id="0">
    <w:p w:rsidR="00E60E53" w:rsidRDefault="0080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98" w:rsidRDefault="0080146C">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5C53FE" w:rsidRPr="005C53FE">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98" w:rsidRDefault="0080146C">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5C53FE">
      <w:rPr>
        <w:rStyle w:val="af3"/>
        <w:noProof/>
      </w:rPr>
      <w:t>2</w:t>
    </w:r>
    <w:r>
      <w:rPr>
        <w:rStyle w:val="af3"/>
      </w:rPr>
      <w:fldChar w:fldCharType="end"/>
    </w:r>
  </w:p>
  <w:p w:rsidR="00AE6898" w:rsidRDefault="00AE68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E53" w:rsidRDefault="0080146C">
      <w:r>
        <w:separator/>
      </w:r>
    </w:p>
  </w:footnote>
  <w:footnote w:type="continuationSeparator" w:id="0">
    <w:p w:rsidR="00E60E53" w:rsidRDefault="0080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98" w:rsidRDefault="0080146C">
    <w:pPr>
      <w:pStyle w:val="ad"/>
      <w:pBdr>
        <w:bottom w:val="single" w:sz="6" w:space="0" w:color="auto"/>
      </w:pBdr>
      <w:jc w:val="right"/>
    </w:pPr>
    <w:r>
      <w:rPr>
        <w:rFonts w:hint="eastAsia"/>
      </w:rPr>
      <w:t>上投摩根整合驱动灵活配置混合型证券投资基金</w:t>
    </w:r>
    <w:r>
      <w:rPr>
        <w:rFonts w:hint="eastAsia"/>
      </w:rPr>
      <w:t>2019</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3FE"/>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6C"/>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6898"/>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60E53"/>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7F9F7-1F64-449F-A4A2-00AF1899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8B9A3-0BF9-4076-A16C-8CB71774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Ersong Zhu</cp:lastModifiedBy>
  <cp:revision>266</cp:revision>
  <dcterms:created xsi:type="dcterms:W3CDTF">2012-10-16T06:07:00Z</dcterms:created>
  <dcterms:modified xsi:type="dcterms:W3CDTF">2020-01-16T11:30:00Z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