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上投摩根整合驱动灵活配置混合型证券投资基金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年第</w:t>
      </w:r>
      <w:r w:rsidRPr="00FF6B9A">
        <w:rPr>
          <w:rFonts w:eastAsiaTheme="minorEastAsia"/>
          <w:b/>
          <w:color w:val="000000" w:themeColor="text1"/>
          <w:sz w:val="36"/>
          <w:szCs w:val="36"/>
        </w:rPr>
        <w:t>1</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w:t>
      </w:r>
      <w:r w:rsidRPr="00FF6B9A">
        <w:rPr>
          <w:rFonts w:eastAsiaTheme="minorEastAsia"/>
          <w:b/>
          <w:color w:val="000000" w:themeColor="text1"/>
          <w:sz w:val="36"/>
          <w:szCs w:val="36"/>
        </w:rPr>
        <w:t>3</w:t>
      </w:r>
      <w:r w:rsidRPr="00FF6B9A">
        <w:rPr>
          <w:rFonts w:eastAsiaTheme="minorEastAsia"/>
          <w:b/>
          <w:color w:val="000000" w:themeColor="text1"/>
          <w:sz w:val="36"/>
          <w:szCs w:val="36"/>
        </w:rPr>
        <w:t>月</w:t>
      </w:r>
      <w:r w:rsidRPr="00FF6B9A">
        <w:rPr>
          <w:rFonts w:eastAsiaTheme="minorEastAsia"/>
          <w:b/>
          <w:color w:val="000000" w:themeColor="text1"/>
          <w:sz w:val="36"/>
          <w:szCs w:val="36"/>
        </w:rPr>
        <w:t>31</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报告送出日期：二〇二二年四月二十二日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E60712" w:rsidRDefault="006602AC">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E60712" w:rsidRDefault="006602AC">
      <w:pPr>
        <w:spacing w:line="360" w:lineRule="auto"/>
        <w:ind w:firstLineChars="200" w:firstLine="420"/>
        <w:rPr>
          <w:rFonts w:eastAsiaTheme="minorEastAsia"/>
          <w:color w:val="000000" w:themeColor="text1"/>
        </w:rPr>
      </w:pPr>
      <w:r>
        <w:rPr>
          <w:rFonts w:eastAsiaTheme="minorEastAsia"/>
          <w:color w:val="000000" w:themeColor="text1"/>
        </w:rPr>
        <w:t>基金托管人中国银行股份有限公司根据本基金合同规定，于</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w:t>
      </w:r>
      <w:r>
        <w:rPr>
          <w:rFonts w:eastAsiaTheme="minorEastAsia"/>
          <w:color w:val="000000" w:themeColor="text1"/>
        </w:rPr>
        <w:t>21</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E60712" w:rsidRDefault="006602AC">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E60712" w:rsidRDefault="006602AC">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E60712" w:rsidRDefault="006602AC">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1</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3</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上投摩根整合驱动混合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001192</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001192</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2015</w:t>
            </w:r>
            <w:r w:rsidRPr="00FF6B9A">
              <w:rPr>
                <w:rFonts w:eastAsiaTheme="minorEastAsia"/>
                <w:color w:val="000000" w:themeColor="text1"/>
                <w:kern w:val="0"/>
              </w:rPr>
              <w:t>年</w:t>
            </w:r>
            <w:r w:rsidRPr="00FF6B9A">
              <w:rPr>
                <w:rFonts w:eastAsiaTheme="minorEastAsia"/>
                <w:color w:val="000000" w:themeColor="text1"/>
                <w:kern w:val="0"/>
              </w:rPr>
              <w:t>4</w:t>
            </w:r>
            <w:r w:rsidRPr="00FF6B9A">
              <w:rPr>
                <w:rFonts w:eastAsiaTheme="minorEastAsia"/>
                <w:color w:val="000000" w:themeColor="text1"/>
                <w:kern w:val="0"/>
              </w:rPr>
              <w:t>月</w:t>
            </w:r>
            <w:r w:rsidRPr="00FF6B9A">
              <w:rPr>
                <w:rFonts w:eastAsiaTheme="minorEastAsia"/>
                <w:color w:val="000000" w:themeColor="text1"/>
                <w:kern w:val="0"/>
              </w:rPr>
              <w:t>23</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570,271,634.52</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通过深入细致的基本面研究，把握企业整合发展带来的投资机会，在严格的风险控制前提下，力争实现基金资产的长期增值。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E60712" w:rsidRDefault="006602AC">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w:t>
            </w:r>
            <w:r>
              <w:rPr>
                <w:rFonts w:eastAsiaTheme="minorEastAsia"/>
                <w:color w:val="000000" w:themeColor="text1"/>
                <w:kern w:val="0"/>
              </w:rPr>
              <w:t xml:space="preserve"> </w:t>
            </w:r>
            <w:r>
              <w:rPr>
                <w:rFonts w:eastAsiaTheme="minorEastAsia"/>
                <w:color w:val="000000" w:themeColor="text1"/>
                <w:kern w:val="0"/>
              </w:rPr>
              <w:t>资产配置策略</w:t>
            </w:r>
          </w:p>
          <w:p w:rsidR="00E60712" w:rsidRDefault="006602AC">
            <w:pPr>
              <w:adjustRightInd w:val="0"/>
              <w:spacing w:before="29" w:line="360" w:lineRule="auto"/>
              <w:ind w:left="17"/>
              <w:rPr>
                <w:rFonts w:eastAsiaTheme="minorEastAsia"/>
                <w:color w:val="000000" w:themeColor="text1"/>
              </w:rPr>
            </w:pPr>
            <w:r>
              <w:rPr>
                <w:rFonts w:eastAsiaTheme="minorEastAsia"/>
                <w:color w:val="000000" w:themeColor="text1"/>
                <w:kern w:val="0"/>
              </w:rPr>
              <w:t>本基金通过自上而下和自下而上相结合、定性分析和定量分析互相补充的方法，在股票、债券和现金等资产类别之间进行相对灵活的配置。</w:t>
            </w:r>
          </w:p>
          <w:p w:rsidR="00E60712" w:rsidRDefault="006602AC">
            <w:pPr>
              <w:adjustRightInd w:val="0"/>
              <w:spacing w:before="29" w:line="360" w:lineRule="auto"/>
              <w:ind w:left="17"/>
              <w:rPr>
                <w:rFonts w:eastAsiaTheme="minorEastAsia"/>
                <w:color w:val="000000" w:themeColor="text1"/>
              </w:rPr>
            </w:pPr>
            <w:r>
              <w:rPr>
                <w:rFonts w:eastAsiaTheme="minorEastAsia"/>
                <w:color w:val="000000" w:themeColor="text1"/>
                <w:kern w:val="0"/>
              </w:rPr>
              <w:lastRenderedPageBreak/>
              <w:t>2</w:t>
            </w:r>
            <w:r>
              <w:rPr>
                <w:rFonts w:eastAsiaTheme="minorEastAsia"/>
                <w:color w:val="000000" w:themeColor="text1"/>
                <w:kern w:val="0"/>
              </w:rPr>
              <w:t>、股票投资策略</w:t>
            </w:r>
          </w:p>
          <w:p w:rsidR="00E60712" w:rsidRDefault="006602AC">
            <w:pPr>
              <w:adjustRightInd w:val="0"/>
              <w:spacing w:before="29" w:line="360" w:lineRule="auto"/>
              <w:ind w:left="17"/>
              <w:rPr>
                <w:rFonts w:eastAsiaTheme="minorEastAsia"/>
                <w:color w:val="000000" w:themeColor="text1"/>
              </w:rPr>
            </w:pPr>
            <w:r>
              <w:rPr>
                <w:rFonts w:eastAsiaTheme="minorEastAsia"/>
                <w:color w:val="000000" w:themeColor="text1"/>
                <w:kern w:val="0"/>
              </w:rPr>
              <w:t>本基金将重点投资于整合主题相关的上市公司。在个股选择层面，首先将根据本基金对于整合主题的界定构建初选股票池，在此基础上剔除不具有投资价值的股票建立备选股票池。本基金将深入分析公司的并购重组行为对未来经营可能产生的影响，综合评估其是否会带来经营业绩的改善。通过对并购重组带来的行业增长及公司协同效应的综合分析，精选未来具有较高成长潜力的公司。</w:t>
            </w:r>
          </w:p>
          <w:p w:rsidR="00E60712" w:rsidRDefault="006602AC">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w:t>
            </w:r>
            <w:r>
              <w:rPr>
                <w:rFonts w:eastAsiaTheme="minorEastAsia"/>
                <w:color w:val="000000" w:themeColor="text1"/>
                <w:kern w:val="0"/>
              </w:rPr>
              <w:t xml:space="preserve"> </w:t>
            </w:r>
            <w:r>
              <w:rPr>
                <w:rFonts w:eastAsiaTheme="minorEastAsia"/>
                <w:color w:val="000000" w:themeColor="text1"/>
                <w:kern w:val="0"/>
              </w:rPr>
              <w:t>债券配置策略</w:t>
            </w:r>
          </w:p>
          <w:p w:rsidR="00E60712" w:rsidRDefault="006602AC">
            <w:pPr>
              <w:adjustRightInd w:val="0"/>
              <w:spacing w:before="29" w:line="360" w:lineRule="auto"/>
              <w:ind w:left="17"/>
              <w:rPr>
                <w:rFonts w:eastAsiaTheme="minorEastAsia"/>
                <w:color w:val="000000" w:themeColor="text1"/>
              </w:rPr>
            </w:pPr>
            <w:r>
              <w:rPr>
                <w:rFonts w:eastAsiaTheme="minorEastAsia"/>
                <w:color w:val="000000" w:themeColor="text1"/>
                <w:kern w:val="0"/>
              </w:rPr>
              <w:t>对于固定收益类资产的选择，本基金将以价值分析为主线，在综合研究的基础上实施积极主动的组合管理，并主要通过类属配置与债券选择两个层次进行投资管理。</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4</w:t>
            </w:r>
            <w:r w:rsidRPr="00FF6B9A">
              <w:rPr>
                <w:rFonts w:eastAsiaTheme="minorEastAsia"/>
                <w:color w:val="000000" w:themeColor="text1"/>
                <w:kern w:val="0"/>
              </w:rPr>
              <w:t>、其他投资策略：包括可转换债券投资策略、中小企业私募债投资策略、股指期货投资策略、股票期权投资策略、存托凭证投资策略。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800</w:t>
            </w:r>
            <w:r w:rsidRPr="00FF6B9A">
              <w:rPr>
                <w:rFonts w:eastAsiaTheme="minorEastAsia"/>
                <w:color w:val="000000" w:themeColor="text1"/>
                <w:kern w:val="0"/>
              </w:rPr>
              <w:t>指数收益率</w:t>
            </w:r>
            <w:r w:rsidRPr="00FF6B9A">
              <w:rPr>
                <w:rFonts w:eastAsiaTheme="minorEastAsia"/>
                <w:color w:val="000000" w:themeColor="text1"/>
                <w:kern w:val="0"/>
              </w:rPr>
              <w:t>*60%+</w:t>
            </w:r>
            <w:r w:rsidRPr="00FF6B9A">
              <w:rPr>
                <w:rFonts w:eastAsiaTheme="minorEastAsia"/>
                <w:color w:val="000000" w:themeColor="text1"/>
                <w:kern w:val="0"/>
              </w:rPr>
              <w:t>中债总指数收益率</w:t>
            </w:r>
            <w:r w:rsidRPr="00FF6B9A">
              <w:rPr>
                <w:rFonts w:eastAsiaTheme="minorEastAsia"/>
                <w:color w:val="000000" w:themeColor="text1"/>
                <w:kern w:val="0"/>
              </w:rPr>
              <w:t>*40%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E60712" w:rsidRDefault="006602AC">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本基金属于混合型基金产品，预期风险和收益水平高于债券型基金和货币市场基金，低于股票型基金，属于较高风险收益水平的基金产品。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6602AC" w:rsidRPr="00FF6B9A" w:rsidTr="006602AC">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1</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3</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w:t>
            </w:r>
            <w:r w:rsidRPr="00FF6B9A">
              <w:rPr>
                <w:rFonts w:eastAsiaTheme="minorEastAsia"/>
                <w:color w:val="000000" w:themeColor="text1"/>
              </w:rPr>
              <w:t>)</w:t>
            </w:r>
          </w:p>
        </w:tc>
      </w:tr>
      <w:tr w:rsidR="006602AC" w:rsidRPr="00FF6B9A" w:rsidTr="006602A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-41,011,353.80</w:t>
            </w:r>
          </w:p>
        </w:tc>
      </w:tr>
      <w:tr w:rsidR="006602AC" w:rsidRPr="00FF6B9A" w:rsidTr="006602A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-97,835,597.60</w:t>
            </w:r>
          </w:p>
        </w:tc>
      </w:tr>
      <w:tr w:rsidR="006602AC" w:rsidRPr="00FF6B9A" w:rsidTr="006602A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-0.1708</w:t>
            </w:r>
          </w:p>
        </w:tc>
      </w:tr>
      <w:tr w:rsidR="006602AC" w:rsidRPr="00FF6B9A" w:rsidTr="006602A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396,209,028.61</w:t>
            </w:r>
          </w:p>
        </w:tc>
      </w:tr>
      <w:tr w:rsidR="006602AC" w:rsidRPr="00FF6B9A" w:rsidTr="006602AC">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0.6948</w:t>
            </w:r>
          </w:p>
        </w:tc>
      </w:tr>
    </w:tbl>
    <w:p w:rsidR="00E60712" w:rsidRDefault="006602AC">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E60712">
        <w:tc>
          <w:tcPr>
            <w:tcW w:w="1395" w:type="dxa"/>
            <w:vAlign w:val="center"/>
          </w:tcPr>
          <w:p w:rsidR="00E60712" w:rsidRDefault="006602AC">
            <w:pPr>
              <w:jc w:val="left"/>
            </w:pPr>
            <w:r>
              <w:rPr>
                <w:rFonts w:eastAsiaTheme="minorEastAsia"/>
                <w:color w:val="000000" w:themeColor="text1"/>
                <w:kern w:val="0"/>
              </w:rPr>
              <w:t>过去三个月</w:t>
            </w:r>
          </w:p>
        </w:tc>
        <w:tc>
          <w:tcPr>
            <w:tcW w:w="1092" w:type="dxa"/>
            <w:vAlign w:val="center"/>
          </w:tcPr>
          <w:p w:rsidR="00E60712" w:rsidRDefault="006602AC">
            <w:pPr>
              <w:jc w:val="center"/>
            </w:pPr>
            <w:r>
              <w:rPr>
                <w:rFonts w:eastAsiaTheme="minorEastAsia"/>
                <w:color w:val="000000" w:themeColor="text1"/>
                <w:kern w:val="0"/>
              </w:rPr>
              <w:t>-19.72%</w:t>
            </w:r>
          </w:p>
        </w:tc>
        <w:tc>
          <w:tcPr>
            <w:tcW w:w="1161" w:type="dxa"/>
            <w:vAlign w:val="center"/>
          </w:tcPr>
          <w:p w:rsidR="00E60712" w:rsidRDefault="006602AC">
            <w:pPr>
              <w:jc w:val="center"/>
            </w:pPr>
            <w:r>
              <w:rPr>
                <w:rFonts w:eastAsiaTheme="minorEastAsia"/>
                <w:color w:val="000000" w:themeColor="text1"/>
                <w:kern w:val="0"/>
              </w:rPr>
              <w:t>1.42%</w:t>
            </w:r>
          </w:p>
        </w:tc>
        <w:tc>
          <w:tcPr>
            <w:tcW w:w="1181" w:type="dxa"/>
            <w:vAlign w:val="center"/>
          </w:tcPr>
          <w:p w:rsidR="00E60712" w:rsidRDefault="006602AC">
            <w:pPr>
              <w:jc w:val="center"/>
            </w:pPr>
            <w:r>
              <w:rPr>
                <w:rFonts w:eastAsiaTheme="minorEastAsia"/>
                <w:color w:val="000000" w:themeColor="text1"/>
                <w:kern w:val="0"/>
              </w:rPr>
              <w:t>-8.77%</w:t>
            </w:r>
          </w:p>
        </w:tc>
        <w:tc>
          <w:tcPr>
            <w:tcW w:w="1188" w:type="dxa"/>
            <w:vAlign w:val="center"/>
          </w:tcPr>
          <w:p w:rsidR="00E60712" w:rsidRDefault="006602AC">
            <w:pPr>
              <w:jc w:val="center"/>
            </w:pPr>
            <w:r>
              <w:rPr>
                <w:rFonts w:eastAsiaTheme="minorEastAsia"/>
                <w:color w:val="000000" w:themeColor="text1"/>
                <w:kern w:val="0"/>
              </w:rPr>
              <w:t>0.87%</w:t>
            </w:r>
          </w:p>
        </w:tc>
        <w:tc>
          <w:tcPr>
            <w:tcW w:w="1199" w:type="dxa"/>
            <w:vAlign w:val="center"/>
          </w:tcPr>
          <w:p w:rsidR="00E60712" w:rsidRDefault="006602AC">
            <w:pPr>
              <w:jc w:val="center"/>
            </w:pPr>
            <w:r>
              <w:rPr>
                <w:rFonts w:eastAsiaTheme="minorEastAsia"/>
                <w:color w:val="000000" w:themeColor="text1"/>
                <w:kern w:val="0"/>
              </w:rPr>
              <w:t>-10.95%</w:t>
            </w:r>
          </w:p>
        </w:tc>
        <w:tc>
          <w:tcPr>
            <w:tcW w:w="1204" w:type="dxa"/>
            <w:vAlign w:val="center"/>
          </w:tcPr>
          <w:p w:rsidR="00E60712" w:rsidRDefault="006602AC">
            <w:pPr>
              <w:jc w:val="center"/>
            </w:pPr>
            <w:r>
              <w:rPr>
                <w:rFonts w:eastAsiaTheme="minorEastAsia"/>
                <w:color w:val="000000" w:themeColor="text1"/>
                <w:kern w:val="0"/>
              </w:rPr>
              <w:t>0.55%</w:t>
            </w:r>
          </w:p>
        </w:tc>
      </w:tr>
      <w:tr w:rsidR="00E60712">
        <w:tc>
          <w:tcPr>
            <w:tcW w:w="1395" w:type="dxa"/>
            <w:vAlign w:val="center"/>
          </w:tcPr>
          <w:p w:rsidR="00E60712" w:rsidRDefault="006602AC">
            <w:pPr>
              <w:jc w:val="left"/>
            </w:pPr>
            <w:r>
              <w:rPr>
                <w:rFonts w:eastAsiaTheme="minorEastAsia"/>
                <w:color w:val="000000" w:themeColor="text1"/>
                <w:kern w:val="0"/>
              </w:rPr>
              <w:t>过去六个月</w:t>
            </w:r>
          </w:p>
        </w:tc>
        <w:tc>
          <w:tcPr>
            <w:tcW w:w="1092" w:type="dxa"/>
            <w:vAlign w:val="center"/>
          </w:tcPr>
          <w:p w:rsidR="00E60712" w:rsidRDefault="006602AC">
            <w:pPr>
              <w:jc w:val="center"/>
            </w:pPr>
            <w:r>
              <w:rPr>
                <w:rFonts w:eastAsiaTheme="minorEastAsia"/>
                <w:color w:val="000000" w:themeColor="text1"/>
                <w:kern w:val="0"/>
              </w:rPr>
              <w:t>-24.20%</w:t>
            </w:r>
          </w:p>
        </w:tc>
        <w:tc>
          <w:tcPr>
            <w:tcW w:w="1161" w:type="dxa"/>
            <w:vAlign w:val="center"/>
          </w:tcPr>
          <w:p w:rsidR="00E60712" w:rsidRDefault="006602AC">
            <w:pPr>
              <w:jc w:val="center"/>
            </w:pPr>
            <w:r>
              <w:rPr>
                <w:rFonts w:eastAsiaTheme="minorEastAsia"/>
                <w:color w:val="000000" w:themeColor="text1"/>
                <w:kern w:val="0"/>
              </w:rPr>
              <w:t>1.26%</w:t>
            </w:r>
          </w:p>
        </w:tc>
        <w:tc>
          <w:tcPr>
            <w:tcW w:w="1181" w:type="dxa"/>
            <w:vAlign w:val="center"/>
          </w:tcPr>
          <w:p w:rsidR="00E60712" w:rsidRDefault="006602AC">
            <w:pPr>
              <w:jc w:val="center"/>
            </w:pPr>
            <w:r>
              <w:rPr>
                <w:rFonts w:eastAsiaTheme="minorEastAsia"/>
                <w:color w:val="000000" w:themeColor="text1"/>
                <w:kern w:val="0"/>
              </w:rPr>
              <w:t>-7.43%</w:t>
            </w:r>
          </w:p>
        </w:tc>
        <w:tc>
          <w:tcPr>
            <w:tcW w:w="1188" w:type="dxa"/>
            <w:vAlign w:val="center"/>
          </w:tcPr>
          <w:p w:rsidR="00E60712" w:rsidRDefault="006602AC">
            <w:pPr>
              <w:jc w:val="center"/>
            </w:pPr>
            <w:r>
              <w:rPr>
                <w:rFonts w:eastAsiaTheme="minorEastAsia"/>
                <w:color w:val="000000" w:themeColor="text1"/>
                <w:kern w:val="0"/>
              </w:rPr>
              <w:t>0.69%</w:t>
            </w:r>
          </w:p>
        </w:tc>
        <w:tc>
          <w:tcPr>
            <w:tcW w:w="1199" w:type="dxa"/>
            <w:vAlign w:val="center"/>
          </w:tcPr>
          <w:p w:rsidR="00E60712" w:rsidRDefault="006602AC">
            <w:pPr>
              <w:jc w:val="center"/>
            </w:pPr>
            <w:r>
              <w:rPr>
                <w:rFonts w:eastAsiaTheme="minorEastAsia"/>
                <w:color w:val="000000" w:themeColor="text1"/>
                <w:kern w:val="0"/>
              </w:rPr>
              <w:t>-16.77%</w:t>
            </w:r>
          </w:p>
        </w:tc>
        <w:tc>
          <w:tcPr>
            <w:tcW w:w="1204" w:type="dxa"/>
            <w:vAlign w:val="center"/>
          </w:tcPr>
          <w:p w:rsidR="00E60712" w:rsidRDefault="006602AC">
            <w:pPr>
              <w:jc w:val="center"/>
            </w:pPr>
            <w:r>
              <w:rPr>
                <w:rFonts w:eastAsiaTheme="minorEastAsia"/>
                <w:color w:val="000000" w:themeColor="text1"/>
                <w:kern w:val="0"/>
              </w:rPr>
              <w:t>0.57%</w:t>
            </w:r>
          </w:p>
        </w:tc>
      </w:tr>
      <w:tr w:rsidR="00E60712">
        <w:tc>
          <w:tcPr>
            <w:tcW w:w="1395" w:type="dxa"/>
            <w:vAlign w:val="center"/>
          </w:tcPr>
          <w:p w:rsidR="00E60712" w:rsidRDefault="006602AC">
            <w:pPr>
              <w:jc w:val="left"/>
            </w:pPr>
            <w:r>
              <w:rPr>
                <w:rFonts w:eastAsiaTheme="minorEastAsia"/>
                <w:color w:val="000000" w:themeColor="text1"/>
                <w:kern w:val="0"/>
              </w:rPr>
              <w:t>过去一年</w:t>
            </w:r>
          </w:p>
        </w:tc>
        <w:tc>
          <w:tcPr>
            <w:tcW w:w="1092" w:type="dxa"/>
            <w:vAlign w:val="center"/>
          </w:tcPr>
          <w:p w:rsidR="00E60712" w:rsidRDefault="006602AC">
            <w:pPr>
              <w:jc w:val="center"/>
            </w:pPr>
            <w:r>
              <w:rPr>
                <w:rFonts w:eastAsiaTheme="minorEastAsia"/>
                <w:color w:val="000000" w:themeColor="text1"/>
                <w:kern w:val="0"/>
              </w:rPr>
              <w:t>-24.28%</w:t>
            </w:r>
          </w:p>
        </w:tc>
        <w:tc>
          <w:tcPr>
            <w:tcW w:w="1161" w:type="dxa"/>
            <w:vAlign w:val="center"/>
          </w:tcPr>
          <w:p w:rsidR="00E60712" w:rsidRDefault="006602AC">
            <w:pPr>
              <w:jc w:val="center"/>
            </w:pPr>
            <w:r>
              <w:rPr>
                <w:rFonts w:eastAsiaTheme="minorEastAsia"/>
                <w:color w:val="000000" w:themeColor="text1"/>
                <w:kern w:val="0"/>
              </w:rPr>
              <w:t>1.32%</w:t>
            </w:r>
          </w:p>
        </w:tc>
        <w:tc>
          <w:tcPr>
            <w:tcW w:w="1181" w:type="dxa"/>
            <w:vAlign w:val="center"/>
          </w:tcPr>
          <w:p w:rsidR="00E60712" w:rsidRDefault="006602AC">
            <w:pPr>
              <w:jc w:val="center"/>
            </w:pPr>
            <w:r>
              <w:rPr>
                <w:rFonts w:eastAsiaTheme="minorEastAsia"/>
                <w:color w:val="000000" w:themeColor="text1"/>
                <w:kern w:val="0"/>
              </w:rPr>
              <w:t>-6.67%</w:t>
            </w:r>
          </w:p>
        </w:tc>
        <w:tc>
          <w:tcPr>
            <w:tcW w:w="1188" w:type="dxa"/>
            <w:vAlign w:val="center"/>
          </w:tcPr>
          <w:p w:rsidR="00E60712" w:rsidRDefault="006602AC">
            <w:pPr>
              <w:jc w:val="center"/>
            </w:pPr>
            <w:r>
              <w:rPr>
                <w:rFonts w:eastAsiaTheme="minorEastAsia"/>
                <w:color w:val="000000" w:themeColor="text1"/>
                <w:kern w:val="0"/>
              </w:rPr>
              <w:t>0.64%</w:t>
            </w:r>
          </w:p>
        </w:tc>
        <w:tc>
          <w:tcPr>
            <w:tcW w:w="1199" w:type="dxa"/>
            <w:vAlign w:val="center"/>
          </w:tcPr>
          <w:p w:rsidR="00E60712" w:rsidRDefault="006602AC">
            <w:pPr>
              <w:jc w:val="center"/>
            </w:pPr>
            <w:r>
              <w:rPr>
                <w:rFonts w:eastAsiaTheme="minorEastAsia"/>
                <w:color w:val="000000" w:themeColor="text1"/>
                <w:kern w:val="0"/>
              </w:rPr>
              <w:t>-17.61%</w:t>
            </w:r>
          </w:p>
        </w:tc>
        <w:tc>
          <w:tcPr>
            <w:tcW w:w="1204" w:type="dxa"/>
            <w:vAlign w:val="center"/>
          </w:tcPr>
          <w:p w:rsidR="00E60712" w:rsidRDefault="006602AC">
            <w:pPr>
              <w:jc w:val="center"/>
            </w:pPr>
            <w:r>
              <w:rPr>
                <w:rFonts w:eastAsiaTheme="minorEastAsia"/>
                <w:color w:val="000000" w:themeColor="text1"/>
                <w:kern w:val="0"/>
              </w:rPr>
              <w:t>0.68%</w:t>
            </w:r>
          </w:p>
        </w:tc>
      </w:tr>
      <w:tr w:rsidR="00E60712">
        <w:tc>
          <w:tcPr>
            <w:tcW w:w="1395" w:type="dxa"/>
            <w:vAlign w:val="center"/>
          </w:tcPr>
          <w:p w:rsidR="00E60712" w:rsidRDefault="006602AC">
            <w:pPr>
              <w:jc w:val="left"/>
            </w:pPr>
            <w:r>
              <w:rPr>
                <w:rFonts w:eastAsiaTheme="minorEastAsia"/>
                <w:color w:val="000000" w:themeColor="text1"/>
                <w:kern w:val="0"/>
              </w:rPr>
              <w:t>过去三年</w:t>
            </w:r>
          </w:p>
        </w:tc>
        <w:tc>
          <w:tcPr>
            <w:tcW w:w="1092" w:type="dxa"/>
            <w:vAlign w:val="center"/>
          </w:tcPr>
          <w:p w:rsidR="00E60712" w:rsidRDefault="006602AC">
            <w:pPr>
              <w:jc w:val="center"/>
            </w:pPr>
            <w:r>
              <w:rPr>
                <w:rFonts w:eastAsiaTheme="minorEastAsia"/>
                <w:color w:val="000000" w:themeColor="text1"/>
                <w:kern w:val="0"/>
              </w:rPr>
              <w:t>21.68%</w:t>
            </w:r>
          </w:p>
        </w:tc>
        <w:tc>
          <w:tcPr>
            <w:tcW w:w="1161" w:type="dxa"/>
            <w:vAlign w:val="center"/>
          </w:tcPr>
          <w:p w:rsidR="00E60712" w:rsidRDefault="006602AC">
            <w:pPr>
              <w:jc w:val="center"/>
            </w:pPr>
            <w:r>
              <w:rPr>
                <w:rFonts w:eastAsiaTheme="minorEastAsia"/>
                <w:color w:val="000000" w:themeColor="text1"/>
                <w:kern w:val="0"/>
              </w:rPr>
              <w:t>1.41%</w:t>
            </w:r>
          </w:p>
        </w:tc>
        <w:tc>
          <w:tcPr>
            <w:tcW w:w="1181" w:type="dxa"/>
            <w:vAlign w:val="center"/>
          </w:tcPr>
          <w:p w:rsidR="00E60712" w:rsidRDefault="006602AC">
            <w:pPr>
              <w:jc w:val="center"/>
            </w:pPr>
            <w:r>
              <w:rPr>
                <w:rFonts w:eastAsiaTheme="minorEastAsia"/>
                <w:color w:val="000000" w:themeColor="text1"/>
                <w:kern w:val="0"/>
              </w:rPr>
              <w:t>7.19%</w:t>
            </w:r>
          </w:p>
        </w:tc>
        <w:tc>
          <w:tcPr>
            <w:tcW w:w="1188" w:type="dxa"/>
            <w:vAlign w:val="center"/>
          </w:tcPr>
          <w:p w:rsidR="00E60712" w:rsidRDefault="006602AC">
            <w:pPr>
              <w:jc w:val="center"/>
            </w:pPr>
            <w:r>
              <w:rPr>
                <w:rFonts w:eastAsiaTheme="minorEastAsia"/>
                <w:color w:val="000000" w:themeColor="text1"/>
                <w:kern w:val="0"/>
              </w:rPr>
              <w:t>0.75%</w:t>
            </w:r>
          </w:p>
        </w:tc>
        <w:tc>
          <w:tcPr>
            <w:tcW w:w="1199" w:type="dxa"/>
            <w:vAlign w:val="center"/>
          </w:tcPr>
          <w:p w:rsidR="00E60712" w:rsidRDefault="006602AC">
            <w:pPr>
              <w:jc w:val="center"/>
            </w:pPr>
            <w:r>
              <w:rPr>
                <w:rFonts w:eastAsiaTheme="minorEastAsia"/>
                <w:color w:val="000000" w:themeColor="text1"/>
                <w:kern w:val="0"/>
              </w:rPr>
              <w:t>14.49%</w:t>
            </w:r>
          </w:p>
        </w:tc>
        <w:tc>
          <w:tcPr>
            <w:tcW w:w="1204" w:type="dxa"/>
            <w:vAlign w:val="center"/>
          </w:tcPr>
          <w:p w:rsidR="00E60712" w:rsidRDefault="006602AC">
            <w:pPr>
              <w:jc w:val="center"/>
            </w:pPr>
            <w:r>
              <w:rPr>
                <w:rFonts w:eastAsiaTheme="minorEastAsia"/>
                <w:color w:val="000000" w:themeColor="text1"/>
                <w:kern w:val="0"/>
              </w:rPr>
              <w:t>0.66%</w:t>
            </w:r>
          </w:p>
        </w:tc>
      </w:tr>
      <w:tr w:rsidR="00E60712">
        <w:tc>
          <w:tcPr>
            <w:tcW w:w="1395" w:type="dxa"/>
            <w:vAlign w:val="center"/>
          </w:tcPr>
          <w:p w:rsidR="00E60712" w:rsidRDefault="006602AC">
            <w:pPr>
              <w:jc w:val="left"/>
            </w:pPr>
            <w:r>
              <w:rPr>
                <w:rFonts w:eastAsiaTheme="minorEastAsia"/>
                <w:color w:val="000000" w:themeColor="text1"/>
                <w:kern w:val="0"/>
              </w:rPr>
              <w:t>过去五年</w:t>
            </w:r>
          </w:p>
        </w:tc>
        <w:tc>
          <w:tcPr>
            <w:tcW w:w="1092" w:type="dxa"/>
            <w:vAlign w:val="center"/>
          </w:tcPr>
          <w:p w:rsidR="00E60712" w:rsidRDefault="006602AC">
            <w:pPr>
              <w:jc w:val="center"/>
            </w:pPr>
            <w:r>
              <w:rPr>
                <w:rFonts w:eastAsiaTheme="minorEastAsia"/>
                <w:color w:val="000000" w:themeColor="text1"/>
                <w:kern w:val="0"/>
              </w:rPr>
              <w:t>7.22%</w:t>
            </w:r>
          </w:p>
        </w:tc>
        <w:tc>
          <w:tcPr>
            <w:tcW w:w="1161" w:type="dxa"/>
            <w:vAlign w:val="center"/>
          </w:tcPr>
          <w:p w:rsidR="00E60712" w:rsidRDefault="006602AC">
            <w:pPr>
              <w:jc w:val="center"/>
            </w:pPr>
            <w:r>
              <w:rPr>
                <w:rFonts w:eastAsiaTheme="minorEastAsia"/>
                <w:color w:val="000000" w:themeColor="text1"/>
                <w:kern w:val="0"/>
              </w:rPr>
              <w:t>1.42%</w:t>
            </w:r>
          </w:p>
        </w:tc>
        <w:tc>
          <w:tcPr>
            <w:tcW w:w="1181" w:type="dxa"/>
            <w:vAlign w:val="center"/>
          </w:tcPr>
          <w:p w:rsidR="00E60712" w:rsidRDefault="006602AC">
            <w:pPr>
              <w:jc w:val="center"/>
            </w:pPr>
            <w:r>
              <w:rPr>
                <w:rFonts w:eastAsiaTheme="minorEastAsia"/>
                <w:color w:val="000000" w:themeColor="text1"/>
                <w:kern w:val="0"/>
              </w:rPr>
              <w:t>11.55%</w:t>
            </w:r>
          </w:p>
        </w:tc>
        <w:tc>
          <w:tcPr>
            <w:tcW w:w="1188" w:type="dxa"/>
            <w:vAlign w:val="center"/>
          </w:tcPr>
          <w:p w:rsidR="00E60712" w:rsidRDefault="006602AC">
            <w:pPr>
              <w:jc w:val="center"/>
            </w:pPr>
            <w:r>
              <w:rPr>
                <w:rFonts w:eastAsiaTheme="minorEastAsia"/>
                <w:color w:val="000000" w:themeColor="text1"/>
                <w:kern w:val="0"/>
              </w:rPr>
              <w:t>0.73%</w:t>
            </w:r>
          </w:p>
        </w:tc>
        <w:tc>
          <w:tcPr>
            <w:tcW w:w="1199" w:type="dxa"/>
            <w:vAlign w:val="center"/>
          </w:tcPr>
          <w:p w:rsidR="00E60712" w:rsidRDefault="006602AC">
            <w:pPr>
              <w:jc w:val="center"/>
            </w:pPr>
            <w:r>
              <w:rPr>
                <w:rFonts w:eastAsiaTheme="minorEastAsia"/>
                <w:color w:val="000000" w:themeColor="text1"/>
                <w:kern w:val="0"/>
              </w:rPr>
              <w:t>-4.33%</w:t>
            </w:r>
          </w:p>
        </w:tc>
        <w:tc>
          <w:tcPr>
            <w:tcW w:w="1204" w:type="dxa"/>
            <w:vAlign w:val="center"/>
          </w:tcPr>
          <w:p w:rsidR="00E60712" w:rsidRDefault="006602AC">
            <w:pPr>
              <w:jc w:val="center"/>
            </w:pPr>
            <w:r>
              <w:rPr>
                <w:rFonts w:eastAsiaTheme="minorEastAsia"/>
                <w:color w:val="000000" w:themeColor="text1"/>
                <w:kern w:val="0"/>
              </w:rPr>
              <w:t>0.69%</w:t>
            </w:r>
          </w:p>
        </w:tc>
      </w:tr>
      <w:tr w:rsidR="00E60712">
        <w:tc>
          <w:tcPr>
            <w:tcW w:w="1395" w:type="dxa"/>
            <w:vAlign w:val="center"/>
          </w:tcPr>
          <w:p w:rsidR="00E60712" w:rsidRDefault="006602AC">
            <w:pPr>
              <w:jc w:val="left"/>
            </w:pPr>
            <w:r>
              <w:rPr>
                <w:rFonts w:eastAsiaTheme="minorEastAsia"/>
                <w:color w:val="000000" w:themeColor="text1"/>
                <w:kern w:val="0"/>
              </w:rPr>
              <w:t>自基金合同生效起至今</w:t>
            </w:r>
          </w:p>
        </w:tc>
        <w:tc>
          <w:tcPr>
            <w:tcW w:w="1092" w:type="dxa"/>
            <w:vAlign w:val="center"/>
          </w:tcPr>
          <w:p w:rsidR="00E60712" w:rsidRDefault="006602AC">
            <w:pPr>
              <w:jc w:val="center"/>
            </w:pPr>
            <w:r>
              <w:rPr>
                <w:rFonts w:eastAsiaTheme="minorEastAsia"/>
                <w:color w:val="000000" w:themeColor="text1"/>
                <w:kern w:val="0"/>
              </w:rPr>
              <w:t>-30.52%</w:t>
            </w:r>
          </w:p>
        </w:tc>
        <w:tc>
          <w:tcPr>
            <w:tcW w:w="1161" w:type="dxa"/>
            <w:vAlign w:val="center"/>
          </w:tcPr>
          <w:p w:rsidR="00E60712" w:rsidRDefault="006602AC">
            <w:pPr>
              <w:jc w:val="center"/>
            </w:pPr>
            <w:r>
              <w:rPr>
                <w:rFonts w:eastAsiaTheme="minorEastAsia"/>
                <w:color w:val="000000" w:themeColor="text1"/>
                <w:kern w:val="0"/>
              </w:rPr>
              <w:t>1.68%</w:t>
            </w:r>
          </w:p>
        </w:tc>
        <w:tc>
          <w:tcPr>
            <w:tcW w:w="1181" w:type="dxa"/>
            <w:vAlign w:val="center"/>
          </w:tcPr>
          <w:p w:rsidR="00E60712" w:rsidRDefault="006602AC">
            <w:pPr>
              <w:jc w:val="center"/>
            </w:pPr>
            <w:r>
              <w:rPr>
                <w:rFonts w:eastAsiaTheme="minorEastAsia"/>
                <w:color w:val="000000" w:themeColor="text1"/>
                <w:kern w:val="0"/>
              </w:rPr>
              <w:t>-6.19%</w:t>
            </w:r>
          </w:p>
        </w:tc>
        <w:tc>
          <w:tcPr>
            <w:tcW w:w="1188" w:type="dxa"/>
            <w:vAlign w:val="center"/>
          </w:tcPr>
          <w:p w:rsidR="00E60712" w:rsidRDefault="006602AC">
            <w:pPr>
              <w:jc w:val="center"/>
            </w:pPr>
            <w:r>
              <w:rPr>
                <w:rFonts w:eastAsiaTheme="minorEastAsia"/>
                <w:color w:val="000000" w:themeColor="text1"/>
                <w:kern w:val="0"/>
              </w:rPr>
              <w:t>0.89%</w:t>
            </w:r>
          </w:p>
        </w:tc>
        <w:tc>
          <w:tcPr>
            <w:tcW w:w="1199" w:type="dxa"/>
            <w:vAlign w:val="center"/>
          </w:tcPr>
          <w:p w:rsidR="00E60712" w:rsidRDefault="006602AC">
            <w:pPr>
              <w:jc w:val="center"/>
            </w:pPr>
            <w:r>
              <w:rPr>
                <w:rFonts w:eastAsiaTheme="minorEastAsia"/>
                <w:color w:val="000000" w:themeColor="text1"/>
                <w:kern w:val="0"/>
              </w:rPr>
              <w:t>-24.33%</w:t>
            </w:r>
          </w:p>
        </w:tc>
        <w:tc>
          <w:tcPr>
            <w:tcW w:w="1204" w:type="dxa"/>
            <w:vAlign w:val="center"/>
          </w:tcPr>
          <w:p w:rsidR="00E60712" w:rsidRDefault="006602AC">
            <w:pPr>
              <w:jc w:val="center"/>
            </w:pPr>
            <w:r>
              <w:rPr>
                <w:rFonts w:eastAsiaTheme="minorEastAsia"/>
                <w:color w:val="000000" w:themeColor="text1"/>
                <w:kern w:val="0"/>
              </w:rPr>
              <w:t>0.79%</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w:t>
      </w:r>
      <w:r w:rsidRPr="00FF6B9A">
        <w:rPr>
          <w:rFonts w:eastAsiaTheme="minorEastAsia"/>
          <w:b/>
          <w:bCs/>
          <w:color w:val="000000" w:themeColor="text1"/>
          <w:kern w:val="0"/>
          <w:sz w:val="24"/>
          <w:szCs w:val="24"/>
        </w:rPr>
        <w:lastRenderedPageBreak/>
        <w:t>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上投摩根整合驱动灵活配置混合型证券投资基金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(2015</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4</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23</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2022</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3</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31</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E60712" w:rsidRDefault="006602AC">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w:t>
      </w:r>
      <w:r>
        <w:rPr>
          <w:rFonts w:eastAsiaTheme="minorEastAsia"/>
          <w:color w:val="000000" w:themeColor="text1"/>
        </w:rPr>
        <w:t>23</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E60712">
        <w:tc>
          <w:tcPr>
            <w:tcW w:w="851" w:type="dxa"/>
            <w:vAlign w:val="center"/>
          </w:tcPr>
          <w:p w:rsidR="00E60712" w:rsidRDefault="006602AC">
            <w:pPr>
              <w:jc w:val="center"/>
            </w:pPr>
            <w:r>
              <w:rPr>
                <w:rFonts w:eastAsiaTheme="minorEastAsia"/>
                <w:color w:val="000000" w:themeColor="text1"/>
              </w:rPr>
              <w:t>征茂平</w:t>
            </w:r>
          </w:p>
        </w:tc>
        <w:tc>
          <w:tcPr>
            <w:tcW w:w="850" w:type="dxa"/>
            <w:vAlign w:val="center"/>
          </w:tcPr>
          <w:p w:rsidR="00E60712" w:rsidRDefault="006602AC">
            <w:pPr>
              <w:jc w:val="center"/>
            </w:pPr>
            <w:r>
              <w:rPr>
                <w:rFonts w:eastAsiaTheme="minorEastAsia"/>
                <w:color w:val="000000" w:themeColor="text1"/>
              </w:rPr>
              <w:t>本基金基金经理</w:t>
            </w:r>
          </w:p>
        </w:tc>
        <w:tc>
          <w:tcPr>
            <w:tcW w:w="1560" w:type="dxa"/>
            <w:vAlign w:val="center"/>
          </w:tcPr>
          <w:p w:rsidR="00E60712" w:rsidRDefault="006602AC">
            <w:pPr>
              <w:jc w:val="center"/>
            </w:pPr>
            <w:r>
              <w:rPr>
                <w:rFonts w:eastAsiaTheme="minorEastAsia"/>
                <w:color w:val="000000" w:themeColor="text1"/>
              </w:rPr>
              <w:t>2015-09-18</w:t>
            </w:r>
          </w:p>
        </w:tc>
        <w:tc>
          <w:tcPr>
            <w:tcW w:w="1559" w:type="dxa"/>
            <w:vAlign w:val="center"/>
          </w:tcPr>
          <w:p w:rsidR="00E60712" w:rsidRDefault="006602AC">
            <w:pPr>
              <w:jc w:val="center"/>
            </w:pPr>
            <w:r>
              <w:rPr>
                <w:rFonts w:eastAsiaTheme="minorEastAsia"/>
                <w:color w:val="000000" w:themeColor="text1"/>
              </w:rPr>
              <w:t>2022-01-14</w:t>
            </w:r>
          </w:p>
        </w:tc>
        <w:tc>
          <w:tcPr>
            <w:tcW w:w="1417" w:type="dxa"/>
            <w:vAlign w:val="center"/>
          </w:tcPr>
          <w:p w:rsidR="00E60712" w:rsidRDefault="006602AC">
            <w:pPr>
              <w:jc w:val="center"/>
            </w:pPr>
            <w:r>
              <w:rPr>
                <w:rFonts w:eastAsiaTheme="minorEastAsia"/>
                <w:color w:val="000000" w:themeColor="text1"/>
              </w:rPr>
              <w:t>21</w:t>
            </w:r>
            <w:r>
              <w:rPr>
                <w:rFonts w:eastAsiaTheme="minorEastAsia"/>
                <w:color w:val="000000" w:themeColor="text1"/>
              </w:rPr>
              <w:t>年</w:t>
            </w:r>
          </w:p>
        </w:tc>
        <w:tc>
          <w:tcPr>
            <w:tcW w:w="2694" w:type="dxa"/>
            <w:vAlign w:val="center"/>
          </w:tcPr>
          <w:p w:rsidR="00E60712" w:rsidRDefault="006602AC">
            <w:r>
              <w:rPr>
                <w:rFonts w:eastAsiaTheme="minorEastAsia"/>
                <w:color w:val="000000" w:themeColor="text1"/>
              </w:rPr>
              <w:t>征茂平先生，自</w:t>
            </w:r>
            <w:r>
              <w:rPr>
                <w:rFonts w:eastAsiaTheme="minorEastAsia"/>
                <w:color w:val="000000" w:themeColor="text1"/>
              </w:rPr>
              <w:t>2001</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2004</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月在上海证大投资管理有限公司任高级研究员从事证券研究的工作；</w:t>
            </w:r>
            <w:r>
              <w:rPr>
                <w:rFonts w:eastAsiaTheme="minorEastAsia"/>
                <w:color w:val="000000" w:themeColor="text1"/>
              </w:rPr>
              <w:t>2004</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2005</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月在平安证券有限公司任高级研究员从事证券研</w:t>
            </w:r>
            <w:r>
              <w:rPr>
                <w:rFonts w:eastAsiaTheme="minorEastAsia"/>
                <w:color w:val="000000" w:themeColor="text1"/>
              </w:rPr>
              <w:lastRenderedPageBreak/>
              <w:t>究的工作；</w:t>
            </w:r>
            <w:r>
              <w:rPr>
                <w:rFonts w:eastAsiaTheme="minorEastAsia"/>
                <w:color w:val="000000" w:themeColor="text1"/>
              </w:rPr>
              <w:t>2005</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月至</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月在大成基金管理有限公司任研究员从事成长股票组合的管理工作。</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月起加入上投摩根基金管理有限公司，先后担任行业专家、基金经理助理、研究部总监助理、基金经理，</w:t>
            </w:r>
            <w:r>
              <w:rPr>
                <w:rFonts w:eastAsiaTheme="minorEastAsia"/>
                <w:color w:val="000000" w:themeColor="text1"/>
              </w:rPr>
              <w:t>2013</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月担任上投摩根大盘蓝筹股票型证券投资基金基金经理，</w:t>
            </w:r>
            <w:r>
              <w:rPr>
                <w:rFonts w:eastAsiaTheme="minorEastAsia"/>
                <w:color w:val="000000" w:themeColor="text1"/>
              </w:rPr>
              <w:t>2013</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月同时担任上投摩根红利回报混合型证券投资基金基金经理</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月同时担任上投摩根阿尔法混合型证券投资基金基金经理，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月至</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月同时担任上投摩根整合驱动灵活配置混合型证券投资基金基金经理，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月至</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月同时担任上投摩根中国世纪灵活配置混合型证券投资基金基金经理。</w:t>
            </w:r>
          </w:p>
        </w:tc>
      </w:tr>
      <w:tr w:rsidR="00E60712">
        <w:tc>
          <w:tcPr>
            <w:tcW w:w="851" w:type="dxa"/>
            <w:vAlign w:val="center"/>
          </w:tcPr>
          <w:p w:rsidR="00E60712" w:rsidRDefault="006602AC">
            <w:pPr>
              <w:jc w:val="center"/>
            </w:pPr>
            <w:r>
              <w:rPr>
                <w:rFonts w:eastAsiaTheme="minorEastAsia"/>
                <w:color w:val="000000" w:themeColor="text1"/>
              </w:rPr>
              <w:lastRenderedPageBreak/>
              <w:t>周战海</w:t>
            </w:r>
          </w:p>
        </w:tc>
        <w:tc>
          <w:tcPr>
            <w:tcW w:w="850" w:type="dxa"/>
            <w:vAlign w:val="center"/>
          </w:tcPr>
          <w:p w:rsidR="00E60712" w:rsidRDefault="006602AC">
            <w:pPr>
              <w:jc w:val="center"/>
            </w:pPr>
            <w:r>
              <w:rPr>
                <w:rFonts w:eastAsiaTheme="minorEastAsia"/>
                <w:color w:val="000000" w:themeColor="text1"/>
              </w:rPr>
              <w:t>本基金基金经理</w:t>
            </w:r>
          </w:p>
        </w:tc>
        <w:tc>
          <w:tcPr>
            <w:tcW w:w="1560" w:type="dxa"/>
            <w:vAlign w:val="center"/>
          </w:tcPr>
          <w:p w:rsidR="00E60712" w:rsidRDefault="006602AC">
            <w:pPr>
              <w:jc w:val="center"/>
            </w:pPr>
            <w:r>
              <w:rPr>
                <w:rFonts w:eastAsiaTheme="minorEastAsia"/>
                <w:color w:val="000000" w:themeColor="text1"/>
              </w:rPr>
              <w:t>2022-01-14</w:t>
            </w:r>
          </w:p>
        </w:tc>
        <w:tc>
          <w:tcPr>
            <w:tcW w:w="1559" w:type="dxa"/>
            <w:vAlign w:val="center"/>
          </w:tcPr>
          <w:p w:rsidR="00E60712" w:rsidRDefault="006602AC">
            <w:pPr>
              <w:jc w:val="center"/>
            </w:pPr>
            <w:r>
              <w:rPr>
                <w:rFonts w:eastAsiaTheme="minorEastAsia"/>
                <w:color w:val="000000" w:themeColor="text1"/>
              </w:rPr>
              <w:t>-</w:t>
            </w:r>
          </w:p>
        </w:tc>
        <w:tc>
          <w:tcPr>
            <w:tcW w:w="1417" w:type="dxa"/>
            <w:vAlign w:val="center"/>
          </w:tcPr>
          <w:p w:rsidR="00E60712" w:rsidRDefault="006602AC">
            <w:pPr>
              <w:jc w:val="center"/>
            </w:pPr>
            <w:r>
              <w:rPr>
                <w:rFonts w:eastAsiaTheme="minorEastAsia"/>
                <w:color w:val="000000" w:themeColor="text1"/>
              </w:rPr>
              <w:t>15</w:t>
            </w:r>
            <w:r>
              <w:rPr>
                <w:rFonts w:eastAsiaTheme="minorEastAsia"/>
                <w:color w:val="000000" w:themeColor="text1"/>
              </w:rPr>
              <w:t>年</w:t>
            </w:r>
          </w:p>
        </w:tc>
        <w:tc>
          <w:tcPr>
            <w:tcW w:w="2694" w:type="dxa"/>
            <w:vAlign w:val="center"/>
          </w:tcPr>
          <w:p w:rsidR="00E60712" w:rsidRDefault="006602AC">
            <w:r>
              <w:rPr>
                <w:rFonts w:eastAsiaTheme="minorEastAsia"/>
                <w:color w:val="000000" w:themeColor="text1"/>
              </w:rPr>
              <w:t>周战海先生</w:t>
            </w:r>
            <w:r>
              <w:rPr>
                <w:rFonts w:eastAsiaTheme="minorEastAsia"/>
                <w:color w:val="000000" w:themeColor="text1"/>
              </w:rPr>
              <w:t>2007</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月在国金证券股份有限公司担任分析师，</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月在太平洋资产管理有限公司担任研究员。</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月起加入上投摩根基金管理有限公司，历任行业专家、基金经理助理、基金经理、高级基金经理。自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月起担任上投摩根文体休闲灵活配置混合型证券投资基金基金经理，自</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月起同时担任上投摩根健康品质生活混合型证券投资基金基金经理，自</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月起同时担任上投摩根整合驱动灵活配</w:t>
            </w:r>
            <w:r>
              <w:rPr>
                <w:rFonts w:eastAsiaTheme="minorEastAsia"/>
                <w:color w:val="000000" w:themeColor="text1"/>
              </w:rPr>
              <w:lastRenderedPageBreak/>
              <w:t>置混合型证券投资基金基金经理。</w:t>
            </w:r>
          </w:p>
        </w:tc>
      </w:tr>
    </w:tbl>
    <w:p w:rsidR="00E60712" w:rsidRDefault="006602AC">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1.</w:t>
      </w:r>
      <w:r>
        <w:rPr>
          <w:rFonts w:eastAsiaTheme="minorEastAsia"/>
          <w:color w:val="000000" w:themeColor="text1"/>
        </w:rPr>
        <w:t>任职日期和离任日期均指根据公司决定</w:t>
      </w:r>
      <w:r>
        <w:rPr>
          <w:rFonts w:eastAsiaTheme="minorEastAsia"/>
          <w:color w:val="000000" w:themeColor="text1"/>
        </w:rPr>
        <w:t>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2.</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整合驱动灵活配置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E60712" w:rsidRDefault="006602AC">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60712" w:rsidRDefault="006602AC">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rPr>
        <w:t>，本公司通过对手库控制和交易室询价机制，严格防范对手风险并检查价格公允性；对于申购投资行为，本公司遵循价格优先、比例分配的原则，根据事前独立申报的价格和数量对交易结果进行公平分配。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E60712" w:rsidRDefault="006602AC">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w:t>
      </w:r>
      <w:r w:rsidRPr="00FF6B9A">
        <w:rPr>
          <w:rFonts w:eastAsiaTheme="minorEastAsia"/>
          <w:color w:val="000000" w:themeColor="text1"/>
        </w:rPr>
        <w:lastRenderedPageBreak/>
        <w:t>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E60712" w:rsidRDefault="006602AC">
      <w:pPr>
        <w:spacing w:line="360" w:lineRule="auto"/>
        <w:ind w:firstLineChars="200" w:firstLine="420"/>
        <w:rPr>
          <w:rFonts w:eastAsiaTheme="minorEastAsia"/>
          <w:color w:val="000000" w:themeColor="text1"/>
        </w:rPr>
      </w:pPr>
      <w:r>
        <w:rPr>
          <w:rFonts w:eastAsiaTheme="minorEastAsia"/>
          <w:color w:val="000000" w:themeColor="text1"/>
        </w:rPr>
        <w:t>2022</w:t>
      </w:r>
      <w:r>
        <w:rPr>
          <w:rFonts w:eastAsiaTheme="minorEastAsia"/>
          <w:color w:val="000000" w:themeColor="text1"/>
        </w:rPr>
        <w:t>年一季度，国内</w:t>
      </w:r>
      <w:r>
        <w:rPr>
          <w:rFonts w:eastAsiaTheme="minorEastAsia"/>
          <w:color w:val="000000" w:themeColor="text1"/>
        </w:rPr>
        <w:t>A</w:t>
      </w:r>
      <w:r>
        <w:rPr>
          <w:rFonts w:eastAsiaTheme="minorEastAsia"/>
          <w:color w:val="000000" w:themeColor="text1"/>
        </w:rPr>
        <w:t>股市场经历了大幅度调整，特别是</w:t>
      </w:r>
      <w:r>
        <w:rPr>
          <w:rFonts w:eastAsiaTheme="minorEastAsia"/>
          <w:color w:val="000000" w:themeColor="text1"/>
        </w:rPr>
        <w:t>3</w:t>
      </w:r>
      <w:r>
        <w:rPr>
          <w:rFonts w:eastAsiaTheme="minorEastAsia"/>
          <w:color w:val="000000" w:themeColor="text1"/>
        </w:rPr>
        <w:t>月以来，受俄乌战争、美联储加息脚步逼近、中概股大跌及国内疫情多地扩散等利空叠加的影响，悲观情绪蔓延，市场出现大幅下跌。随着金融委会议表态给市场带来极大的信心提振，市场逐步筑底回升。一季度上证综指下跌</w:t>
      </w:r>
      <w:r>
        <w:rPr>
          <w:rFonts w:eastAsiaTheme="minorEastAsia"/>
          <w:color w:val="000000" w:themeColor="text1"/>
        </w:rPr>
        <w:t>10.65%</w:t>
      </w:r>
      <w:r>
        <w:rPr>
          <w:rFonts w:eastAsiaTheme="minorEastAsia"/>
          <w:color w:val="000000" w:themeColor="text1"/>
        </w:rPr>
        <w:t>，深证成指下跌</w:t>
      </w:r>
      <w:r>
        <w:rPr>
          <w:rFonts w:eastAsiaTheme="minorEastAsia"/>
          <w:color w:val="000000" w:themeColor="text1"/>
        </w:rPr>
        <w:t>18.44%</w:t>
      </w:r>
      <w:r>
        <w:rPr>
          <w:rFonts w:eastAsiaTheme="minorEastAsia"/>
          <w:color w:val="000000" w:themeColor="text1"/>
        </w:rPr>
        <w:t>，沪深</w:t>
      </w:r>
      <w:r>
        <w:rPr>
          <w:rFonts w:eastAsiaTheme="minorEastAsia"/>
          <w:color w:val="000000" w:themeColor="text1"/>
        </w:rPr>
        <w:t>300</w:t>
      </w:r>
      <w:r>
        <w:rPr>
          <w:rFonts w:eastAsiaTheme="minorEastAsia"/>
          <w:color w:val="000000" w:themeColor="text1"/>
        </w:rPr>
        <w:t>指数下跌</w:t>
      </w:r>
      <w:r>
        <w:rPr>
          <w:rFonts w:eastAsiaTheme="minorEastAsia"/>
          <w:color w:val="000000" w:themeColor="text1"/>
        </w:rPr>
        <w:t>14.53%</w:t>
      </w:r>
      <w:r>
        <w:rPr>
          <w:rFonts w:eastAsiaTheme="minorEastAsia"/>
          <w:color w:val="000000" w:themeColor="text1"/>
        </w:rPr>
        <w:t>，创业板指数下跌</w:t>
      </w:r>
      <w:r>
        <w:rPr>
          <w:rFonts w:eastAsiaTheme="minorEastAsia"/>
          <w:color w:val="000000" w:themeColor="text1"/>
        </w:rPr>
        <w:t>19.96%</w:t>
      </w:r>
      <w:r>
        <w:rPr>
          <w:rFonts w:eastAsiaTheme="minorEastAsia"/>
          <w:color w:val="000000" w:themeColor="text1"/>
        </w:rPr>
        <w:t>，科创</w:t>
      </w:r>
      <w:r>
        <w:rPr>
          <w:rFonts w:eastAsiaTheme="minorEastAsia"/>
          <w:color w:val="000000" w:themeColor="text1"/>
        </w:rPr>
        <w:t>50</w:t>
      </w:r>
      <w:r>
        <w:rPr>
          <w:rFonts w:eastAsiaTheme="minorEastAsia"/>
          <w:color w:val="000000" w:themeColor="text1"/>
        </w:rPr>
        <w:t>指</w:t>
      </w:r>
      <w:r>
        <w:rPr>
          <w:rFonts w:eastAsiaTheme="minorEastAsia"/>
          <w:color w:val="000000" w:themeColor="text1"/>
        </w:rPr>
        <w:t>数下跌</w:t>
      </w:r>
      <w:r>
        <w:rPr>
          <w:rFonts w:eastAsiaTheme="minorEastAsia"/>
          <w:color w:val="000000" w:themeColor="text1"/>
        </w:rPr>
        <w:t>21.97%</w:t>
      </w:r>
      <w:r>
        <w:rPr>
          <w:rFonts w:eastAsiaTheme="minorEastAsia"/>
          <w:color w:val="000000" w:themeColor="text1"/>
        </w:rPr>
        <w:t>。行业方面，煤炭、房地产、金融、钢铁、农林牧渔等大周期行业大幅跑赢市场，电子、军工、汽车、电力设备、食品饮料、家用电器、计算机等行业出现大幅回撤。报告期内，本基金按照契约要求，重点投资了食品饮料、消费电子、新能源汽车、医药和新兴科技消费等行业。报告期内，受所投资行业大幅下跌的影响，基金净值也出现了明显回撤。</w:t>
      </w:r>
      <w:r>
        <w:rPr>
          <w:rFonts w:eastAsiaTheme="minorEastAsia"/>
          <w:color w:val="000000" w:themeColor="text1"/>
        </w:rPr>
        <w:t xml:space="preserve"> </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展望</w:t>
      </w:r>
      <w:r w:rsidRPr="00FF6B9A">
        <w:rPr>
          <w:rFonts w:eastAsiaTheme="minorEastAsia"/>
          <w:color w:val="000000" w:themeColor="text1"/>
        </w:rPr>
        <w:t>2022</w:t>
      </w:r>
      <w:r w:rsidRPr="00FF6B9A">
        <w:rPr>
          <w:rFonts w:eastAsiaTheme="minorEastAsia"/>
          <w:color w:val="000000" w:themeColor="text1"/>
        </w:rPr>
        <w:t>年二季度</w:t>
      </w:r>
      <w:r w:rsidRPr="00FF6B9A">
        <w:rPr>
          <w:rFonts w:eastAsiaTheme="minorEastAsia"/>
          <w:color w:val="000000" w:themeColor="text1"/>
        </w:rPr>
        <w:t>, PMI</w:t>
      </w:r>
      <w:r w:rsidRPr="00FF6B9A">
        <w:rPr>
          <w:rFonts w:eastAsiaTheme="minorEastAsia"/>
          <w:color w:val="000000" w:themeColor="text1"/>
        </w:rPr>
        <w:t>受疫情影响已回落至荣枯线下方，无论是从金融委还是两会表态看，目前经济下行压力仍大，但地产、稳增长、防疫已经开始向积极方向变化，有望扭转对于企业盈利的悲观预期。政策方面，考虑到目前信用环境基本走平，要支撑</w:t>
      </w:r>
      <w:r w:rsidRPr="00FF6B9A">
        <w:rPr>
          <w:rFonts w:eastAsiaTheme="minorEastAsia"/>
          <w:color w:val="000000" w:themeColor="text1"/>
        </w:rPr>
        <w:t>5.5%</w:t>
      </w:r>
      <w:r w:rsidRPr="00FF6B9A">
        <w:rPr>
          <w:rFonts w:eastAsiaTheme="minorEastAsia"/>
          <w:color w:val="000000" w:themeColor="text1"/>
        </w:rPr>
        <w:t>增速目标难度较大，后续仍需政策进一步支持。货币政策方面，美联储货币政策延续边际收紧，国内继续宽松，</w:t>
      </w:r>
      <w:r w:rsidRPr="00FF6B9A">
        <w:rPr>
          <w:rFonts w:eastAsiaTheme="minorEastAsia"/>
          <w:color w:val="000000" w:themeColor="text1"/>
        </w:rPr>
        <w:t>“</w:t>
      </w:r>
      <w:r w:rsidRPr="00FF6B9A">
        <w:rPr>
          <w:rFonts w:eastAsiaTheme="minorEastAsia"/>
          <w:color w:val="000000" w:themeColor="text1"/>
        </w:rPr>
        <w:t>外紧内松，以我为主</w:t>
      </w:r>
      <w:r w:rsidRPr="00FF6B9A">
        <w:rPr>
          <w:rFonts w:eastAsiaTheme="minorEastAsia"/>
          <w:color w:val="000000" w:themeColor="text1"/>
        </w:rPr>
        <w:t>”</w:t>
      </w:r>
      <w:r w:rsidRPr="00FF6B9A">
        <w:rPr>
          <w:rFonts w:eastAsiaTheme="minorEastAsia"/>
          <w:color w:val="000000" w:themeColor="text1"/>
        </w:rPr>
        <w:t>是主基调。我们认为二季度影响</w:t>
      </w:r>
      <w:r w:rsidRPr="00FF6B9A">
        <w:rPr>
          <w:rFonts w:eastAsiaTheme="minorEastAsia"/>
          <w:color w:val="000000" w:themeColor="text1"/>
        </w:rPr>
        <w:t>A</w:t>
      </w:r>
      <w:r w:rsidRPr="00FF6B9A">
        <w:rPr>
          <w:rFonts w:eastAsiaTheme="minorEastAsia"/>
          <w:color w:val="000000" w:themeColor="text1"/>
        </w:rPr>
        <w:t>股表现的负面因素有望逐渐落地，</w:t>
      </w:r>
      <w:r w:rsidRPr="00FF6B9A">
        <w:rPr>
          <w:rFonts w:eastAsiaTheme="minorEastAsia"/>
          <w:color w:val="000000" w:themeColor="text1"/>
        </w:rPr>
        <w:t>A</w:t>
      </w:r>
      <w:r w:rsidRPr="00FF6B9A">
        <w:rPr>
          <w:rFonts w:eastAsiaTheme="minorEastAsia"/>
          <w:color w:val="000000" w:themeColor="text1"/>
        </w:rPr>
        <w:t>股将会逐渐扭转颓势。我们坚定看好科技和消费这一投资主线，继续看好消费升级和新能源车相关产业链。未来我们将重点投资科技和消费相关行业里面具有相对估值优势、增长前景确定的高成长龙头公司。短期将增加稳增长和疫后恢复行业的配置。我们将加强对上市公司基本面的研究力度，筛选出竞争力持续提升的优秀公司，力争为持有人创造较好回报。</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本报告期上投摩根整合驱动混合份额净值增长率为</w:t>
      </w:r>
      <w:r w:rsidRPr="00FF6B9A">
        <w:rPr>
          <w:rFonts w:eastAsiaTheme="minorEastAsia"/>
          <w:color w:val="000000" w:themeColor="text1"/>
        </w:rPr>
        <w:t>:-19.72%</w:t>
      </w:r>
      <w:r w:rsidRPr="00FF6B9A">
        <w:rPr>
          <w:rFonts w:eastAsiaTheme="minorEastAsia"/>
          <w:color w:val="000000" w:themeColor="text1"/>
        </w:rPr>
        <w:t>，同期业绩比较基准收益率为</w:t>
      </w:r>
      <w:r w:rsidRPr="00FF6B9A">
        <w:rPr>
          <w:rFonts w:eastAsiaTheme="minorEastAsia"/>
          <w:color w:val="000000" w:themeColor="text1"/>
        </w:rPr>
        <w:t>:-8.77%</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302,388,508.96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75.96</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302,388,508.96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75.96</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93,035,083.50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23.37</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2,655,977.08</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0.67</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398,079,569.54</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6,066,962.00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1.53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284,691,207.50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71.85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25,928.72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11,589,486.24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2.93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14,924.50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302,388,508.96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76.32</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E60712">
        <w:tc>
          <w:tcPr>
            <w:tcW w:w="817" w:type="dxa"/>
            <w:vAlign w:val="center"/>
          </w:tcPr>
          <w:p w:rsidR="00E60712" w:rsidRDefault="006602AC">
            <w:pPr>
              <w:jc w:val="center"/>
            </w:pPr>
            <w:r>
              <w:rPr>
                <w:rFonts w:eastAsiaTheme="minorEastAsia"/>
                <w:kern w:val="0"/>
                <w:sz w:val="24"/>
                <w:szCs w:val="24"/>
              </w:rPr>
              <w:t>1</w:t>
            </w:r>
          </w:p>
        </w:tc>
        <w:tc>
          <w:tcPr>
            <w:tcW w:w="1276" w:type="dxa"/>
            <w:vAlign w:val="center"/>
          </w:tcPr>
          <w:p w:rsidR="00E60712" w:rsidRDefault="006602AC">
            <w:pPr>
              <w:jc w:val="center"/>
            </w:pPr>
            <w:r>
              <w:rPr>
                <w:rFonts w:eastAsiaTheme="minorEastAsia"/>
                <w:kern w:val="0"/>
                <w:sz w:val="24"/>
                <w:szCs w:val="24"/>
              </w:rPr>
              <w:t>600519</w:t>
            </w:r>
          </w:p>
        </w:tc>
        <w:tc>
          <w:tcPr>
            <w:tcW w:w="1701" w:type="dxa"/>
            <w:vAlign w:val="center"/>
          </w:tcPr>
          <w:p w:rsidR="00E60712" w:rsidRDefault="006602AC">
            <w:pPr>
              <w:jc w:val="center"/>
            </w:pPr>
            <w:r>
              <w:rPr>
                <w:rFonts w:eastAsiaTheme="minorEastAsia"/>
                <w:kern w:val="0"/>
                <w:sz w:val="24"/>
                <w:szCs w:val="24"/>
              </w:rPr>
              <w:t>贵州茅台</w:t>
            </w:r>
          </w:p>
        </w:tc>
        <w:tc>
          <w:tcPr>
            <w:tcW w:w="1276" w:type="dxa"/>
            <w:vAlign w:val="center"/>
          </w:tcPr>
          <w:p w:rsidR="00E60712" w:rsidRDefault="006602AC">
            <w:pPr>
              <w:jc w:val="right"/>
            </w:pPr>
            <w:r>
              <w:rPr>
                <w:rFonts w:eastAsiaTheme="minorEastAsia"/>
                <w:kern w:val="0"/>
                <w:sz w:val="24"/>
                <w:szCs w:val="24"/>
              </w:rPr>
              <w:t>17,700.00</w:t>
            </w:r>
          </w:p>
        </w:tc>
        <w:tc>
          <w:tcPr>
            <w:tcW w:w="1842" w:type="dxa"/>
            <w:vAlign w:val="center"/>
          </w:tcPr>
          <w:p w:rsidR="00E60712" w:rsidRDefault="006602AC">
            <w:pPr>
              <w:jc w:val="right"/>
            </w:pPr>
            <w:r>
              <w:rPr>
                <w:rFonts w:eastAsiaTheme="minorEastAsia"/>
                <w:kern w:val="0"/>
                <w:sz w:val="24"/>
                <w:szCs w:val="24"/>
              </w:rPr>
              <w:t>30,426,300.00</w:t>
            </w:r>
          </w:p>
        </w:tc>
        <w:tc>
          <w:tcPr>
            <w:tcW w:w="1616" w:type="dxa"/>
            <w:vAlign w:val="center"/>
          </w:tcPr>
          <w:p w:rsidR="00E60712" w:rsidRDefault="006602AC">
            <w:pPr>
              <w:jc w:val="right"/>
            </w:pPr>
            <w:r>
              <w:rPr>
                <w:rFonts w:eastAsiaTheme="minorEastAsia"/>
                <w:kern w:val="0"/>
                <w:sz w:val="24"/>
                <w:szCs w:val="24"/>
              </w:rPr>
              <w:t>7.68</w:t>
            </w:r>
          </w:p>
        </w:tc>
      </w:tr>
      <w:tr w:rsidR="00E60712">
        <w:tc>
          <w:tcPr>
            <w:tcW w:w="817" w:type="dxa"/>
            <w:vAlign w:val="center"/>
          </w:tcPr>
          <w:p w:rsidR="00E60712" w:rsidRDefault="006602AC">
            <w:pPr>
              <w:jc w:val="center"/>
            </w:pPr>
            <w:r>
              <w:rPr>
                <w:rFonts w:eastAsiaTheme="minorEastAsia"/>
                <w:kern w:val="0"/>
                <w:sz w:val="24"/>
                <w:szCs w:val="24"/>
              </w:rPr>
              <w:t>2</w:t>
            </w:r>
          </w:p>
        </w:tc>
        <w:tc>
          <w:tcPr>
            <w:tcW w:w="1276" w:type="dxa"/>
            <w:vAlign w:val="center"/>
          </w:tcPr>
          <w:p w:rsidR="00E60712" w:rsidRDefault="006602AC">
            <w:pPr>
              <w:jc w:val="center"/>
            </w:pPr>
            <w:r>
              <w:rPr>
                <w:rFonts w:eastAsiaTheme="minorEastAsia"/>
                <w:kern w:val="0"/>
                <w:sz w:val="24"/>
                <w:szCs w:val="24"/>
              </w:rPr>
              <w:t>000568</w:t>
            </w:r>
          </w:p>
        </w:tc>
        <w:tc>
          <w:tcPr>
            <w:tcW w:w="1701" w:type="dxa"/>
            <w:vAlign w:val="center"/>
          </w:tcPr>
          <w:p w:rsidR="00E60712" w:rsidRDefault="006602AC">
            <w:pPr>
              <w:jc w:val="center"/>
            </w:pPr>
            <w:r>
              <w:rPr>
                <w:rFonts w:eastAsiaTheme="minorEastAsia"/>
                <w:kern w:val="0"/>
                <w:sz w:val="24"/>
                <w:szCs w:val="24"/>
              </w:rPr>
              <w:t>泸州老窖</w:t>
            </w:r>
          </w:p>
        </w:tc>
        <w:tc>
          <w:tcPr>
            <w:tcW w:w="1276" w:type="dxa"/>
            <w:vAlign w:val="center"/>
          </w:tcPr>
          <w:p w:rsidR="00E60712" w:rsidRDefault="006602AC">
            <w:pPr>
              <w:jc w:val="right"/>
            </w:pPr>
            <w:r>
              <w:rPr>
                <w:rFonts w:eastAsiaTheme="minorEastAsia"/>
                <w:kern w:val="0"/>
                <w:sz w:val="24"/>
                <w:szCs w:val="24"/>
              </w:rPr>
              <w:t>125,454.00</w:t>
            </w:r>
          </w:p>
        </w:tc>
        <w:tc>
          <w:tcPr>
            <w:tcW w:w="1842" w:type="dxa"/>
            <w:vAlign w:val="center"/>
          </w:tcPr>
          <w:p w:rsidR="00E60712" w:rsidRDefault="006602AC">
            <w:pPr>
              <w:jc w:val="right"/>
            </w:pPr>
            <w:r>
              <w:rPr>
                <w:rFonts w:eastAsiaTheme="minorEastAsia"/>
                <w:kern w:val="0"/>
                <w:sz w:val="24"/>
                <w:szCs w:val="24"/>
              </w:rPr>
              <w:t>23,319,389.52</w:t>
            </w:r>
          </w:p>
        </w:tc>
        <w:tc>
          <w:tcPr>
            <w:tcW w:w="1616" w:type="dxa"/>
            <w:vAlign w:val="center"/>
          </w:tcPr>
          <w:p w:rsidR="00E60712" w:rsidRDefault="006602AC">
            <w:pPr>
              <w:jc w:val="right"/>
            </w:pPr>
            <w:r>
              <w:rPr>
                <w:rFonts w:eastAsiaTheme="minorEastAsia"/>
                <w:kern w:val="0"/>
                <w:sz w:val="24"/>
                <w:szCs w:val="24"/>
              </w:rPr>
              <w:t>5.89</w:t>
            </w:r>
          </w:p>
        </w:tc>
      </w:tr>
      <w:tr w:rsidR="00E60712">
        <w:tc>
          <w:tcPr>
            <w:tcW w:w="817" w:type="dxa"/>
            <w:vAlign w:val="center"/>
          </w:tcPr>
          <w:p w:rsidR="00E60712" w:rsidRDefault="006602AC">
            <w:pPr>
              <w:jc w:val="center"/>
            </w:pPr>
            <w:r>
              <w:rPr>
                <w:rFonts w:eastAsiaTheme="minorEastAsia"/>
                <w:kern w:val="0"/>
                <w:sz w:val="24"/>
                <w:szCs w:val="24"/>
              </w:rPr>
              <w:t>3</w:t>
            </w:r>
          </w:p>
        </w:tc>
        <w:tc>
          <w:tcPr>
            <w:tcW w:w="1276" w:type="dxa"/>
            <w:vAlign w:val="center"/>
          </w:tcPr>
          <w:p w:rsidR="00E60712" w:rsidRDefault="006602AC">
            <w:pPr>
              <w:jc w:val="center"/>
            </w:pPr>
            <w:r>
              <w:rPr>
                <w:rFonts w:eastAsiaTheme="minorEastAsia"/>
                <w:kern w:val="0"/>
                <w:sz w:val="24"/>
                <w:szCs w:val="24"/>
              </w:rPr>
              <w:t>000858</w:t>
            </w:r>
          </w:p>
        </w:tc>
        <w:tc>
          <w:tcPr>
            <w:tcW w:w="1701" w:type="dxa"/>
            <w:vAlign w:val="center"/>
          </w:tcPr>
          <w:p w:rsidR="00E60712" w:rsidRDefault="006602AC">
            <w:pPr>
              <w:jc w:val="center"/>
            </w:pPr>
            <w:r>
              <w:rPr>
                <w:rFonts w:eastAsiaTheme="minorEastAsia"/>
                <w:kern w:val="0"/>
                <w:sz w:val="24"/>
                <w:szCs w:val="24"/>
              </w:rPr>
              <w:t>五粮液</w:t>
            </w:r>
          </w:p>
        </w:tc>
        <w:tc>
          <w:tcPr>
            <w:tcW w:w="1276" w:type="dxa"/>
            <w:vAlign w:val="center"/>
          </w:tcPr>
          <w:p w:rsidR="00E60712" w:rsidRDefault="006602AC">
            <w:pPr>
              <w:jc w:val="right"/>
            </w:pPr>
            <w:r>
              <w:rPr>
                <w:rFonts w:eastAsiaTheme="minorEastAsia"/>
                <w:kern w:val="0"/>
                <w:sz w:val="24"/>
                <w:szCs w:val="24"/>
              </w:rPr>
              <w:t>143,593.00</w:t>
            </w:r>
          </w:p>
        </w:tc>
        <w:tc>
          <w:tcPr>
            <w:tcW w:w="1842" w:type="dxa"/>
            <w:vAlign w:val="center"/>
          </w:tcPr>
          <w:p w:rsidR="00E60712" w:rsidRDefault="006602AC">
            <w:pPr>
              <w:jc w:val="right"/>
            </w:pPr>
            <w:r>
              <w:rPr>
                <w:rFonts w:eastAsiaTheme="minorEastAsia"/>
                <w:kern w:val="0"/>
                <w:sz w:val="24"/>
                <w:szCs w:val="24"/>
              </w:rPr>
              <w:t>22,265,530.58</w:t>
            </w:r>
          </w:p>
        </w:tc>
        <w:tc>
          <w:tcPr>
            <w:tcW w:w="1616" w:type="dxa"/>
            <w:vAlign w:val="center"/>
          </w:tcPr>
          <w:p w:rsidR="00E60712" w:rsidRDefault="006602AC">
            <w:pPr>
              <w:jc w:val="right"/>
            </w:pPr>
            <w:r>
              <w:rPr>
                <w:rFonts w:eastAsiaTheme="minorEastAsia"/>
                <w:kern w:val="0"/>
                <w:sz w:val="24"/>
                <w:szCs w:val="24"/>
              </w:rPr>
              <w:t>5.62</w:t>
            </w:r>
          </w:p>
        </w:tc>
      </w:tr>
      <w:tr w:rsidR="00E60712">
        <w:tc>
          <w:tcPr>
            <w:tcW w:w="817" w:type="dxa"/>
            <w:vAlign w:val="center"/>
          </w:tcPr>
          <w:p w:rsidR="00E60712" w:rsidRDefault="006602AC">
            <w:pPr>
              <w:jc w:val="center"/>
            </w:pPr>
            <w:r>
              <w:rPr>
                <w:rFonts w:eastAsiaTheme="minorEastAsia"/>
                <w:kern w:val="0"/>
                <w:sz w:val="24"/>
                <w:szCs w:val="24"/>
              </w:rPr>
              <w:t>4</w:t>
            </w:r>
          </w:p>
        </w:tc>
        <w:tc>
          <w:tcPr>
            <w:tcW w:w="1276" w:type="dxa"/>
            <w:vAlign w:val="center"/>
          </w:tcPr>
          <w:p w:rsidR="00E60712" w:rsidRDefault="006602AC">
            <w:pPr>
              <w:jc w:val="center"/>
            </w:pPr>
            <w:r>
              <w:rPr>
                <w:rFonts w:eastAsiaTheme="minorEastAsia"/>
                <w:kern w:val="0"/>
                <w:sz w:val="24"/>
                <w:szCs w:val="24"/>
              </w:rPr>
              <w:t>300750</w:t>
            </w:r>
          </w:p>
        </w:tc>
        <w:tc>
          <w:tcPr>
            <w:tcW w:w="1701" w:type="dxa"/>
            <w:vAlign w:val="center"/>
          </w:tcPr>
          <w:p w:rsidR="00E60712" w:rsidRDefault="006602AC">
            <w:pPr>
              <w:jc w:val="center"/>
            </w:pPr>
            <w:r>
              <w:rPr>
                <w:rFonts w:eastAsiaTheme="minorEastAsia"/>
                <w:kern w:val="0"/>
                <w:sz w:val="24"/>
                <w:szCs w:val="24"/>
              </w:rPr>
              <w:t>宁德时代</w:t>
            </w:r>
          </w:p>
        </w:tc>
        <w:tc>
          <w:tcPr>
            <w:tcW w:w="1276" w:type="dxa"/>
            <w:vAlign w:val="center"/>
          </w:tcPr>
          <w:p w:rsidR="00E60712" w:rsidRDefault="006602AC">
            <w:pPr>
              <w:jc w:val="right"/>
            </w:pPr>
            <w:r>
              <w:rPr>
                <w:rFonts w:eastAsiaTheme="minorEastAsia"/>
                <w:kern w:val="0"/>
                <w:sz w:val="24"/>
                <w:szCs w:val="24"/>
              </w:rPr>
              <w:t>34,200.00</w:t>
            </w:r>
          </w:p>
        </w:tc>
        <w:tc>
          <w:tcPr>
            <w:tcW w:w="1842" w:type="dxa"/>
            <w:vAlign w:val="center"/>
          </w:tcPr>
          <w:p w:rsidR="00E60712" w:rsidRDefault="006602AC">
            <w:pPr>
              <w:jc w:val="right"/>
            </w:pPr>
            <w:r>
              <w:rPr>
                <w:rFonts w:eastAsiaTheme="minorEastAsia"/>
                <w:kern w:val="0"/>
                <w:sz w:val="24"/>
                <w:szCs w:val="24"/>
              </w:rPr>
              <w:t>17,520,660.00</w:t>
            </w:r>
          </w:p>
        </w:tc>
        <w:tc>
          <w:tcPr>
            <w:tcW w:w="1616" w:type="dxa"/>
            <w:vAlign w:val="center"/>
          </w:tcPr>
          <w:p w:rsidR="00E60712" w:rsidRDefault="006602AC">
            <w:pPr>
              <w:jc w:val="right"/>
            </w:pPr>
            <w:r>
              <w:rPr>
                <w:rFonts w:eastAsiaTheme="minorEastAsia"/>
                <w:kern w:val="0"/>
                <w:sz w:val="24"/>
                <w:szCs w:val="24"/>
              </w:rPr>
              <w:t>4.42</w:t>
            </w:r>
          </w:p>
        </w:tc>
      </w:tr>
      <w:tr w:rsidR="00E60712">
        <w:tc>
          <w:tcPr>
            <w:tcW w:w="817" w:type="dxa"/>
            <w:vAlign w:val="center"/>
          </w:tcPr>
          <w:p w:rsidR="00E60712" w:rsidRDefault="006602AC">
            <w:pPr>
              <w:jc w:val="center"/>
            </w:pPr>
            <w:r>
              <w:rPr>
                <w:rFonts w:eastAsiaTheme="minorEastAsia"/>
                <w:kern w:val="0"/>
                <w:sz w:val="24"/>
                <w:szCs w:val="24"/>
              </w:rPr>
              <w:t>5</w:t>
            </w:r>
          </w:p>
        </w:tc>
        <w:tc>
          <w:tcPr>
            <w:tcW w:w="1276" w:type="dxa"/>
            <w:vAlign w:val="center"/>
          </w:tcPr>
          <w:p w:rsidR="00E60712" w:rsidRDefault="006602AC">
            <w:pPr>
              <w:jc w:val="center"/>
            </w:pPr>
            <w:r>
              <w:rPr>
                <w:rFonts w:eastAsiaTheme="minorEastAsia"/>
                <w:kern w:val="0"/>
                <w:sz w:val="24"/>
                <w:szCs w:val="24"/>
              </w:rPr>
              <w:t>002236</w:t>
            </w:r>
          </w:p>
        </w:tc>
        <w:tc>
          <w:tcPr>
            <w:tcW w:w="1701" w:type="dxa"/>
            <w:vAlign w:val="center"/>
          </w:tcPr>
          <w:p w:rsidR="00E60712" w:rsidRDefault="006602AC">
            <w:pPr>
              <w:jc w:val="center"/>
            </w:pPr>
            <w:r>
              <w:rPr>
                <w:rFonts w:eastAsiaTheme="minorEastAsia"/>
                <w:kern w:val="0"/>
                <w:sz w:val="24"/>
                <w:szCs w:val="24"/>
              </w:rPr>
              <w:t>大华股份</w:t>
            </w:r>
          </w:p>
        </w:tc>
        <w:tc>
          <w:tcPr>
            <w:tcW w:w="1276" w:type="dxa"/>
            <w:vAlign w:val="center"/>
          </w:tcPr>
          <w:p w:rsidR="00E60712" w:rsidRDefault="006602AC">
            <w:pPr>
              <w:jc w:val="right"/>
            </w:pPr>
            <w:r>
              <w:rPr>
                <w:rFonts w:eastAsiaTheme="minorEastAsia"/>
                <w:kern w:val="0"/>
                <w:sz w:val="24"/>
                <w:szCs w:val="24"/>
              </w:rPr>
              <w:t>944,000.00</w:t>
            </w:r>
          </w:p>
        </w:tc>
        <w:tc>
          <w:tcPr>
            <w:tcW w:w="1842" w:type="dxa"/>
            <w:vAlign w:val="center"/>
          </w:tcPr>
          <w:p w:rsidR="00E60712" w:rsidRDefault="006602AC">
            <w:pPr>
              <w:jc w:val="right"/>
            </w:pPr>
            <w:r>
              <w:rPr>
                <w:rFonts w:eastAsiaTheme="minorEastAsia"/>
                <w:kern w:val="0"/>
                <w:sz w:val="24"/>
                <w:szCs w:val="24"/>
              </w:rPr>
              <w:t>15,623,200.00</w:t>
            </w:r>
          </w:p>
        </w:tc>
        <w:tc>
          <w:tcPr>
            <w:tcW w:w="1616" w:type="dxa"/>
            <w:vAlign w:val="center"/>
          </w:tcPr>
          <w:p w:rsidR="00E60712" w:rsidRDefault="006602AC">
            <w:pPr>
              <w:jc w:val="right"/>
            </w:pPr>
            <w:r>
              <w:rPr>
                <w:rFonts w:eastAsiaTheme="minorEastAsia"/>
                <w:kern w:val="0"/>
                <w:sz w:val="24"/>
                <w:szCs w:val="24"/>
              </w:rPr>
              <w:t>3.94</w:t>
            </w:r>
          </w:p>
        </w:tc>
      </w:tr>
      <w:tr w:rsidR="00E60712">
        <w:tc>
          <w:tcPr>
            <w:tcW w:w="817" w:type="dxa"/>
            <w:vAlign w:val="center"/>
          </w:tcPr>
          <w:p w:rsidR="00E60712" w:rsidRDefault="006602AC">
            <w:pPr>
              <w:jc w:val="center"/>
            </w:pPr>
            <w:r>
              <w:rPr>
                <w:rFonts w:eastAsiaTheme="minorEastAsia"/>
                <w:kern w:val="0"/>
                <w:sz w:val="24"/>
                <w:szCs w:val="24"/>
              </w:rPr>
              <w:t>6</w:t>
            </w:r>
          </w:p>
        </w:tc>
        <w:tc>
          <w:tcPr>
            <w:tcW w:w="1276" w:type="dxa"/>
            <w:vAlign w:val="center"/>
          </w:tcPr>
          <w:p w:rsidR="00E60712" w:rsidRDefault="006602AC">
            <w:pPr>
              <w:jc w:val="center"/>
            </w:pPr>
            <w:r>
              <w:rPr>
                <w:rFonts w:eastAsiaTheme="minorEastAsia"/>
                <w:kern w:val="0"/>
                <w:sz w:val="24"/>
                <w:szCs w:val="24"/>
              </w:rPr>
              <w:t>002821</w:t>
            </w:r>
          </w:p>
        </w:tc>
        <w:tc>
          <w:tcPr>
            <w:tcW w:w="1701" w:type="dxa"/>
            <w:vAlign w:val="center"/>
          </w:tcPr>
          <w:p w:rsidR="00E60712" w:rsidRDefault="006602AC">
            <w:pPr>
              <w:jc w:val="center"/>
            </w:pPr>
            <w:r>
              <w:rPr>
                <w:rFonts w:eastAsiaTheme="minorEastAsia"/>
                <w:kern w:val="0"/>
                <w:sz w:val="24"/>
                <w:szCs w:val="24"/>
              </w:rPr>
              <w:t>凯莱英</w:t>
            </w:r>
          </w:p>
        </w:tc>
        <w:tc>
          <w:tcPr>
            <w:tcW w:w="1276" w:type="dxa"/>
            <w:vAlign w:val="center"/>
          </w:tcPr>
          <w:p w:rsidR="00E60712" w:rsidRDefault="006602AC">
            <w:pPr>
              <w:jc w:val="right"/>
            </w:pPr>
            <w:r>
              <w:rPr>
                <w:rFonts w:eastAsiaTheme="minorEastAsia"/>
                <w:kern w:val="0"/>
                <w:sz w:val="24"/>
                <w:szCs w:val="24"/>
              </w:rPr>
              <w:t>40,000.00</w:t>
            </w:r>
          </w:p>
        </w:tc>
        <w:tc>
          <w:tcPr>
            <w:tcW w:w="1842" w:type="dxa"/>
            <w:vAlign w:val="center"/>
          </w:tcPr>
          <w:p w:rsidR="00E60712" w:rsidRDefault="006602AC">
            <w:pPr>
              <w:jc w:val="right"/>
            </w:pPr>
            <w:r>
              <w:rPr>
                <w:rFonts w:eastAsiaTheme="minorEastAsia"/>
                <w:kern w:val="0"/>
                <w:sz w:val="24"/>
                <w:szCs w:val="24"/>
              </w:rPr>
              <w:t>14,680,000.00</w:t>
            </w:r>
          </w:p>
        </w:tc>
        <w:tc>
          <w:tcPr>
            <w:tcW w:w="1616" w:type="dxa"/>
            <w:vAlign w:val="center"/>
          </w:tcPr>
          <w:p w:rsidR="00E60712" w:rsidRDefault="006602AC">
            <w:pPr>
              <w:jc w:val="right"/>
            </w:pPr>
            <w:r>
              <w:rPr>
                <w:rFonts w:eastAsiaTheme="minorEastAsia"/>
                <w:kern w:val="0"/>
                <w:sz w:val="24"/>
                <w:szCs w:val="24"/>
              </w:rPr>
              <w:t>3.71</w:t>
            </w:r>
          </w:p>
        </w:tc>
      </w:tr>
      <w:tr w:rsidR="00E60712">
        <w:tc>
          <w:tcPr>
            <w:tcW w:w="817" w:type="dxa"/>
            <w:vAlign w:val="center"/>
          </w:tcPr>
          <w:p w:rsidR="00E60712" w:rsidRDefault="006602AC">
            <w:pPr>
              <w:jc w:val="center"/>
            </w:pPr>
            <w:r>
              <w:rPr>
                <w:rFonts w:eastAsiaTheme="minorEastAsia"/>
                <w:kern w:val="0"/>
                <w:sz w:val="24"/>
                <w:szCs w:val="24"/>
              </w:rPr>
              <w:t>7</w:t>
            </w:r>
          </w:p>
        </w:tc>
        <w:tc>
          <w:tcPr>
            <w:tcW w:w="1276" w:type="dxa"/>
            <w:vAlign w:val="center"/>
          </w:tcPr>
          <w:p w:rsidR="00E60712" w:rsidRDefault="006602AC">
            <w:pPr>
              <w:jc w:val="center"/>
            </w:pPr>
            <w:r>
              <w:rPr>
                <w:rFonts w:eastAsiaTheme="minorEastAsia"/>
                <w:kern w:val="0"/>
                <w:sz w:val="24"/>
                <w:szCs w:val="24"/>
              </w:rPr>
              <w:t>603236</w:t>
            </w:r>
          </w:p>
        </w:tc>
        <w:tc>
          <w:tcPr>
            <w:tcW w:w="1701" w:type="dxa"/>
            <w:vAlign w:val="center"/>
          </w:tcPr>
          <w:p w:rsidR="00E60712" w:rsidRDefault="006602AC">
            <w:pPr>
              <w:jc w:val="center"/>
            </w:pPr>
            <w:r>
              <w:rPr>
                <w:rFonts w:eastAsiaTheme="minorEastAsia"/>
                <w:kern w:val="0"/>
                <w:sz w:val="24"/>
                <w:szCs w:val="24"/>
              </w:rPr>
              <w:t>移远通信</w:t>
            </w:r>
          </w:p>
        </w:tc>
        <w:tc>
          <w:tcPr>
            <w:tcW w:w="1276" w:type="dxa"/>
            <w:vAlign w:val="center"/>
          </w:tcPr>
          <w:p w:rsidR="00E60712" w:rsidRDefault="006602AC">
            <w:pPr>
              <w:jc w:val="right"/>
            </w:pPr>
            <w:r>
              <w:rPr>
                <w:rFonts w:eastAsiaTheme="minorEastAsia"/>
                <w:kern w:val="0"/>
                <w:sz w:val="24"/>
                <w:szCs w:val="24"/>
              </w:rPr>
              <w:t>76,500.00</w:t>
            </w:r>
          </w:p>
        </w:tc>
        <w:tc>
          <w:tcPr>
            <w:tcW w:w="1842" w:type="dxa"/>
            <w:vAlign w:val="center"/>
          </w:tcPr>
          <w:p w:rsidR="00E60712" w:rsidRDefault="006602AC">
            <w:pPr>
              <w:jc w:val="right"/>
            </w:pPr>
            <w:r>
              <w:rPr>
                <w:rFonts w:eastAsiaTheme="minorEastAsia"/>
                <w:kern w:val="0"/>
                <w:sz w:val="24"/>
                <w:szCs w:val="24"/>
              </w:rPr>
              <w:t>13,698,090.00</w:t>
            </w:r>
          </w:p>
        </w:tc>
        <w:tc>
          <w:tcPr>
            <w:tcW w:w="1616" w:type="dxa"/>
            <w:vAlign w:val="center"/>
          </w:tcPr>
          <w:p w:rsidR="00E60712" w:rsidRDefault="006602AC">
            <w:pPr>
              <w:jc w:val="right"/>
            </w:pPr>
            <w:r>
              <w:rPr>
                <w:rFonts w:eastAsiaTheme="minorEastAsia"/>
                <w:kern w:val="0"/>
                <w:sz w:val="24"/>
                <w:szCs w:val="24"/>
              </w:rPr>
              <w:t>3.46</w:t>
            </w:r>
          </w:p>
        </w:tc>
      </w:tr>
      <w:tr w:rsidR="00E60712">
        <w:tc>
          <w:tcPr>
            <w:tcW w:w="817" w:type="dxa"/>
            <w:vAlign w:val="center"/>
          </w:tcPr>
          <w:p w:rsidR="00E60712" w:rsidRDefault="006602AC">
            <w:pPr>
              <w:jc w:val="center"/>
            </w:pPr>
            <w:r>
              <w:rPr>
                <w:rFonts w:eastAsiaTheme="minorEastAsia"/>
                <w:kern w:val="0"/>
                <w:sz w:val="24"/>
                <w:szCs w:val="24"/>
              </w:rPr>
              <w:t>8</w:t>
            </w:r>
          </w:p>
        </w:tc>
        <w:tc>
          <w:tcPr>
            <w:tcW w:w="1276" w:type="dxa"/>
            <w:vAlign w:val="center"/>
          </w:tcPr>
          <w:p w:rsidR="00E60712" w:rsidRDefault="006602AC">
            <w:pPr>
              <w:jc w:val="center"/>
            </w:pPr>
            <w:r>
              <w:rPr>
                <w:rFonts w:eastAsiaTheme="minorEastAsia"/>
                <w:kern w:val="0"/>
                <w:sz w:val="24"/>
                <w:szCs w:val="24"/>
              </w:rPr>
              <w:t>002049</w:t>
            </w:r>
          </w:p>
        </w:tc>
        <w:tc>
          <w:tcPr>
            <w:tcW w:w="1701" w:type="dxa"/>
            <w:vAlign w:val="center"/>
          </w:tcPr>
          <w:p w:rsidR="00E60712" w:rsidRDefault="006602AC">
            <w:pPr>
              <w:jc w:val="center"/>
            </w:pPr>
            <w:r>
              <w:rPr>
                <w:rFonts w:eastAsiaTheme="minorEastAsia"/>
                <w:kern w:val="0"/>
                <w:sz w:val="24"/>
                <w:szCs w:val="24"/>
              </w:rPr>
              <w:t>紫光国微</w:t>
            </w:r>
          </w:p>
        </w:tc>
        <w:tc>
          <w:tcPr>
            <w:tcW w:w="1276" w:type="dxa"/>
            <w:vAlign w:val="center"/>
          </w:tcPr>
          <w:p w:rsidR="00E60712" w:rsidRDefault="006602AC">
            <w:pPr>
              <w:jc w:val="right"/>
            </w:pPr>
            <w:r>
              <w:rPr>
                <w:rFonts w:eastAsiaTheme="minorEastAsia"/>
                <w:kern w:val="0"/>
                <w:sz w:val="24"/>
                <w:szCs w:val="24"/>
              </w:rPr>
              <w:t>66,607.00</w:t>
            </w:r>
          </w:p>
        </w:tc>
        <w:tc>
          <w:tcPr>
            <w:tcW w:w="1842" w:type="dxa"/>
            <w:vAlign w:val="center"/>
          </w:tcPr>
          <w:p w:rsidR="00E60712" w:rsidRDefault="006602AC">
            <w:pPr>
              <w:jc w:val="right"/>
            </w:pPr>
            <w:r>
              <w:rPr>
                <w:rFonts w:eastAsiaTheme="minorEastAsia"/>
                <w:kern w:val="0"/>
                <w:sz w:val="24"/>
                <w:szCs w:val="24"/>
              </w:rPr>
              <w:t>13,623,795.78</w:t>
            </w:r>
          </w:p>
        </w:tc>
        <w:tc>
          <w:tcPr>
            <w:tcW w:w="1616" w:type="dxa"/>
            <w:vAlign w:val="center"/>
          </w:tcPr>
          <w:p w:rsidR="00E60712" w:rsidRDefault="006602AC">
            <w:pPr>
              <w:jc w:val="right"/>
            </w:pPr>
            <w:r>
              <w:rPr>
                <w:rFonts w:eastAsiaTheme="minorEastAsia"/>
                <w:kern w:val="0"/>
                <w:sz w:val="24"/>
                <w:szCs w:val="24"/>
              </w:rPr>
              <w:t>3.44</w:t>
            </w:r>
          </w:p>
        </w:tc>
      </w:tr>
      <w:tr w:rsidR="00E60712">
        <w:tc>
          <w:tcPr>
            <w:tcW w:w="817" w:type="dxa"/>
            <w:vAlign w:val="center"/>
          </w:tcPr>
          <w:p w:rsidR="00E60712" w:rsidRDefault="006602AC">
            <w:pPr>
              <w:jc w:val="center"/>
            </w:pPr>
            <w:r>
              <w:rPr>
                <w:rFonts w:eastAsiaTheme="minorEastAsia"/>
                <w:kern w:val="0"/>
                <w:sz w:val="24"/>
                <w:szCs w:val="24"/>
              </w:rPr>
              <w:t>9</w:t>
            </w:r>
          </w:p>
        </w:tc>
        <w:tc>
          <w:tcPr>
            <w:tcW w:w="1276" w:type="dxa"/>
            <w:vAlign w:val="center"/>
          </w:tcPr>
          <w:p w:rsidR="00E60712" w:rsidRDefault="006602AC">
            <w:pPr>
              <w:jc w:val="center"/>
            </w:pPr>
            <w:r>
              <w:rPr>
                <w:rFonts w:eastAsiaTheme="minorEastAsia"/>
                <w:kern w:val="0"/>
                <w:sz w:val="24"/>
                <w:szCs w:val="24"/>
              </w:rPr>
              <w:t>002475</w:t>
            </w:r>
          </w:p>
        </w:tc>
        <w:tc>
          <w:tcPr>
            <w:tcW w:w="1701" w:type="dxa"/>
            <w:vAlign w:val="center"/>
          </w:tcPr>
          <w:p w:rsidR="00E60712" w:rsidRDefault="006602AC">
            <w:pPr>
              <w:jc w:val="center"/>
            </w:pPr>
            <w:r>
              <w:rPr>
                <w:rFonts w:eastAsiaTheme="minorEastAsia"/>
                <w:kern w:val="0"/>
                <w:sz w:val="24"/>
                <w:szCs w:val="24"/>
              </w:rPr>
              <w:t>立讯精密</w:t>
            </w:r>
          </w:p>
        </w:tc>
        <w:tc>
          <w:tcPr>
            <w:tcW w:w="1276" w:type="dxa"/>
            <w:vAlign w:val="center"/>
          </w:tcPr>
          <w:p w:rsidR="00E60712" w:rsidRDefault="006602AC">
            <w:pPr>
              <w:jc w:val="right"/>
            </w:pPr>
            <w:r>
              <w:rPr>
                <w:rFonts w:eastAsiaTheme="minorEastAsia"/>
                <w:kern w:val="0"/>
                <w:sz w:val="24"/>
                <w:szCs w:val="24"/>
              </w:rPr>
              <w:t>403,100.00</w:t>
            </w:r>
          </w:p>
        </w:tc>
        <w:tc>
          <w:tcPr>
            <w:tcW w:w="1842" w:type="dxa"/>
            <w:vAlign w:val="center"/>
          </w:tcPr>
          <w:p w:rsidR="00E60712" w:rsidRDefault="006602AC">
            <w:pPr>
              <w:jc w:val="right"/>
            </w:pPr>
            <w:r>
              <w:rPr>
                <w:rFonts w:eastAsiaTheme="minorEastAsia"/>
                <w:kern w:val="0"/>
                <w:sz w:val="24"/>
                <w:szCs w:val="24"/>
              </w:rPr>
              <w:t>12,778,270.00</w:t>
            </w:r>
          </w:p>
        </w:tc>
        <w:tc>
          <w:tcPr>
            <w:tcW w:w="1616" w:type="dxa"/>
            <w:vAlign w:val="center"/>
          </w:tcPr>
          <w:p w:rsidR="00E60712" w:rsidRDefault="006602AC">
            <w:pPr>
              <w:jc w:val="right"/>
            </w:pPr>
            <w:r>
              <w:rPr>
                <w:rFonts w:eastAsiaTheme="minorEastAsia"/>
                <w:kern w:val="0"/>
                <w:sz w:val="24"/>
                <w:szCs w:val="24"/>
              </w:rPr>
              <w:t>3.23</w:t>
            </w:r>
          </w:p>
        </w:tc>
      </w:tr>
      <w:tr w:rsidR="00E60712">
        <w:tc>
          <w:tcPr>
            <w:tcW w:w="817" w:type="dxa"/>
            <w:vAlign w:val="center"/>
          </w:tcPr>
          <w:p w:rsidR="00E60712" w:rsidRDefault="006602AC">
            <w:pPr>
              <w:jc w:val="center"/>
            </w:pPr>
            <w:r>
              <w:rPr>
                <w:rFonts w:eastAsiaTheme="minorEastAsia"/>
                <w:kern w:val="0"/>
                <w:sz w:val="24"/>
                <w:szCs w:val="24"/>
              </w:rPr>
              <w:t>10</w:t>
            </w:r>
          </w:p>
        </w:tc>
        <w:tc>
          <w:tcPr>
            <w:tcW w:w="1276" w:type="dxa"/>
            <w:vAlign w:val="center"/>
          </w:tcPr>
          <w:p w:rsidR="00E60712" w:rsidRDefault="006602AC">
            <w:pPr>
              <w:jc w:val="center"/>
            </w:pPr>
            <w:r>
              <w:rPr>
                <w:rFonts w:eastAsiaTheme="minorEastAsia"/>
                <w:kern w:val="0"/>
                <w:sz w:val="24"/>
                <w:szCs w:val="24"/>
              </w:rPr>
              <w:t>300595</w:t>
            </w:r>
          </w:p>
        </w:tc>
        <w:tc>
          <w:tcPr>
            <w:tcW w:w="1701" w:type="dxa"/>
            <w:vAlign w:val="center"/>
          </w:tcPr>
          <w:p w:rsidR="00E60712" w:rsidRDefault="006602AC">
            <w:pPr>
              <w:jc w:val="center"/>
            </w:pPr>
            <w:r>
              <w:rPr>
                <w:rFonts w:eastAsiaTheme="minorEastAsia"/>
                <w:kern w:val="0"/>
                <w:sz w:val="24"/>
                <w:szCs w:val="24"/>
              </w:rPr>
              <w:t>欧普康视</w:t>
            </w:r>
          </w:p>
        </w:tc>
        <w:tc>
          <w:tcPr>
            <w:tcW w:w="1276" w:type="dxa"/>
            <w:vAlign w:val="center"/>
          </w:tcPr>
          <w:p w:rsidR="00E60712" w:rsidRDefault="006602AC">
            <w:pPr>
              <w:jc w:val="right"/>
            </w:pPr>
            <w:r>
              <w:rPr>
                <w:rFonts w:eastAsiaTheme="minorEastAsia"/>
                <w:kern w:val="0"/>
                <w:sz w:val="24"/>
                <w:szCs w:val="24"/>
              </w:rPr>
              <w:t>344,300.00</w:t>
            </w:r>
          </w:p>
        </w:tc>
        <w:tc>
          <w:tcPr>
            <w:tcW w:w="1842" w:type="dxa"/>
            <w:vAlign w:val="center"/>
          </w:tcPr>
          <w:p w:rsidR="00E60712" w:rsidRDefault="006602AC">
            <w:pPr>
              <w:jc w:val="right"/>
            </w:pPr>
            <w:r>
              <w:rPr>
                <w:rFonts w:eastAsiaTheme="minorEastAsia"/>
                <w:kern w:val="0"/>
                <w:sz w:val="24"/>
                <w:szCs w:val="24"/>
              </w:rPr>
              <w:t>12,577,279.00</w:t>
            </w:r>
          </w:p>
        </w:tc>
        <w:tc>
          <w:tcPr>
            <w:tcW w:w="1616" w:type="dxa"/>
            <w:vAlign w:val="center"/>
          </w:tcPr>
          <w:p w:rsidR="00E60712" w:rsidRDefault="006602AC">
            <w:pPr>
              <w:jc w:val="right"/>
            </w:pPr>
            <w:r>
              <w:rPr>
                <w:rFonts w:eastAsiaTheme="minorEastAsia"/>
                <w:kern w:val="0"/>
                <w:sz w:val="24"/>
                <w:szCs w:val="24"/>
              </w:rPr>
              <w:t>3.17</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lastRenderedPageBreak/>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120,992.28</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2,498,006.21</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36,976.55</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2.04</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2,655,977.08</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w:t>
      </w:r>
      <w:r w:rsidRPr="00FF6B9A">
        <w:rPr>
          <w:rFonts w:eastAsiaTheme="minorEastAsia"/>
          <w:color w:val="000000" w:themeColor="text1"/>
        </w:rPr>
        <w:t>,</w:t>
      </w:r>
      <w:r w:rsidRPr="00FF6B9A">
        <w:rPr>
          <w:rFonts w:eastAsiaTheme="minorEastAsia"/>
          <w:color w:val="000000" w:themeColor="text1"/>
        </w:rPr>
        <w:t>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576,127,176.89</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4,338,118.85</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10,193,661.22</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570,271,634.52</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lastRenderedPageBreak/>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E60712" w:rsidRDefault="006602AC">
      <w:pPr>
        <w:spacing w:line="360" w:lineRule="auto"/>
        <w:ind w:firstLineChars="200" w:firstLine="420"/>
        <w:rPr>
          <w:rFonts w:eastAsiaTheme="minorEastAsia"/>
          <w:color w:val="000000" w:themeColor="text1"/>
        </w:rPr>
      </w:pPr>
      <w:r>
        <w:rPr>
          <w:rFonts w:eastAsiaTheme="minorEastAsia"/>
          <w:color w:val="000000" w:themeColor="text1"/>
        </w:rPr>
        <w:t xml:space="preserve">1. </w:t>
      </w:r>
      <w:r>
        <w:rPr>
          <w:rFonts w:eastAsiaTheme="minorEastAsia"/>
          <w:color w:val="000000" w:themeColor="text1"/>
        </w:rPr>
        <w:t>中国证监会批准上投摩根整合驱动灵活配置混合型证券投资基金设立的文件；</w:t>
      </w:r>
    </w:p>
    <w:p w:rsidR="00E60712" w:rsidRDefault="006602AC">
      <w:pPr>
        <w:spacing w:line="360" w:lineRule="auto"/>
        <w:ind w:firstLineChars="200" w:firstLine="420"/>
        <w:rPr>
          <w:rFonts w:eastAsiaTheme="minorEastAsia"/>
          <w:color w:val="000000" w:themeColor="text1"/>
        </w:rPr>
      </w:pPr>
      <w:r>
        <w:rPr>
          <w:rFonts w:eastAsiaTheme="minorEastAsia"/>
          <w:color w:val="000000" w:themeColor="text1"/>
        </w:rPr>
        <w:t xml:space="preserve">2. </w:t>
      </w:r>
      <w:r>
        <w:rPr>
          <w:rFonts w:eastAsiaTheme="minorEastAsia"/>
          <w:color w:val="000000" w:themeColor="text1"/>
        </w:rPr>
        <w:t>《上投摩根整合驱动灵活配置混合型证券投资基金基金合同》；</w:t>
      </w:r>
    </w:p>
    <w:p w:rsidR="00E60712" w:rsidRDefault="006602AC">
      <w:pPr>
        <w:spacing w:line="360" w:lineRule="auto"/>
        <w:ind w:firstLineChars="200" w:firstLine="420"/>
        <w:rPr>
          <w:rFonts w:eastAsiaTheme="minorEastAsia"/>
          <w:color w:val="000000" w:themeColor="text1"/>
        </w:rPr>
      </w:pPr>
      <w:r>
        <w:rPr>
          <w:rFonts w:eastAsiaTheme="minorEastAsia"/>
          <w:color w:val="000000" w:themeColor="text1"/>
        </w:rPr>
        <w:t xml:space="preserve">3. </w:t>
      </w:r>
      <w:r>
        <w:rPr>
          <w:rFonts w:eastAsiaTheme="minorEastAsia"/>
          <w:color w:val="000000" w:themeColor="text1"/>
        </w:rPr>
        <w:t>《上投摩根整合驱动灵活配置混合型证券投资基金托管协议》；</w:t>
      </w:r>
    </w:p>
    <w:p w:rsidR="00E60712" w:rsidRDefault="006602AC">
      <w:pPr>
        <w:spacing w:line="360" w:lineRule="auto"/>
        <w:ind w:firstLineChars="200" w:firstLine="420"/>
        <w:rPr>
          <w:rFonts w:eastAsiaTheme="minorEastAsia"/>
          <w:color w:val="000000" w:themeColor="text1"/>
        </w:rPr>
      </w:pPr>
      <w:r>
        <w:rPr>
          <w:rFonts w:eastAsiaTheme="minorEastAsia"/>
          <w:color w:val="000000" w:themeColor="text1"/>
        </w:rPr>
        <w:t xml:space="preserve">4. </w:t>
      </w:r>
      <w:r>
        <w:rPr>
          <w:rFonts w:eastAsiaTheme="minorEastAsia"/>
          <w:color w:val="000000" w:themeColor="text1"/>
        </w:rPr>
        <w:t>《上投摩根开放式基金业务规则》；</w:t>
      </w:r>
    </w:p>
    <w:p w:rsidR="00E60712" w:rsidRDefault="006602AC">
      <w:pPr>
        <w:spacing w:line="360" w:lineRule="auto"/>
        <w:ind w:firstLineChars="200" w:firstLine="420"/>
        <w:rPr>
          <w:rFonts w:eastAsiaTheme="minorEastAsia"/>
          <w:color w:val="000000" w:themeColor="text1"/>
        </w:rPr>
      </w:pPr>
      <w:r>
        <w:rPr>
          <w:rFonts w:eastAsiaTheme="minorEastAsia"/>
          <w:color w:val="000000" w:themeColor="text1"/>
        </w:rPr>
        <w:t xml:space="preserve">5. </w:t>
      </w:r>
      <w:r>
        <w:rPr>
          <w:rFonts w:eastAsiaTheme="minorEastAsia"/>
          <w:color w:val="000000" w:themeColor="text1"/>
        </w:rPr>
        <w:t>基金管理人业务资格批件、营业执照；</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 xml:space="preserve">6. </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lastRenderedPageBreak/>
        <w:t>二〇二二年四月二十二日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6602AC" w:rsidRPr="006602AC">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6602AC">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上投摩根整合驱动灵活配置混合型证券投资基金</w:t>
    </w:r>
    <w:r>
      <w:rPr>
        <w:rFonts w:hint="eastAsia"/>
      </w:rPr>
      <w:t>2022</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2A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712"/>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D723FF-0E4F-4319-BB7F-0465D082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1099</Words>
  <Characters>6267</Characters>
  <Application>Microsoft Office Word</Application>
  <DocSecurity>0</DocSecurity>
  <Lines>52</Lines>
  <Paragraphs>14</Paragraphs>
  <ScaleCrop>false</ScaleCrop>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Wang,Xiaodi@FA</cp:lastModifiedBy>
  <cp:revision>268</cp:revision>
  <dcterms:created xsi:type="dcterms:W3CDTF">2012-10-16T06:07:00Z</dcterms:created>
  <dcterms:modified xsi:type="dcterms:W3CDTF">2022-04-21T03:34:00Z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