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摩根整合驱动灵活配置混合型证券投资基金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报告送出日期：二〇二三年十月二十五日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AF6AAE" w:rsidRDefault="00B568B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AF6AAE" w:rsidRDefault="00B568B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AF6AAE" w:rsidRDefault="00B568B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AF6AAE" w:rsidRDefault="00B568B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AF6AAE" w:rsidRDefault="00B568B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摩根整合驱动混合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001192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23</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548,154,309.75</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通过深入细致的基本面研究，把握企业整合发展带来的投资机会，在严格的风险控制前提下，力争实现基金资产的长期增值。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AF6AAE" w:rsidRDefault="00B568B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资产配置策略</w:t>
            </w:r>
          </w:p>
          <w:p w:rsidR="00AF6AAE" w:rsidRDefault="00B568B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本基金通过自上而下和自下而上相结合、定性分析和定量分析互相补充的方法，在股票、债券和现金等资产类别之间进行相对灵活的配置。</w:t>
            </w:r>
          </w:p>
          <w:p w:rsidR="00AF6AAE" w:rsidRDefault="00B568B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AF6AAE" w:rsidRDefault="00B568B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本基金将重点投资于整合主题相关的上市公司。在个股选</w:t>
            </w:r>
            <w:r>
              <w:rPr>
                <w:rFonts w:eastAsiaTheme="minorEastAsia"/>
                <w:color w:val="000000" w:themeColor="text1"/>
                <w:kern w:val="0"/>
                <w:szCs w:val="21"/>
              </w:rPr>
              <w:lastRenderedPageBreak/>
              <w:t>择层面，首先将根据本基金对于整合主题的界定构建初选股票池，在此基础上剔除不具有投资价值的股票建立备选股票池。本基金将深入分析公司的并购重组行为对未来经营可能产生的影响，综合评估其是否会带来经营业绩的改善。通过对并购重组带来的行业增长及公司协同效应的综合分析，精选未来具有较高成长潜力的公司。</w:t>
            </w:r>
          </w:p>
          <w:p w:rsidR="00AF6AAE" w:rsidRDefault="00B568B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债券配置策略</w:t>
            </w:r>
          </w:p>
          <w:p w:rsidR="00AF6AAE" w:rsidRDefault="00B568B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对于固定收益类资产的选择，本基金将以价值分析为主线，在综合研究的基础上实施积极主动的组合管理，并主要通过类属配置与债券选择两个层次进行投资管理。</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、其他投资策略：包括可转换债券投资策略、中小企业私募债投资策略、股指期货投资策略、股票期权投资策略、存托凭证投资策略。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*40%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AF6AAE" w:rsidRDefault="00B568B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001192</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016920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w:t>
            </w:r>
            <w:r w:rsidRPr="00B27A29">
              <w:rPr>
                <w:rFonts w:eastAsiaTheme="minorEastAsia"/>
                <w:color w:val="000000" w:themeColor="text1"/>
                <w:szCs w:val="21"/>
              </w:rPr>
              <w:lastRenderedPageBreak/>
              <w:t>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lastRenderedPageBreak/>
              <w:t>547,177,857.82</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976,451.93</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-20,638,866.19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-35,862.91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-59,343,913.05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-100,086.06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-0.1083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-0.1079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262,199,871.55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465,998.65</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0.4792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0.4772</w:t>
            </w:r>
          </w:p>
        </w:tc>
      </w:tr>
    </w:tbl>
    <w:p w:rsidR="00AF6AAE" w:rsidRDefault="00B568B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摩根整合驱动混合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F6AAE">
        <w:tc>
          <w:tcPr>
            <w:tcW w:w="1290" w:type="dxa"/>
            <w:vAlign w:val="center"/>
          </w:tcPr>
          <w:p w:rsidR="00AF6AAE" w:rsidRDefault="00B568BF">
            <w:pPr>
              <w:jc w:val="left"/>
            </w:pPr>
            <w:r>
              <w:rPr>
                <w:rFonts w:eastAsiaTheme="minorEastAsia"/>
                <w:color w:val="000000" w:themeColor="text1"/>
                <w:szCs w:val="21"/>
              </w:rPr>
              <w:t>过去三个月</w:t>
            </w:r>
          </w:p>
        </w:tc>
        <w:tc>
          <w:tcPr>
            <w:tcW w:w="1291" w:type="dxa"/>
            <w:vAlign w:val="center"/>
          </w:tcPr>
          <w:p w:rsidR="00AF6AAE" w:rsidRDefault="00B568BF">
            <w:pPr>
              <w:jc w:val="right"/>
            </w:pPr>
            <w:r>
              <w:rPr>
                <w:rFonts w:eastAsiaTheme="minorEastAsia"/>
                <w:color w:val="000000" w:themeColor="text1"/>
                <w:szCs w:val="21"/>
              </w:rPr>
              <w:t>-18.43%</w:t>
            </w:r>
          </w:p>
        </w:tc>
        <w:tc>
          <w:tcPr>
            <w:tcW w:w="1291" w:type="dxa"/>
            <w:vAlign w:val="center"/>
          </w:tcPr>
          <w:p w:rsidR="00AF6AAE" w:rsidRDefault="00B568BF">
            <w:pPr>
              <w:jc w:val="right"/>
            </w:pPr>
            <w:r>
              <w:rPr>
                <w:rFonts w:eastAsiaTheme="minorEastAsia"/>
                <w:color w:val="000000" w:themeColor="text1"/>
                <w:szCs w:val="21"/>
              </w:rPr>
              <w:t>1.57%</w:t>
            </w:r>
          </w:p>
        </w:tc>
        <w:tc>
          <w:tcPr>
            <w:tcW w:w="1291" w:type="dxa"/>
            <w:vAlign w:val="center"/>
          </w:tcPr>
          <w:p w:rsidR="00AF6AAE" w:rsidRDefault="00B568BF">
            <w:pPr>
              <w:jc w:val="right"/>
            </w:pPr>
            <w:r>
              <w:rPr>
                <w:rFonts w:eastAsiaTheme="minorEastAsia"/>
                <w:color w:val="000000" w:themeColor="text1"/>
                <w:szCs w:val="21"/>
              </w:rPr>
              <w:t>-2.58%</w:t>
            </w:r>
          </w:p>
        </w:tc>
        <w:tc>
          <w:tcPr>
            <w:tcW w:w="1291" w:type="dxa"/>
            <w:vAlign w:val="center"/>
          </w:tcPr>
          <w:p w:rsidR="00AF6AAE" w:rsidRDefault="00B568BF">
            <w:pPr>
              <w:jc w:val="right"/>
            </w:pPr>
            <w:r>
              <w:rPr>
                <w:rFonts w:eastAsiaTheme="minorEastAsia"/>
                <w:color w:val="000000" w:themeColor="text1"/>
                <w:szCs w:val="21"/>
              </w:rPr>
              <w:t>0.52%</w:t>
            </w:r>
          </w:p>
        </w:tc>
        <w:tc>
          <w:tcPr>
            <w:tcW w:w="1291" w:type="dxa"/>
            <w:vAlign w:val="center"/>
          </w:tcPr>
          <w:p w:rsidR="00AF6AAE" w:rsidRDefault="00B568BF">
            <w:pPr>
              <w:jc w:val="right"/>
            </w:pPr>
            <w:r>
              <w:rPr>
                <w:rFonts w:eastAsiaTheme="minorEastAsia"/>
                <w:color w:val="000000" w:themeColor="text1"/>
                <w:szCs w:val="21"/>
              </w:rPr>
              <w:t>-15.85%</w:t>
            </w:r>
          </w:p>
        </w:tc>
        <w:tc>
          <w:tcPr>
            <w:tcW w:w="1291" w:type="dxa"/>
            <w:vAlign w:val="center"/>
          </w:tcPr>
          <w:p w:rsidR="00AF6AAE" w:rsidRDefault="00B568BF">
            <w:pPr>
              <w:jc w:val="right"/>
            </w:pPr>
            <w:r>
              <w:rPr>
                <w:rFonts w:eastAsiaTheme="minorEastAsia"/>
                <w:color w:val="000000" w:themeColor="text1"/>
                <w:szCs w:val="21"/>
              </w:rPr>
              <w:t>1.05%</w:t>
            </w:r>
          </w:p>
        </w:tc>
      </w:tr>
      <w:tr w:rsidR="00AF6AAE">
        <w:tc>
          <w:tcPr>
            <w:tcW w:w="1290" w:type="dxa"/>
            <w:vAlign w:val="center"/>
          </w:tcPr>
          <w:p w:rsidR="00AF6AAE" w:rsidRDefault="00B568BF">
            <w:pPr>
              <w:jc w:val="left"/>
            </w:pPr>
            <w:r>
              <w:rPr>
                <w:rFonts w:eastAsiaTheme="minorEastAsia"/>
                <w:color w:val="000000" w:themeColor="text1"/>
                <w:szCs w:val="21"/>
              </w:rPr>
              <w:t>过去六个月</w:t>
            </w:r>
          </w:p>
        </w:tc>
        <w:tc>
          <w:tcPr>
            <w:tcW w:w="1291" w:type="dxa"/>
            <w:vAlign w:val="center"/>
          </w:tcPr>
          <w:p w:rsidR="00AF6AAE" w:rsidRDefault="00B568BF">
            <w:pPr>
              <w:jc w:val="right"/>
            </w:pPr>
            <w:r>
              <w:rPr>
                <w:rFonts w:eastAsiaTheme="minorEastAsia"/>
                <w:color w:val="000000" w:themeColor="text1"/>
                <w:szCs w:val="21"/>
              </w:rPr>
              <w:t>-19.29%</w:t>
            </w:r>
          </w:p>
        </w:tc>
        <w:tc>
          <w:tcPr>
            <w:tcW w:w="1291" w:type="dxa"/>
            <w:vAlign w:val="center"/>
          </w:tcPr>
          <w:p w:rsidR="00AF6AAE" w:rsidRDefault="00B568BF">
            <w:pPr>
              <w:jc w:val="right"/>
            </w:pPr>
            <w:r>
              <w:rPr>
                <w:rFonts w:eastAsiaTheme="minorEastAsia"/>
                <w:color w:val="000000" w:themeColor="text1"/>
                <w:szCs w:val="21"/>
              </w:rPr>
              <w:t>1.81%</w:t>
            </w:r>
          </w:p>
        </w:tc>
        <w:tc>
          <w:tcPr>
            <w:tcW w:w="1291" w:type="dxa"/>
            <w:vAlign w:val="center"/>
          </w:tcPr>
          <w:p w:rsidR="00AF6AAE" w:rsidRDefault="00B568BF">
            <w:pPr>
              <w:jc w:val="right"/>
            </w:pPr>
            <w:r>
              <w:rPr>
                <w:rFonts w:eastAsiaTheme="minorEastAsia"/>
                <w:color w:val="000000" w:themeColor="text1"/>
                <w:szCs w:val="21"/>
              </w:rPr>
              <w:t>-5.16%</w:t>
            </w:r>
          </w:p>
        </w:tc>
        <w:tc>
          <w:tcPr>
            <w:tcW w:w="1291" w:type="dxa"/>
            <w:vAlign w:val="center"/>
          </w:tcPr>
          <w:p w:rsidR="00AF6AAE" w:rsidRDefault="00B568BF">
            <w:pPr>
              <w:jc w:val="right"/>
            </w:pPr>
            <w:r>
              <w:rPr>
                <w:rFonts w:eastAsiaTheme="minorEastAsia"/>
                <w:color w:val="000000" w:themeColor="text1"/>
                <w:szCs w:val="21"/>
              </w:rPr>
              <w:t>0.49%</w:t>
            </w:r>
          </w:p>
        </w:tc>
        <w:tc>
          <w:tcPr>
            <w:tcW w:w="1291" w:type="dxa"/>
            <w:vAlign w:val="center"/>
          </w:tcPr>
          <w:p w:rsidR="00AF6AAE" w:rsidRDefault="00B568BF">
            <w:pPr>
              <w:jc w:val="right"/>
            </w:pPr>
            <w:r>
              <w:rPr>
                <w:rFonts w:eastAsiaTheme="minorEastAsia"/>
                <w:color w:val="000000" w:themeColor="text1"/>
                <w:szCs w:val="21"/>
              </w:rPr>
              <w:t>-14.13%</w:t>
            </w:r>
          </w:p>
        </w:tc>
        <w:tc>
          <w:tcPr>
            <w:tcW w:w="1291" w:type="dxa"/>
            <w:vAlign w:val="center"/>
          </w:tcPr>
          <w:p w:rsidR="00AF6AAE" w:rsidRDefault="00B568BF">
            <w:pPr>
              <w:jc w:val="right"/>
            </w:pPr>
            <w:r>
              <w:rPr>
                <w:rFonts w:eastAsiaTheme="minorEastAsia"/>
                <w:color w:val="000000" w:themeColor="text1"/>
                <w:szCs w:val="21"/>
              </w:rPr>
              <w:t>1.32%</w:t>
            </w:r>
          </w:p>
        </w:tc>
      </w:tr>
      <w:tr w:rsidR="00AF6AAE">
        <w:tc>
          <w:tcPr>
            <w:tcW w:w="1290" w:type="dxa"/>
            <w:vAlign w:val="center"/>
          </w:tcPr>
          <w:p w:rsidR="00AF6AAE" w:rsidRDefault="00B568BF">
            <w:pPr>
              <w:jc w:val="left"/>
            </w:pPr>
            <w:r>
              <w:rPr>
                <w:rFonts w:eastAsiaTheme="minorEastAsia"/>
                <w:color w:val="000000" w:themeColor="text1"/>
                <w:szCs w:val="21"/>
              </w:rPr>
              <w:t>过去一年</w:t>
            </w:r>
          </w:p>
        </w:tc>
        <w:tc>
          <w:tcPr>
            <w:tcW w:w="1291" w:type="dxa"/>
            <w:vAlign w:val="center"/>
          </w:tcPr>
          <w:p w:rsidR="00AF6AAE" w:rsidRDefault="00B568BF">
            <w:pPr>
              <w:jc w:val="right"/>
            </w:pPr>
            <w:r>
              <w:rPr>
                <w:rFonts w:eastAsiaTheme="minorEastAsia"/>
                <w:color w:val="000000" w:themeColor="text1"/>
                <w:szCs w:val="21"/>
              </w:rPr>
              <w:t>-25.24%</w:t>
            </w:r>
          </w:p>
        </w:tc>
        <w:tc>
          <w:tcPr>
            <w:tcW w:w="1291" w:type="dxa"/>
            <w:vAlign w:val="center"/>
          </w:tcPr>
          <w:p w:rsidR="00AF6AAE" w:rsidRDefault="00B568BF">
            <w:pPr>
              <w:jc w:val="right"/>
            </w:pPr>
            <w:r>
              <w:rPr>
                <w:rFonts w:eastAsiaTheme="minorEastAsia"/>
                <w:color w:val="000000" w:themeColor="text1"/>
                <w:szCs w:val="21"/>
              </w:rPr>
              <w:t>1.70%</w:t>
            </w:r>
          </w:p>
        </w:tc>
        <w:tc>
          <w:tcPr>
            <w:tcW w:w="1291" w:type="dxa"/>
            <w:vAlign w:val="center"/>
          </w:tcPr>
          <w:p w:rsidR="00AF6AAE" w:rsidRDefault="00B568BF">
            <w:pPr>
              <w:jc w:val="right"/>
            </w:pPr>
            <w:r>
              <w:rPr>
                <w:rFonts w:eastAsiaTheme="minorEastAsia"/>
                <w:color w:val="000000" w:themeColor="text1"/>
                <w:szCs w:val="21"/>
              </w:rPr>
              <w:t>-1.25%</w:t>
            </w:r>
          </w:p>
        </w:tc>
        <w:tc>
          <w:tcPr>
            <w:tcW w:w="1291" w:type="dxa"/>
            <w:vAlign w:val="center"/>
          </w:tcPr>
          <w:p w:rsidR="00AF6AAE" w:rsidRDefault="00B568BF">
            <w:pPr>
              <w:jc w:val="right"/>
            </w:pPr>
            <w:r>
              <w:rPr>
                <w:rFonts w:eastAsiaTheme="minorEastAsia"/>
                <w:color w:val="000000" w:themeColor="text1"/>
                <w:szCs w:val="21"/>
              </w:rPr>
              <w:t>0.55%</w:t>
            </w:r>
          </w:p>
        </w:tc>
        <w:tc>
          <w:tcPr>
            <w:tcW w:w="1291" w:type="dxa"/>
            <w:vAlign w:val="center"/>
          </w:tcPr>
          <w:p w:rsidR="00AF6AAE" w:rsidRDefault="00B568BF">
            <w:pPr>
              <w:jc w:val="right"/>
            </w:pPr>
            <w:r>
              <w:rPr>
                <w:rFonts w:eastAsiaTheme="minorEastAsia"/>
                <w:color w:val="000000" w:themeColor="text1"/>
                <w:szCs w:val="21"/>
              </w:rPr>
              <w:t>-23.99%</w:t>
            </w:r>
          </w:p>
        </w:tc>
        <w:tc>
          <w:tcPr>
            <w:tcW w:w="1291" w:type="dxa"/>
            <w:vAlign w:val="center"/>
          </w:tcPr>
          <w:p w:rsidR="00AF6AAE" w:rsidRDefault="00B568BF">
            <w:pPr>
              <w:jc w:val="right"/>
            </w:pPr>
            <w:r>
              <w:rPr>
                <w:rFonts w:eastAsiaTheme="minorEastAsia"/>
                <w:color w:val="000000" w:themeColor="text1"/>
                <w:szCs w:val="21"/>
              </w:rPr>
              <w:t>1.15%</w:t>
            </w:r>
          </w:p>
        </w:tc>
      </w:tr>
      <w:tr w:rsidR="00AF6AAE">
        <w:tc>
          <w:tcPr>
            <w:tcW w:w="1290" w:type="dxa"/>
            <w:vAlign w:val="center"/>
          </w:tcPr>
          <w:p w:rsidR="00AF6AAE" w:rsidRDefault="00B568BF">
            <w:pPr>
              <w:jc w:val="left"/>
            </w:pPr>
            <w:r>
              <w:rPr>
                <w:rFonts w:eastAsiaTheme="minorEastAsia"/>
                <w:color w:val="000000" w:themeColor="text1"/>
                <w:szCs w:val="21"/>
              </w:rPr>
              <w:t>过去三年</w:t>
            </w:r>
          </w:p>
        </w:tc>
        <w:tc>
          <w:tcPr>
            <w:tcW w:w="1291" w:type="dxa"/>
            <w:vAlign w:val="center"/>
          </w:tcPr>
          <w:p w:rsidR="00AF6AAE" w:rsidRDefault="00B568BF">
            <w:pPr>
              <w:jc w:val="right"/>
            </w:pPr>
            <w:r>
              <w:rPr>
                <w:rFonts w:eastAsiaTheme="minorEastAsia"/>
                <w:color w:val="000000" w:themeColor="text1"/>
                <w:szCs w:val="21"/>
              </w:rPr>
              <w:t>-45.55%</w:t>
            </w:r>
          </w:p>
        </w:tc>
        <w:tc>
          <w:tcPr>
            <w:tcW w:w="1291" w:type="dxa"/>
            <w:vAlign w:val="center"/>
          </w:tcPr>
          <w:p w:rsidR="00AF6AAE" w:rsidRDefault="00B568BF">
            <w:pPr>
              <w:jc w:val="right"/>
            </w:pPr>
            <w:r>
              <w:rPr>
                <w:rFonts w:eastAsiaTheme="minorEastAsia"/>
                <w:color w:val="000000" w:themeColor="text1"/>
                <w:szCs w:val="21"/>
              </w:rPr>
              <w:t>1.59%</w:t>
            </w:r>
          </w:p>
        </w:tc>
        <w:tc>
          <w:tcPr>
            <w:tcW w:w="1291" w:type="dxa"/>
            <w:vAlign w:val="center"/>
          </w:tcPr>
          <w:p w:rsidR="00AF6AAE" w:rsidRDefault="00B568BF">
            <w:pPr>
              <w:jc w:val="right"/>
            </w:pPr>
            <w:r>
              <w:rPr>
                <w:rFonts w:eastAsiaTheme="minorEastAsia"/>
                <w:color w:val="000000" w:themeColor="text1"/>
                <w:szCs w:val="21"/>
              </w:rPr>
              <w:t>-8.45%</w:t>
            </w:r>
          </w:p>
        </w:tc>
        <w:tc>
          <w:tcPr>
            <w:tcW w:w="1291" w:type="dxa"/>
            <w:vAlign w:val="center"/>
          </w:tcPr>
          <w:p w:rsidR="00AF6AAE" w:rsidRDefault="00B568BF">
            <w:pPr>
              <w:jc w:val="right"/>
            </w:pPr>
            <w:r>
              <w:rPr>
                <w:rFonts w:eastAsiaTheme="minorEastAsia"/>
                <w:color w:val="000000" w:themeColor="text1"/>
                <w:szCs w:val="21"/>
              </w:rPr>
              <w:t>0.65%</w:t>
            </w:r>
          </w:p>
        </w:tc>
        <w:tc>
          <w:tcPr>
            <w:tcW w:w="1291" w:type="dxa"/>
            <w:vAlign w:val="center"/>
          </w:tcPr>
          <w:p w:rsidR="00AF6AAE" w:rsidRDefault="00B568BF">
            <w:pPr>
              <w:jc w:val="right"/>
            </w:pPr>
            <w:r>
              <w:rPr>
                <w:rFonts w:eastAsiaTheme="minorEastAsia"/>
                <w:color w:val="000000" w:themeColor="text1"/>
                <w:szCs w:val="21"/>
              </w:rPr>
              <w:t>-37.10%</w:t>
            </w:r>
          </w:p>
        </w:tc>
        <w:tc>
          <w:tcPr>
            <w:tcW w:w="1291" w:type="dxa"/>
            <w:vAlign w:val="center"/>
          </w:tcPr>
          <w:p w:rsidR="00AF6AAE" w:rsidRDefault="00B568BF">
            <w:pPr>
              <w:jc w:val="right"/>
            </w:pPr>
            <w:r>
              <w:rPr>
                <w:rFonts w:eastAsiaTheme="minorEastAsia"/>
                <w:color w:val="000000" w:themeColor="text1"/>
                <w:szCs w:val="21"/>
              </w:rPr>
              <w:t>0.94%</w:t>
            </w:r>
          </w:p>
        </w:tc>
      </w:tr>
      <w:tr w:rsidR="00AF6AAE">
        <w:tc>
          <w:tcPr>
            <w:tcW w:w="1290" w:type="dxa"/>
            <w:vAlign w:val="center"/>
          </w:tcPr>
          <w:p w:rsidR="00AF6AAE" w:rsidRDefault="00B568BF">
            <w:pPr>
              <w:jc w:val="left"/>
            </w:pPr>
            <w:r>
              <w:rPr>
                <w:rFonts w:eastAsiaTheme="minorEastAsia"/>
                <w:color w:val="000000" w:themeColor="text1"/>
                <w:szCs w:val="21"/>
              </w:rPr>
              <w:t>过去五年</w:t>
            </w:r>
          </w:p>
        </w:tc>
        <w:tc>
          <w:tcPr>
            <w:tcW w:w="1291" w:type="dxa"/>
            <w:vAlign w:val="center"/>
          </w:tcPr>
          <w:p w:rsidR="00AF6AAE" w:rsidRDefault="00B568BF">
            <w:pPr>
              <w:jc w:val="right"/>
            </w:pPr>
            <w:r>
              <w:rPr>
                <w:rFonts w:eastAsiaTheme="minorEastAsia"/>
                <w:color w:val="000000" w:themeColor="text1"/>
                <w:szCs w:val="21"/>
              </w:rPr>
              <w:t>-14.43%</w:t>
            </w:r>
          </w:p>
        </w:tc>
        <w:tc>
          <w:tcPr>
            <w:tcW w:w="1291" w:type="dxa"/>
            <w:vAlign w:val="center"/>
          </w:tcPr>
          <w:p w:rsidR="00AF6AAE" w:rsidRDefault="00B568BF">
            <w:pPr>
              <w:jc w:val="right"/>
            </w:pPr>
            <w:r>
              <w:rPr>
                <w:rFonts w:eastAsiaTheme="minorEastAsia"/>
                <w:color w:val="000000" w:themeColor="text1"/>
                <w:szCs w:val="21"/>
              </w:rPr>
              <w:t>1.53%</w:t>
            </w:r>
          </w:p>
        </w:tc>
        <w:tc>
          <w:tcPr>
            <w:tcW w:w="1291" w:type="dxa"/>
            <w:vAlign w:val="center"/>
          </w:tcPr>
          <w:p w:rsidR="00AF6AAE" w:rsidRDefault="00B568BF">
            <w:pPr>
              <w:jc w:val="right"/>
            </w:pPr>
            <w:r>
              <w:rPr>
                <w:rFonts w:eastAsiaTheme="minorEastAsia"/>
                <w:color w:val="000000" w:themeColor="text1"/>
                <w:szCs w:val="21"/>
              </w:rPr>
              <w:t>8.85%</w:t>
            </w:r>
          </w:p>
        </w:tc>
        <w:tc>
          <w:tcPr>
            <w:tcW w:w="1291" w:type="dxa"/>
            <w:vAlign w:val="center"/>
          </w:tcPr>
          <w:p w:rsidR="00AF6AAE" w:rsidRDefault="00B568BF">
            <w:pPr>
              <w:jc w:val="right"/>
            </w:pPr>
            <w:r>
              <w:rPr>
                <w:rFonts w:eastAsiaTheme="minorEastAsia"/>
                <w:color w:val="000000" w:themeColor="text1"/>
                <w:szCs w:val="21"/>
              </w:rPr>
              <w:t>0.74%</w:t>
            </w:r>
          </w:p>
        </w:tc>
        <w:tc>
          <w:tcPr>
            <w:tcW w:w="1291" w:type="dxa"/>
            <w:vAlign w:val="center"/>
          </w:tcPr>
          <w:p w:rsidR="00AF6AAE" w:rsidRDefault="00B568BF">
            <w:pPr>
              <w:jc w:val="right"/>
            </w:pPr>
            <w:r>
              <w:rPr>
                <w:rFonts w:eastAsiaTheme="minorEastAsia"/>
                <w:color w:val="000000" w:themeColor="text1"/>
                <w:szCs w:val="21"/>
              </w:rPr>
              <w:t>-23.28%</w:t>
            </w:r>
          </w:p>
        </w:tc>
        <w:tc>
          <w:tcPr>
            <w:tcW w:w="1291" w:type="dxa"/>
            <w:vAlign w:val="center"/>
          </w:tcPr>
          <w:p w:rsidR="00AF6AAE" w:rsidRDefault="00B568BF">
            <w:pPr>
              <w:jc w:val="right"/>
            </w:pPr>
            <w:r>
              <w:rPr>
                <w:rFonts w:eastAsiaTheme="minorEastAsia"/>
                <w:color w:val="000000" w:themeColor="text1"/>
                <w:szCs w:val="21"/>
              </w:rPr>
              <w:t>0.79%</w:t>
            </w:r>
          </w:p>
        </w:tc>
      </w:tr>
      <w:tr w:rsidR="00AF6AAE">
        <w:tc>
          <w:tcPr>
            <w:tcW w:w="1290" w:type="dxa"/>
            <w:vAlign w:val="center"/>
          </w:tcPr>
          <w:p w:rsidR="00AF6AAE" w:rsidRDefault="00B568BF">
            <w:pPr>
              <w:jc w:val="left"/>
            </w:pPr>
            <w:r>
              <w:rPr>
                <w:rFonts w:eastAsiaTheme="minorEastAsia"/>
                <w:color w:val="000000" w:themeColor="text1"/>
                <w:szCs w:val="21"/>
              </w:rPr>
              <w:t>自基金合同生效起至今</w:t>
            </w:r>
          </w:p>
        </w:tc>
        <w:tc>
          <w:tcPr>
            <w:tcW w:w="1291" w:type="dxa"/>
            <w:vAlign w:val="center"/>
          </w:tcPr>
          <w:p w:rsidR="00AF6AAE" w:rsidRDefault="00B568BF">
            <w:pPr>
              <w:jc w:val="right"/>
            </w:pPr>
            <w:r>
              <w:rPr>
                <w:rFonts w:eastAsiaTheme="minorEastAsia"/>
                <w:color w:val="000000" w:themeColor="text1"/>
                <w:szCs w:val="21"/>
              </w:rPr>
              <w:t>-52.08%</w:t>
            </w:r>
          </w:p>
        </w:tc>
        <w:tc>
          <w:tcPr>
            <w:tcW w:w="1291" w:type="dxa"/>
            <w:vAlign w:val="center"/>
          </w:tcPr>
          <w:p w:rsidR="00AF6AAE" w:rsidRDefault="00B568BF">
            <w:pPr>
              <w:jc w:val="right"/>
            </w:pPr>
            <w:r>
              <w:rPr>
                <w:rFonts w:eastAsiaTheme="minorEastAsia"/>
                <w:color w:val="000000" w:themeColor="text1"/>
                <w:szCs w:val="21"/>
              </w:rPr>
              <w:t>1.69%</w:t>
            </w:r>
          </w:p>
        </w:tc>
        <w:tc>
          <w:tcPr>
            <w:tcW w:w="1291" w:type="dxa"/>
            <w:vAlign w:val="center"/>
          </w:tcPr>
          <w:p w:rsidR="00AF6AAE" w:rsidRDefault="00B568BF">
            <w:pPr>
              <w:jc w:val="right"/>
            </w:pPr>
            <w:r>
              <w:rPr>
                <w:rFonts w:eastAsiaTheme="minorEastAsia"/>
                <w:color w:val="000000" w:themeColor="text1"/>
                <w:szCs w:val="21"/>
              </w:rPr>
              <w:t>-11.76%</w:t>
            </w:r>
          </w:p>
        </w:tc>
        <w:tc>
          <w:tcPr>
            <w:tcW w:w="1291" w:type="dxa"/>
            <w:vAlign w:val="center"/>
          </w:tcPr>
          <w:p w:rsidR="00AF6AAE" w:rsidRDefault="00B568BF">
            <w:pPr>
              <w:jc w:val="right"/>
            </w:pPr>
            <w:r>
              <w:rPr>
                <w:rFonts w:eastAsiaTheme="minorEastAsia"/>
                <w:color w:val="000000" w:themeColor="text1"/>
                <w:szCs w:val="21"/>
              </w:rPr>
              <w:t>0.84%</w:t>
            </w:r>
          </w:p>
        </w:tc>
        <w:tc>
          <w:tcPr>
            <w:tcW w:w="1291" w:type="dxa"/>
            <w:vAlign w:val="center"/>
          </w:tcPr>
          <w:p w:rsidR="00AF6AAE" w:rsidRDefault="00B568BF">
            <w:pPr>
              <w:jc w:val="right"/>
            </w:pPr>
            <w:r>
              <w:rPr>
                <w:rFonts w:eastAsiaTheme="minorEastAsia"/>
                <w:color w:val="000000" w:themeColor="text1"/>
                <w:szCs w:val="21"/>
              </w:rPr>
              <w:t>-40.32%</w:t>
            </w:r>
          </w:p>
        </w:tc>
        <w:tc>
          <w:tcPr>
            <w:tcW w:w="1291" w:type="dxa"/>
            <w:vAlign w:val="center"/>
          </w:tcPr>
          <w:p w:rsidR="00AF6AAE" w:rsidRDefault="00B568BF">
            <w:pPr>
              <w:jc w:val="right"/>
            </w:pPr>
            <w:r>
              <w:rPr>
                <w:rFonts w:eastAsiaTheme="minorEastAsia"/>
                <w:color w:val="000000" w:themeColor="text1"/>
                <w:szCs w:val="21"/>
              </w:rPr>
              <w:t>0.85%</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lastRenderedPageBreak/>
        <w:t>2</w:t>
      </w:r>
      <w:r w:rsidRPr="00B27A29">
        <w:rPr>
          <w:rFonts w:eastAsiaTheme="minorEastAsia"/>
          <w:b/>
          <w:color w:val="000000" w:themeColor="text1"/>
          <w:szCs w:val="21"/>
        </w:rPr>
        <w:t>、</w:t>
      </w:r>
      <w:r w:rsidRPr="00B27A29">
        <w:rPr>
          <w:rFonts w:eastAsiaTheme="minorEastAsia"/>
          <w:b/>
          <w:color w:val="000000" w:themeColor="text1"/>
          <w:kern w:val="0"/>
          <w:szCs w:val="21"/>
        </w:rPr>
        <w:t>摩根整合驱动混合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F6AAE">
        <w:tc>
          <w:tcPr>
            <w:tcW w:w="1290" w:type="dxa"/>
            <w:vAlign w:val="center"/>
          </w:tcPr>
          <w:p w:rsidR="00AF6AAE" w:rsidRDefault="00B568BF">
            <w:pPr>
              <w:jc w:val="left"/>
            </w:pPr>
            <w:r>
              <w:rPr>
                <w:rFonts w:eastAsiaTheme="minorEastAsia"/>
                <w:color w:val="000000" w:themeColor="text1"/>
                <w:szCs w:val="21"/>
              </w:rPr>
              <w:t>过去三个月</w:t>
            </w:r>
          </w:p>
        </w:tc>
        <w:tc>
          <w:tcPr>
            <w:tcW w:w="1291" w:type="dxa"/>
            <w:vAlign w:val="center"/>
          </w:tcPr>
          <w:p w:rsidR="00AF6AAE" w:rsidRDefault="00B568BF">
            <w:pPr>
              <w:jc w:val="right"/>
            </w:pPr>
            <w:r>
              <w:rPr>
                <w:rFonts w:eastAsiaTheme="minorEastAsia"/>
                <w:color w:val="000000" w:themeColor="text1"/>
                <w:szCs w:val="21"/>
              </w:rPr>
              <w:t>-18.54%</w:t>
            </w:r>
          </w:p>
        </w:tc>
        <w:tc>
          <w:tcPr>
            <w:tcW w:w="1291" w:type="dxa"/>
            <w:vAlign w:val="center"/>
          </w:tcPr>
          <w:p w:rsidR="00AF6AAE" w:rsidRDefault="00B568BF">
            <w:pPr>
              <w:jc w:val="right"/>
            </w:pPr>
            <w:r>
              <w:rPr>
                <w:rFonts w:eastAsiaTheme="minorEastAsia"/>
                <w:color w:val="000000" w:themeColor="text1"/>
                <w:szCs w:val="21"/>
              </w:rPr>
              <w:t>1.56%</w:t>
            </w:r>
          </w:p>
        </w:tc>
        <w:tc>
          <w:tcPr>
            <w:tcW w:w="1291" w:type="dxa"/>
            <w:vAlign w:val="center"/>
          </w:tcPr>
          <w:p w:rsidR="00AF6AAE" w:rsidRDefault="00B568BF">
            <w:pPr>
              <w:jc w:val="right"/>
            </w:pPr>
            <w:r>
              <w:rPr>
                <w:rFonts w:eastAsiaTheme="minorEastAsia"/>
                <w:color w:val="000000" w:themeColor="text1"/>
                <w:szCs w:val="21"/>
              </w:rPr>
              <w:t>-2.58%</w:t>
            </w:r>
          </w:p>
        </w:tc>
        <w:tc>
          <w:tcPr>
            <w:tcW w:w="1291" w:type="dxa"/>
            <w:vAlign w:val="center"/>
          </w:tcPr>
          <w:p w:rsidR="00AF6AAE" w:rsidRDefault="00B568BF">
            <w:pPr>
              <w:jc w:val="right"/>
            </w:pPr>
            <w:r>
              <w:rPr>
                <w:rFonts w:eastAsiaTheme="minorEastAsia"/>
                <w:color w:val="000000" w:themeColor="text1"/>
                <w:szCs w:val="21"/>
              </w:rPr>
              <w:t>0.52%</w:t>
            </w:r>
          </w:p>
        </w:tc>
        <w:tc>
          <w:tcPr>
            <w:tcW w:w="1291" w:type="dxa"/>
            <w:vAlign w:val="center"/>
          </w:tcPr>
          <w:p w:rsidR="00AF6AAE" w:rsidRDefault="00B568BF">
            <w:pPr>
              <w:jc w:val="right"/>
            </w:pPr>
            <w:r>
              <w:rPr>
                <w:rFonts w:eastAsiaTheme="minorEastAsia"/>
                <w:color w:val="000000" w:themeColor="text1"/>
                <w:szCs w:val="21"/>
              </w:rPr>
              <w:t>-15.96%</w:t>
            </w:r>
          </w:p>
        </w:tc>
        <w:tc>
          <w:tcPr>
            <w:tcW w:w="1291" w:type="dxa"/>
            <w:vAlign w:val="center"/>
          </w:tcPr>
          <w:p w:rsidR="00AF6AAE" w:rsidRDefault="00B568BF">
            <w:pPr>
              <w:jc w:val="right"/>
            </w:pPr>
            <w:r>
              <w:rPr>
                <w:rFonts w:eastAsiaTheme="minorEastAsia"/>
                <w:color w:val="000000" w:themeColor="text1"/>
                <w:szCs w:val="21"/>
              </w:rPr>
              <w:t>1.04%</w:t>
            </w:r>
          </w:p>
        </w:tc>
      </w:tr>
      <w:tr w:rsidR="00AF6AAE">
        <w:tc>
          <w:tcPr>
            <w:tcW w:w="1290" w:type="dxa"/>
            <w:vAlign w:val="center"/>
          </w:tcPr>
          <w:p w:rsidR="00AF6AAE" w:rsidRDefault="00B568BF">
            <w:pPr>
              <w:jc w:val="left"/>
            </w:pPr>
            <w:r>
              <w:rPr>
                <w:rFonts w:eastAsiaTheme="minorEastAsia"/>
                <w:color w:val="000000" w:themeColor="text1"/>
                <w:szCs w:val="21"/>
              </w:rPr>
              <w:t>过去六个月</w:t>
            </w:r>
          </w:p>
        </w:tc>
        <w:tc>
          <w:tcPr>
            <w:tcW w:w="1291" w:type="dxa"/>
            <w:vAlign w:val="center"/>
          </w:tcPr>
          <w:p w:rsidR="00AF6AAE" w:rsidRDefault="00B568BF">
            <w:pPr>
              <w:jc w:val="right"/>
            </w:pPr>
            <w:r>
              <w:rPr>
                <w:rFonts w:eastAsiaTheme="minorEastAsia"/>
                <w:color w:val="000000" w:themeColor="text1"/>
                <w:szCs w:val="21"/>
              </w:rPr>
              <w:t>-19.49%</w:t>
            </w:r>
          </w:p>
        </w:tc>
        <w:tc>
          <w:tcPr>
            <w:tcW w:w="1291" w:type="dxa"/>
            <w:vAlign w:val="center"/>
          </w:tcPr>
          <w:p w:rsidR="00AF6AAE" w:rsidRDefault="00B568BF">
            <w:pPr>
              <w:jc w:val="right"/>
            </w:pPr>
            <w:r>
              <w:rPr>
                <w:rFonts w:eastAsiaTheme="minorEastAsia"/>
                <w:color w:val="000000" w:themeColor="text1"/>
                <w:szCs w:val="21"/>
              </w:rPr>
              <w:t>1.81%</w:t>
            </w:r>
          </w:p>
        </w:tc>
        <w:tc>
          <w:tcPr>
            <w:tcW w:w="1291" w:type="dxa"/>
            <w:vAlign w:val="center"/>
          </w:tcPr>
          <w:p w:rsidR="00AF6AAE" w:rsidRDefault="00B568BF">
            <w:pPr>
              <w:jc w:val="right"/>
            </w:pPr>
            <w:r>
              <w:rPr>
                <w:rFonts w:eastAsiaTheme="minorEastAsia"/>
                <w:color w:val="000000" w:themeColor="text1"/>
                <w:szCs w:val="21"/>
              </w:rPr>
              <w:t>-5.16%</w:t>
            </w:r>
          </w:p>
        </w:tc>
        <w:tc>
          <w:tcPr>
            <w:tcW w:w="1291" w:type="dxa"/>
            <w:vAlign w:val="center"/>
          </w:tcPr>
          <w:p w:rsidR="00AF6AAE" w:rsidRDefault="00B568BF">
            <w:pPr>
              <w:jc w:val="right"/>
            </w:pPr>
            <w:r>
              <w:rPr>
                <w:rFonts w:eastAsiaTheme="minorEastAsia"/>
                <w:color w:val="000000" w:themeColor="text1"/>
                <w:szCs w:val="21"/>
              </w:rPr>
              <w:t>0.49%</w:t>
            </w:r>
          </w:p>
        </w:tc>
        <w:tc>
          <w:tcPr>
            <w:tcW w:w="1291" w:type="dxa"/>
            <w:vAlign w:val="center"/>
          </w:tcPr>
          <w:p w:rsidR="00AF6AAE" w:rsidRDefault="00B568BF">
            <w:pPr>
              <w:jc w:val="right"/>
            </w:pPr>
            <w:r>
              <w:rPr>
                <w:rFonts w:eastAsiaTheme="minorEastAsia"/>
                <w:color w:val="000000" w:themeColor="text1"/>
                <w:szCs w:val="21"/>
              </w:rPr>
              <w:t>-14.33%</w:t>
            </w:r>
          </w:p>
        </w:tc>
        <w:tc>
          <w:tcPr>
            <w:tcW w:w="1291" w:type="dxa"/>
            <w:vAlign w:val="center"/>
          </w:tcPr>
          <w:p w:rsidR="00AF6AAE" w:rsidRDefault="00B568BF">
            <w:pPr>
              <w:jc w:val="right"/>
            </w:pPr>
            <w:r>
              <w:rPr>
                <w:rFonts w:eastAsiaTheme="minorEastAsia"/>
                <w:color w:val="000000" w:themeColor="text1"/>
                <w:szCs w:val="21"/>
              </w:rPr>
              <w:t>1.32%</w:t>
            </w:r>
          </w:p>
        </w:tc>
      </w:tr>
      <w:tr w:rsidR="00AF6AAE">
        <w:tc>
          <w:tcPr>
            <w:tcW w:w="1290" w:type="dxa"/>
            <w:vAlign w:val="center"/>
          </w:tcPr>
          <w:p w:rsidR="00AF6AAE" w:rsidRDefault="00B568BF">
            <w:pPr>
              <w:jc w:val="left"/>
            </w:pPr>
            <w:r>
              <w:rPr>
                <w:rFonts w:eastAsiaTheme="minorEastAsia"/>
                <w:color w:val="000000" w:themeColor="text1"/>
                <w:szCs w:val="21"/>
              </w:rPr>
              <w:t>过去一年</w:t>
            </w:r>
          </w:p>
        </w:tc>
        <w:tc>
          <w:tcPr>
            <w:tcW w:w="1291" w:type="dxa"/>
            <w:vAlign w:val="center"/>
          </w:tcPr>
          <w:p w:rsidR="00AF6AAE" w:rsidRDefault="00B568BF">
            <w:pPr>
              <w:jc w:val="right"/>
            </w:pPr>
            <w:r>
              <w:rPr>
                <w:rFonts w:eastAsiaTheme="minorEastAsia"/>
                <w:color w:val="000000" w:themeColor="text1"/>
                <w:szCs w:val="21"/>
              </w:rPr>
              <w:t>-</w:t>
            </w:r>
          </w:p>
        </w:tc>
        <w:tc>
          <w:tcPr>
            <w:tcW w:w="1291" w:type="dxa"/>
            <w:vAlign w:val="center"/>
          </w:tcPr>
          <w:p w:rsidR="00AF6AAE" w:rsidRDefault="00B568BF">
            <w:pPr>
              <w:jc w:val="right"/>
            </w:pPr>
            <w:r>
              <w:rPr>
                <w:rFonts w:eastAsiaTheme="minorEastAsia"/>
                <w:color w:val="000000" w:themeColor="text1"/>
                <w:szCs w:val="21"/>
              </w:rPr>
              <w:t>-</w:t>
            </w:r>
          </w:p>
        </w:tc>
        <w:tc>
          <w:tcPr>
            <w:tcW w:w="1291" w:type="dxa"/>
            <w:vAlign w:val="center"/>
          </w:tcPr>
          <w:p w:rsidR="00AF6AAE" w:rsidRDefault="00B568BF">
            <w:pPr>
              <w:jc w:val="right"/>
            </w:pPr>
            <w:r>
              <w:rPr>
                <w:rFonts w:eastAsiaTheme="minorEastAsia"/>
                <w:color w:val="000000" w:themeColor="text1"/>
                <w:szCs w:val="21"/>
              </w:rPr>
              <w:t>-</w:t>
            </w:r>
          </w:p>
        </w:tc>
        <w:tc>
          <w:tcPr>
            <w:tcW w:w="1291" w:type="dxa"/>
            <w:vAlign w:val="center"/>
          </w:tcPr>
          <w:p w:rsidR="00AF6AAE" w:rsidRDefault="00B568BF">
            <w:pPr>
              <w:jc w:val="right"/>
            </w:pPr>
            <w:r>
              <w:rPr>
                <w:rFonts w:eastAsiaTheme="minorEastAsia"/>
                <w:color w:val="000000" w:themeColor="text1"/>
                <w:szCs w:val="21"/>
              </w:rPr>
              <w:t>-</w:t>
            </w:r>
          </w:p>
        </w:tc>
        <w:tc>
          <w:tcPr>
            <w:tcW w:w="1291" w:type="dxa"/>
            <w:vAlign w:val="center"/>
          </w:tcPr>
          <w:p w:rsidR="00AF6AAE" w:rsidRDefault="00B568BF">
            <w:pPr>
              <w:jc w:val="right"/>
            </w:pPr>
            <w:r>
              <w:rPr>
                <w:rFonts w:eastAsiaTheme="minorEastAsia"/>
                <w:color w:val="000000" w:themeColor="text1"/>
                <w:szCs w:val="21"/>
              </w:rPr>
              <w:t>-</w:t>
            </w:r>
          </w:p>
        </w:tc>
        <w:tc>
          <w:tcPr>
            <w:tcW w:w="1291" w:type="dxa"/>
            <w:vAlign w:val="center"/>
          </w:tcPr>
          <w:p w:rsidR="00AF6AAE" w:rsidRDefault="00B568BF">
            <w:pPr>
              <w:jc w:val="right"/>
            </w:pPr>
            <w:r>
              <w:rPr>
                <w:rFonts w:eastAsiaTheme="minorEastAsia"/>
                <w:color w:val="000000" w:themeColor="text1"/>
                <w:szCs w:val="21"/>
              </w:rPr>
              <w:t>-</w:t>
            </w:r>
          </w:p>
        </w:tc>
      </w:tr>
      <w:tr w:rsidR="00AF6AAE">
        <w:tc>
          <w:tcPr>
            <w:tcW w:w="1290" w:type="dxa"/>
            <w:vAlign w:val="center"/>
          </w:tcPr>
          <w:p w:rsidR="00AF6AAE" w:rsidRDefault="00B568BF">
            <w:pPr>
              <w:jc w:val="left"/>
            </w:pPr>
            <w:r>
              <w:rPr>
                <w:rFonts w:eastAsiaTheme="minorEastAsia"/>
                <w:color w:val="000000" w:themeColor="text1"/>
                <w:szCs w:val="21"/>
              </w:rPr>
              <w:t>过去三年</w:t>
            </w:r>
          </w:p>
        </w:tc>
        <w:tc>
          <w:tcPr>
            <w:tcW w:w="1291" w:type="dxa"/>
            <w:vAlign w:val="center"/>
          </w:tcPr>
          <w:p w:rsidR="00AF6AAE" w:rsidRDefault="00B568BF">
            <w:pPr>
              <w:jc w:val="right"/>
            </w:pPr>
            <w:r>
              <w:rPr>
                <w:rFonts w:eastAsiaTheme="minorEastAsia"/>
                <w:color w:val="000000" w:themeColor="text1"/>
                <w:szCs w:val="21"/>
              </w:rPr>
              <w:t>-</w:t>
            </w:r>
          </w:p>
        </w:tc>
        <w:tc>
          <w:tcPr>
            <w:tcW w:w="1291" w:type="dxa"/>
            <w:vAlign w:val="center"/>
          </w:tcPr>
          <w:p w:rsidR="00AF6AAE" w:rsidRDefault="00B568BF">
            <w:pPr>
              <w:jc w:val="right"/>
            </w:pPr>
            <w:r>
              <w:rPr>
                <w:rFonts w:eastAsiaTheme="minorEastAsia"/>
                <w:color w:val="000000" w:themeColor="text1"/>
                <w:szCs w:val="21"/>
              </w:rPr>
              <w:t>-</w:t>
            </w:r>
          </w:p>
        </w:tc>
        <w:tc>
          <w:tcPr>
            <w:tcW w:w="1291" w:type="dxa"/>
            <w:vAlign w:val="center"/>
          </w:tcPr>
          <w:p w:rsidR="00AF6AAE" w:rsidRDefault="00B568BF">
            <w:pPr>
              <w:jc w:val="right"/>
            </w:pPr>
            <w:r>
              <w:rPr>
                <w:rFonts w:eastAsiaTheme="minorEastAsia"/>
                <w:color w:val="000000" w:themeColor="text1"/>
                <w:szCs w:val="21"/>
              </w:rPr>
              <w:t>-</w:t>
            </w:r>
          </w:p>
        </w:tc>
        <w:tc>
          <w:tcPr>
            <w:tcW w:w="1291" w:type="dxa"/>
            <w:vAlign w:val="center"/>
          </w:tcPr>
          <w:p w:rsidR="00AF6AAE" w:rsidRDefault="00B568BF">
            <w:pPr>
              <w:jc w:val="right"/>
            </w:pPr>
            <w:r>
              <w:rPr>
                <w:rFonts w:eastAsiaTheme="minorEastAsia"/>
                <w:color w:val="000000" w:themeColor="text1"/>
                <w:szCs w:val="21"/>
              </w:rPr>
              <w:t>-</w:t>
            </w:r>
          </w:p>
        </w:tc>
        <w:tc>
          <w:tcPr>
            <w:tcW w:w="1291" w:type="dxa"/>
            <w:vAlign w:val="center"/>
          </w:tcPr>
          <w:p w:rsidR="00AF6AAE" w:rsidRDefault="00B568BF">
            <w:pPr>
              <w:jc w:val="right"/>
            </w:pPr>
            <w:r>
              <w:rPr>
                <w:rFonts w:eastAsiaTheme="minorEastAsia"/>
                <w:color w:val="000000" w:themeColor="text1"/>
                <w:szCs w:val="21"/>
              </w:rPr>
              <w:t>-</w:t>
            </w:r>
          </w:p>
        </w:tc>
        <w:tc>
          <w:tcPr>
            <w:tcW w:w="1291" w:type="dxa"/>
            <w:vAlign w:val="center"/>
          </w:tcPr>
          <w:p w:rsidR="00AF6AAE" w:rsidRDefault="00B568BF">
            <w:pPr>
              <w:jc w:val="right"/>
            </w:pPr>
            <w:r>
              <w:rPr>
                <w:rFonts w:eastAsiaTheme="minorEastAsia"/>
                <w:color w:val="000000" w:themeColor="text1"/>
                <w:szCs w:val="21"/>
              </w:rPr>
              <w:t>-</w:t>
            </w:r>
          </w:p>
        </w:tc>
      </w:tr>
      <w:tr w:rsidR="00AF6AAE">
        <w:tc>
          <w:tcPr>
            <w:tcW w:w="1290" w:type="dxa"/>
            <w:vAlign w:val="center"/>
          </w:tcPr>
          <w:p w:rsidR="00AF6AAE" w:rsidRDefault="00B568BF">
            <w:pPr>
              <w:jc w:val="left"/>
            </w:pPr>
            <w:r>
              <w:rPr>
                <w:rFonts w:eastAsiaTheme="minorEastAsia"/>
                <w:color w:val="000000" w:themeColor="text1"/>
                <w:szCs w:val="21"/>
              </w:rPr>
              <w:t>过去五年</w:t>
            </w:r>
          </w:p>
        </w:tc>
        <w:tc>
          <w:tcPr>
            <w:tcW w:w="1291" w:type="dxa"/>
            <w:vAlign w:val="center"/>
          </w:tcPr>
          <w:p w:rsidR="00AF6AAE" w:rsidRDefault="00B568BF">
            <w:pPr>
              <w:jc w:val="right"/>
            </w:pPr>
            <w:r>
              <w:rPr>
                <w:rFonts w:eastAsiaTheme="minorEastAsia"/>
                <w:color w:val="000000" w:themeColor="text1"/>
                <w:szCs w:val="21"/>
              </w:rPr>
              <w:t>-</w:t>
            </w:r>
          </w:p>
        </w:tc>
        <w:tc>
          <w:tcPr>
            <w:tcW w:w="1291" w:type="dxa"/>
            <w:vAlign w:val="center"/>
          </w:tcPr>
          <w:p w:rsidR="00AF6AAE" w:rsidRDefault="00B568BF">
            <w:pPr>
              <w:jc w:val="right"/>
            </w:pPr>
            <w:r>
              <w:rPr>
                <w:rFonts w:eastAsiaTheme="minorEastAsia"/>
                <w:color w:val="000000" w:themeColor="text1"/>
                <w:szCs w:val="21"/>
              </w:rPr>
              <w:t>-</w:t>
            </w:r>
          </w:p>
        </w:tc>
        <w:tc>
          <w:tcPr>
            <w:tcW w:w="1291" w:type="dxa"/>
            <w:vAlign w:val="center"/>
          </w:tcPr>
          <w:p w:rsidR="00AF6AAE" w:rsidRDefault="00B568BF">
            <w:pPr>
              <w:jc w:val="right"/>
            </w:pPr>
            <w:r>
              <w:rPr>
                <w:rFonts w:eastAsiaTheme="minorEastAsia"/>
                <w:color w:val="000000" w:themeColor="text1"/>
                <w:szCs w:val="21"/>
              </w:rPr>
              <w:t>-</w:t>
            </w:r>
          </w:p>
        </w:tc>
        <w:tc>
          <w:tcPr>
            <w:tcW w:w="1291" w:type="dxa"/>
            <w:vAlign w:val="center"/>
          </w:tcPr>
          <w:p w:rsidR="00AF6AAE" w:rsidRDefault="00B568BF">
            <w:pPr>
              <w:jc w:val="right"/>
            </w:pPr>
            <w:r>
              <w:rPr>
                <w:rFonts w:eastAsiaTheme="minorEastAsia"/>
                <w:color w:val="000000" w:themeColor="text1"/>
                <w:szCs w:val="21"/>
              </w:rPr>
              <w:t>-</w:t>
            </w:r>
          </w:p>
        </w:tc>
        <w:tc>
          <w:tcPr>
            <w:tcW w:w="1291" w:type="dxa"/>
            <w:vAlign w:val="center"/>
          </w:tcPr>
          <w:p w:rsidR="00AF6AAE" w:rsidRDefault="00B568BF">
            <w:pPr>
              <w:jc w:val="right"/>
            </w:pPr>
            <w:r>
              <w:rPr>
                <w:rFonts w:eastAsiaTheme="minorEastAsia"/>
                <w:color w:val="000000" w:themeColor="text1"/>
                <w:szCs w:val="21"/>
              </w:rPr>
              <w:t>-</w:t>
            </w:r>
          </w:p>
        </w:tc>
        <w:tc>
          <w:tcPr>
            <w:tcW w:w="1291" w:type="dxa"/>
            <w:vAlign w:val="center"/>
          </w:tcPr>
          <w:p w:rsidR="00AF6AAE" w:rsidRDefault="00B568BF">
            <w:pPr>
              <w:jc w:val="right"/>
            </w:pPr>
            <w:r>
              <w:rPr>
                <w:rFonts w:eastAsiaTheme="minorEastAsia"/>
                <w:color w:val="000000" w:themeColor="text1"/>
                <w:szCs w:val="21"/>
              </w:rPr>
              <w:t>-</w:t>
            </w:r>
          </w:p>
        </w:tc>
      </w:tr>
      <w:tr w:rsidR="00AF6AAE">
        <w:tc>
          <w:tcPr>
            <w:tcW w:w="1290" w:type="dxa"/>
            <w:vAlign w:val="center"/>
          </w:tcPr>
          <w:p w:rsidR="00AF6AAE" w:rsidRDefault="00B568BF">
            <w:pPr>
              <w:jc w:val="left"/>
            </w:pPr>
            <w:r>
              <w:rPr>
                <w:rFonts w:eastAsiaTheme="minorEastAsia"/>
                <w:color w:val="000000" w:themeColor="text1"/>
                <w:szCs w:val="21"/>
              </w:rPr>
              <w:t>自基金合同生效起至今</w:t>
            </w:r>
          </w:p>
        </w:tc>
        <w:tc>
          <w:tcPr>
            <w:tcW w:w="1291" w:type="dxa"/>
            <w:vAlign w:val="center"/>
          </w:tcPr>
          <w:p w:rsidR="00AF6AAE" w:rsidRDefault="00B568BF">
            <w:pPr>
              <w:jc w:val="right"/>
            </w:pPr>
            <w:r>
              <w:rPr>
                <w:rFonts w:eastAsiaTheme="minorEastAsia"/>
                <w:color w:val="000000" w:themeColor="text1"/>
                <w:szCs w:val="21"/>
              </w:rPr>
              <w:t>-21.28%</w:t>
            </w:r>
          </w:p>
        </w:tc>
        <w:tc>
          <w:tcPr>
            <w:tcW w:w="1291" w:type="dxa"/>
            <w:vAlign w:val="center"/>
          </w:tcPr>
          <w:p w:rsidR="00AF6AAE" w:rsidRDefault="00B568BF">
            <w:pPr>
              <w:jc w:val="right"/>
            </w:pPr>
            <w:r>
              <w:rPr>
                <w:rFonts w:eastAsiaTheme="minorEastAsia"/>
                <w:color w:val="000000" w:themeColor="text1"/>
                <w:szCs w:val="21"/>
              </w:rPr>
              <w:t>1.68%</w:t>
            </w:r>
          </w:p>
        </w:tc>
        <w:tc>
          <w:tcPr>
            <w:tcW w:w="1291" w:type="dxa"/>
            <w:vAlign w:val="center"/>
          </w:tcPr>
          <w:p w:rsidR="00AF6AAE" w:rsidRDefault="00B568BF">
            <w:pPr>
              <w:jc w:val="right"/>
            </w:pPr>
            <w:r>
              <w:rPr>
                <w:rFonts w:eastAsiaTheme="minorEastAsia"/>
                <w:color w:val="000000" w:themeColor="text1"/>
                <w:szCs w:val="21"/>
              </w:rPr>
              <w:t>1.90%</w:t>
            </w:r>
          </w:p>
        </w:tc>
        <w:tc>
          <w:tcPr>
            <w:tcW w:w="1291" w:type="dxa"/>
            <w:vAlign w:val="center"/>
          </w:tcPr>
          <w:p w:rsidR="00AF6AAE" w:rsidRDefault="00B568BF">
            <w:pPr>
              <w:jc w:val="right"/>
            </w:pPr>
            <w:r>
              <w:rPr>
                <w:rFonts w:eastAsiaTheme="minorEastAsia"/>
                <w:color w:val="000000" w:themeColor="text1"/>
                <w:szCs w:val="21"/>
              </w:rPr>
              <w:t>0.52%</w:t>
            </w:r>
          </w:p>
        </w:tc>
        <w:tc>
          <w:tcPr>
            <w:tcW w:w="1291" w:type="dxa"/>
            <w:vAlign w:val="center"/>
          </w:tcPr>
          <w:p w:rsidR="00AF6AAE" w:rsidRDefault="00B568BF">
            <w:pPr>
              <w:jc w:val="right"/>
            </w:pPr>
            <w:r>
              <w:rPr>
                <w:rFonts w:eastAsiaTheme="minorEastAsia"/>
                <w:color w:val="000000" w:themeColor="text1"/>
                <w:szCs w:val="21"/>
              </w:rPr>
              <w:t>-23.18%</w:t>
            </w:r>
          </w:p>
        </w:tc>
        <w:tc>
          <w:tcPr>
            <w:tcW w:w="1291" w:type="dxa"/>
            <w:vAlign w:val="center"/>
          </w:tcPr>
          <w:p w:rsidR="00AF6AAE" w:rsidRDefault="00B568BF">
            <w:pPr>
              <w:jc w:val="right"/>
            </w:pPr>
            <w:r>
              <w:rPr>
                <w:rFonts w:eastAsiaTheme="minorEastAsia"/>
                <w:color w:val="000000" w:themeColor="text1"/>
                <w:szCs w:val="21"/>
              </w:rPr>
              <w:t>1.16%</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摩根整合驱动灵活配置混合型证券投资基金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23</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．摩根整合驱动混合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F6AAE" w:rsidRDefault="00B568B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．摩根整合驱动混合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F6AAE" w:rsidRDefault="00B568B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AF6AAE">
        <w:tc>
          <w:tcPr>
            <w:tcW w:w="952" w:type="dxa"/>
            <w:vAlign w:val="center"/>
          </w:tcPr>
          <w:p w:rsidR="00AF6AAE" w:rsidRDefault="00B568BF">
            <w:pPr>
              <w:jc w:val="center"/>
            </w:pPr>
            <w:r>
              <w:rPr>
                <w:rFonts w:eastAsiaTheme="minorEastAsia"/>
                <w:color w:val="000000" w:themeColor="text1"/>
                <w:szCs w:val="21"/>
              </w:rPr>
              <w:t>周战海</w:t>
            </w:r>
          </w:p>
        </w:tc>
        <w:tc>
          <w:tcPr>
            <w:tcW w:w="930" w:type="dxa"/>
            <w:vAlign w:val="center"/>
          </w:tcPr>
          <w:p w:rsidR="00AF6AAE" w:rsidRDefault="00B568BF">
            <w:pPr>
              <w:jc w:val="center"/>
            </w:pPr>
            <w:r>
              <w:rPr>
                <w:rFonts w:eastAsiaTheme="minorEastAsia"/>
                <w:color w:val="000000" w:themeColor="text1"/>
                <w:szCs w:val="21"/>
              </w:rPr>
              <w:t>本基金基金经理</w:t>
            </w:r>
          </w:p>
        </w:tc>
        <w:tc>
          <w:tcPr>
            <w:tcW w:w="1210" w:type="dxa"/>
            <w:vAlign w:val="center"/>
          </w:tcPr>
          <w:p w:rsidR="00AF6AAE" w:rsidRDefault="00B568BF">
            <w:pPr>
              <w:jc w:val="center"/>
            </w:pPr>
            <w:r>
              <w:rPr>
                <w:rFonts w:eastAsiaTheme="minorEastAsia"/>
                <w:color w:val="000000" w:themeColor="text1"/>
                <w:szCs w:val="21"/>
              </w:rPr>
              <w:t>2022-01-14</w:t>
            </w:r>
          </w:p>
        </w:tc>
        <w:tc>
          <w:tcPr>
            <w:tcW w:w="1309" w:type="dxa"/>
            <w:vAlign w:val="center"/>
          </w:tcPr>
          <w:p w:rsidR="00AF6AAE" w:rsidRDefault="00B568BF">
            <w:pPr>
              <w:jc w:val="center"/>
            </w:pPr>
            <w:r>
              <w:rPr>
                <w:rFonts w:eastAsiaTheme="minorEastAsia"/>
                <w:color w:val="000000" w:themeColor="text1"/>
                <w:szCs w:val="21"/>
              </w:rPr>
              <w:t>-</w:t>
            </w:r>
          </w:p>
        </w:tc>
        <w:tc>
          <w:tcPr>
            <w:tcW w:w="1254" w:type="dxa"/>
            <w:vAlign w:val="center"/>
          </w:tcPr>
          <w:p w:rsidR="00AF6AAE" w:rsidRDefault="00B568BF">
            <w:pPr>
              <w:jc w:val="center"/>
            </w:pPr>
            <w:r>
              <w:rPr>
                <w:rFonts w:eastAsiaTheme="minorEastAsia"/>
                <w:color w:val="000000" w:themeColor="text1"/>
                <w:szCs w:val="21"/>
              </w:rPr>
              <w:t>17</w:t>
            </w:r>
            <w:r>
              <w:rPr>
                <w:rFonts w:eastAsiaTheme="minorEastAsia"/>
                <w:color w:val="000000" w:themeColor="text1"/>
                <w:szCs w:val="21"/>
              </w:rPr>
              <w:t>年</w:t>
            </w:r>
          </w:p>
        </w:tc>
        <w:tc>
          <w:tcPr>
            <w:tcW w:w="3276" w:type="dxa"/>
            <w:vAlign w:val="center"/>
          </w:tcPr>
          <w:p w:rsidR="00AF6AAE" w:rsidRDefault="00B568BF">
            <w:r>
              <w:rPr>
                <w:rFonts w:eastAsiaTheme="minorEastAsia"/>
                <w:color w:val="000000" w:themeColor="text1"/>
                <w:szCs w:val="21"/>
              </w:rPr>
              <w:t>周战海先生曾任国金证券研究所资深分析师，太平洋资产管理有限责任公司高级研究员。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bl>
    <w:p w:rsidR="00AF6AAE" w:rsidRDefault="00B568B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AF6AAE" w:rsidRDefault="00B568B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F6AAE" w:rsidRDefault="00B568B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AF6AAE" w:rsidRDefault="00B568B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AF6AAE" w:rsidRDefault="00B568BF">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年三季度</w:t>
      </w:r>
      <w:r>
        <w:rPr>
          <w:rFonts w:eastAsiaTheme="minorEastAsia"/>
          <w:color w:val="000000" w:themeColor="text1"/>
          <w:szCs w:val="21"/>
        </w:rPr>
        <w:t>A</w:t>
      </w:r>
      <w:r>
        <w:rPr>
          <w:rFonts w:eastAsiaTheme="minorEastAsia"/>
          <w:color w:val="000000" w:themeColor="text1"/>
          <w:szCs w:val="21"/>
        </w:rPr>
        <w:t>股整体呈现震荡下行走势，科技成长股调整比较明显，上证综指下跌</w:t>
      </w:r>
      <w:r>
        <w:rPr>
          <w:rFonts w:eastAsiaTheme="minorEastAsia"/>
          <w:color w:val="000000" w:themeColor="text1"/>
          <w:szCs w:val="21"/>
        </w:rPr>
        <w:t>2.86%</w:t>
      </w:r>
      <w:r>
        <w:rPr>
          <w:rFonts w:eastAsiaTheme="minorEastAsia"/>
          <w:color w:val="000000" w:themeColor="text1"/>
          <w:szCs w:val="21"/>
        </w:rPr>
        <w:t>，深证成指下跌</w:t>
      </w:r>
      <w:r>
        <w:rPr>
          <w:rFonts w:eastAsiaTheme="minorEastAsia"/>
          <w:color w:val="000000" w:themeColor="text1"/>
          <w:szCs w:val="21"/>
        </w:rPr>
        <w:t>8.32%</w:t>
      </w:r>
      <w:r>
        <w:rPr>
          <w:rFonts w:eastAsiaTheme="minorEastAsia"/>
          <w:color w:val="000000" w:themeColor="text1"/>
          <w:szCs w:val="21"/>
        </w:rPr>
        <w:t>，沪深</w:t>
      </w:r>
      <w:r>
        <w:rPr>
          <w:rFonts w:eastAsiaTheme="minorEastAsia"/>
          <w:color w:val="000000" w:themeColor="text1"/>
          <w:szCs w:val="21"/>
        </w:rPr>
        <w:t>300</w:t>
      </w:r>
      <w:r>
        <w:rPr>
          <w:rFonts w:eastAsiaTheme="minorEastAsia"/>
          <w:color w:val="000000" w:themeColor="text1"/>
          <w:szCs w:val="21"/>
        </w:rPr>
        <w:t>指数下跌</w:t>
      </w:r>
      <w:r>
        <w:rPr>
          <w:rFonts w:eastAsiaTheme="minorEastAsia"/>
          <w:color w:val="000000" w:themeColor="text1"/>
          <w:szCs w:val="21"/>
        </w:rPr>
        <w:t>3.98%</w:t>
      </w:r>
      <w:r>
        <w:rPr>
          <w:rFonts w:eastAsiaTheme="minorEastAsia"/>
          <w:color w:val="000000" w:themeColor="text1"/>
          <w:szCs w:val="21"/>
        </w:rPr>
        <w:t>，创业板指数下跌</w:t>
      </w:r>
      <w:r>
        <w:rPr>
          <w:rFonts w:eastAsiaTheme="minorEastAsia"/>
          <w:color w:val="000000" w:themeColor="text1"/>
          <w:szCs w:val="21"/>
        </w:rPr>
        <w:t>9.53%</w:t>
      </w:r>
      <w:r>
        <w:rPr>
          <w:rFonts w:eastAsiaTheme="minorEastAsia"/>
          <w:color w:val="000000" w:themeColor="text1"/>
          <w:szCs w:val="21"/>
        </w:rPr>
        <w:t>，科创</w:t>
      </w:r>
      <w:r>
        <w:rPr>
          <w:rFonts w:eastAsiaTheme="minorEastAsia"/>
          <w:color w:val="000000" w:themeColor="text1"/>
          <w:szCs w:val="21"/>
        </w:rPr>
        <w:t>50</w:t>
      </w:r>
      <w:r>
        <w:rPr>
          <w:rFonts w:eastAsiaTheme="minorEastAsia"/>
          <w:color w:val="000000" w:themeColor="text1"/>
          <w:szCs w:val="21"/>
        </w:rPr>
        <w:t>指数下跌</w:t>
      </w:r>
      <w:r>
        <w:rPr>
          <w:rFonts w:eastAsiaTheme="minorEastAsia"/>
          <w:color w:val="000000" w:themeColor="text1"/>
          <w:szCs w:val="21"/>
        </w:rPr>
        <w:t>11.67%</w:t>
      </w:r>
      <w:r>
        <w:rPr>
          <w:rFonts w:eastAsiaTheme="minorEastAsia"/>
          <w:color w:val="000000" w:themeColor="text1"/>
          <w:szCs w:val="21"/>
        </w:rPr>
        <w:t>。</w:t>
      </w:r>
      <w:r>
        <w:rPr>
          <w:rFonts w:eastAsiaTheme="minorEastAsia"/>
          <w:color w:val="000000" w:themeColor="text1"/>
          <w:szCs w:val="21"/>
        </w:rPr>
        <w:lastRenderedPageBreak/>
        <w:t>行业方面，非银金融、煤炭、石油石化、钢铁、银行表现相对靠前；电力设备、传媒、计算机、通信、国防军工表现相对落后。报告期内，出于对科技成长行业的看好，本基金按照契约要求，重点投资了以人工智能（</w:t>
      </w:r>
      <w:r>
        <w:rPr>
          <w:rFonts w:eastAsiaTheme="minorEastAsia"/>
          <w:color w:val="000000" w:themeColor="text1"/>
          <w:szCs w:val="21"/>
        </w:rPr>
        <w:t>AI</w:t>
      </w:r>
      <w:r>
        <w:rPr>
          <w:rFonts w:eastAsiaTheme="minorEastAsia"/>
          <w:color w:val="000000" w:themeColor="text1"/>
          <w:szCs w:val="21"/>
        </w:rPr>
        <w:t>）为龙头的</w:t>
      </w:r>
      <w:r>
        <w:rPr>
          <w:rFonts w:eastAsiaTheme="minorEastAsia"/>
          <w:color w:val="000000" w:themeColor="text1"/>
          <w:szCs w:val="21"/>
        </w:rPr>
        <w:t>TMT</w:t>
      </w:r>
      <w:r>
        <w:rPr>
          <w:rFonts w:eastAsiaTheme="minorEastAsia"/>
          <w:color w:val="000000" w:themeColor="text1"/>
          <w:szCs w:val="21"/>
        </w:rPr>
        <w:t>等高科技成长行业和光伏以及新能源车龙头公司。报告期内，受高科技成长股和新能源板块大幅调整影响，基金净值表现欠佳。</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w:t>
      </w:r>
      <w:r w:rsidRPr="00B27A29">
        <w:rPr>
          <w:rFonts w:eastAsiaTheme="minorEastAsia"/>
          <w:color w:val="000000" w:themeColor="text1"/>
          <w:szCs w:val="21"/>
        </w:rPr>
        <w:t>2023</w:t>
      </w:r>
      <w:r w:rsidRPr="00B27A29">
        <w:rPr>
          <w:rFonts w:eastAsiaTheme="minorEastAsia"/>
          <w:color w:val="000000" w:themeColor="text1"/>
          <w:szCs w:val="21"/>
        </w:rPr>
        <w:t>年四季度</w:t>
      </w:r>
      <w:r w:rsidRPr="00B27A29">
        <w:rPr>
          <w:rFonts w:eastAsiaTheme="minorEastAsia"/>
          <w:color w:val="000000" w:themeColor="text1"/>
          <w:szCs w:val="21"/>
        </w:rPr>
        <w:t xml:space="preserve">, </w:t>
      </w:r>
      <w:r w:rsidRPr="00B27A29">
        <w:rPr>
          <w:rFonts w:eastAsiaTheme="minorEastAsia"/>
          <w:color w:val="000000" w:themeColor="text1"/>
          <w:szCs w:val="21"/>
        </w:rPr>
        <w:t>宏观经济压力较大的时段或已经过去，经济有望边际小幅改善，当前市场调整已较为充分，</w:t>
      </w:r>
      <w:r w:rsidRPr="00B27A29">
        <w:rPr>
          <w:rFonts w:eastAsiaTheme="minorEastAsia"/>
          <w:color w:val="000000" w:themeColor="text1"/>
          <w:szCs w:val="21"/>
        </w:rPr>
        <w:t>A</w:t>
      </w:r>
      <w:r w:rsidRPr="00B27A29">
        <w:rPr>
          <w:rFonts w:eastAsiaTheme="minorEastAsia"/>
          <w:color w:val="000000" w:themeColor="text1"/>
          <w:szCs w:val="21"/>
        </w:rPr>
        <w:t>股的估值、情绪等指标均处于历史低位，风险偏好也有所上升，大类资产对比显示股市性价比较高。国内稳增长政策落地推动经济修复，活跃资本市场措施改善市场环境，四季度市场有望迎来转机。经历近期的下跌后，</w:t>
      </w:r>
      <w:r w:rsidRPr="00B27A29">
        <w:rPr>
          <w:rFonts w:eastAsiaTheme="minorEastAsia"/>
          <w:color w:val="000000" w:themeColor="text1"/>
          <w:szCs w:val="21"/>
        </w:rPr>
        <w:t>TMT</w:t>
      </w:r>
      <w:r w:rsidRPr="00B27A29">
        <w:rPr>
          <w:rFonts w:eastAsiaTheme="minorEastAsia"/>
          <w:color w:val="000000" w:themeColor="text1"/>
          <w:szCs w:val="21"/>
        </w:rPr>
        <w:t>行业已处于超跌区域，性价比逐渐凸显。我们坚定看好科技这一投资主线，坚定看好</w:t>
      </w:r>
      <w:r w:rsidRPr="00B27A29">
        <w:rPr>
          <w:rFonts w:eastAsiaTheme="minorEastAsia"/>
          <w:color w:val="000000" w:themeColor="text1"/>
          <w:szCs w:val="21"/>
        </w:rPr>
        <w:t>AI</w:t>
      </w:r>
      <w:r w:rsidRPr="00B27A29">
        <w:rPr>
          <w:rFonts w:eastAsiaTheme="minorEastAsia"/>
          <w:color w:val="000000" w:themeColor="text1"/>
          <w:szCs w:val="21"/>
        </w:rPr>
        <w:t>产业带来的革命性变化，我们看好数据采集、算力等置信度高、落地能力强的细分方向。未来我们将继续重点投资科技相关行业里面具有相对估值优势、增长前景确定的高成长龙头公司。我们将加强对上市公司基本面的研究力度，筛选出竞争力持续提升的优秀公司，力争为持有人创造较好回报。</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AF6AAE" w:rsidRDefault="00B568B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本报告期摩根整合驱动</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:-18.43%</w:t>
      </w:r>
      <w:r>
        <w:rPr>
          <w:rFonts w:eastAsiaTheme="minorEastAsia"/>
          <w:color w:val="000000" w:themeColor="text1"/>
          <w:szCs w:val="21"/>
        </w:rPr>
        <w:t>，同期业绩比较基准收益率为</w:t>
      </w:r>
      <w:r>
        <w:rPr>
          <w:rFonts w:eastAsiaTheme="minorEastAsia"/>
          <w:color w:val="000000" w:themeColor="text1"/>
          <w:szCs w:val="21"/>
        </w:rPr>
        <w:t>:-2.58%</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摩根整合驱动</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:-18.54%</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:-2.58%</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203,784,027.77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77.24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203,784,027.77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77.24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59,889,810.48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22.70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150,002.69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263,823,840.94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105,777,557.79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40.27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10,156,753.04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4,242,438.71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4,037,931.00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74,739,281.47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28.45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2,646,806.76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2,183,259.00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0.83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203,784,027.77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77.58</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AF6AAE">
        <w:tc>
          <w:tcPr>
            <w:tcW w:w="817" w:type="dxa"/>
            <w:vAlign w:val="center"/>
          </w:tcPr>
          <w:p w:rsidR="00AF6AAE" w:rsidRDefault="00B568BF">
            <w:pPr>
              <w:jc w:val="center"/>
            </w:pPr>
            <w:r>
              <w:rPr>
                <w:rFonts w:eastAsiaTheme="minorEastAsia"/>
                <w:kern w:val="0"/>
                <w:szCs w:val="21"/>
              </w:rPr>
              <w:t>1</w:t>
            </w:r>
          </w:p>
        </w:tc>
        <w:tc>
          <w:tcPr>
            <w:tcW w:w="1276" w:type="dxa"/>
            <w:vAlign w:val="center"/>
          </w:tcPr>
          <w:p w:rsidR="00AF6AAE" w:rsidRDefault="00B568BF">
            <w:pPr>
              <w:jc w:val="center"/>
            </w:pPr>
            <w:r>
              <w:rPr>
                <w:rFonts w:eastAsiaTheme="minorEastAsia"/>
                <w:kern w:val="0"/>
                <w:szCs w:val="21"/>
              </w:rPr>
              <w:t>002236</w:t>
            </w:r>
          </w:p>
        </w:tc>
        <w:tc>
          <w:tcPr>
            <w:tcW w:w="1701" w:type="dxa"/>
            <w:vAlign w:val="center"/>
          </w:tcPr>
          <w:p w:rsidR="00AF6AAE" w:rsidRDefault="00B568BF">
            <w:pPr>
              <w:jc w:val="center"/>
            </w:pPr>
            <w:r>
              <w:rPr>
                <w:rFonts w:eastAsiaTheme="minorEastAsia"/>
                <w:kern w:val="0"/>
                <w:szCs w:val="21"/>
              </w:rPr>
              <w:t>大华股份</w:t>
            </w:r>
          </w:p>
        </w:tc>
        <w:tc>
          <w:tcPr>
            <w:tcW w:w="1276" w:type="dxa"/>
            <w:vAlign w:val="center"/>
          </w:tcPr>
          <w:p w:rsidR="00AF6AAE" w:rsidRDefault="00B568BF">
            <w:pPr>
              <w:jc w:val="right"/>
            </w:pPr>
            <w:r>
              <w:rPr>
                <w:rFonts w:eastAsiaTheme="minorEastAsia"/>
                <w:kern w:val="0"/>
                <w:szCs w:val="21"/>
              </w:rPr>
              <w:t>764,087.00</w:t>
            </w:r>
          </w:p>
        </w:tc>
        <w:tc>
          <w:tcPr>
            <w:tcW w:w="1842" w:type="dxa"/>
            <w:vAlign w:val="center"/>
          </w:tcPr>
          <w:p w:rsidR="00AF6AAE" w:rsidRDefault="00B568BF">
            <w:pPr>
              <w:jc w:val="right"/>
            </w:pPr>
            <w:r>
              <w:rPr>
                <w:rFonts w:eastAsiaTheme="minorEastAsia"/>
                <w:kern w:val="0"/>
                <w:szCs w:val="21"/>
              </w:rPr>
              <w:t>17,016,217.49</w:t>
            </w:r>
          </w:p>
        </w:tc>
        <w:tc>
          <w:tcPr>
            <w:tcW w:w="1616" w:type="dxa"/>
            <w:vAlign w:val="center"/>
          </w:tcPr>
          <w:p w:rsidR="00AF6AAE" w:rsidRDefault="00B568BF">
            <w:pPr>
              <w:jc w:val="right"/>
            </w:pPr>
            <w:r>
              <w:rPr>
                <w:rFonts w:eastAsiaTheme="minorEastAsia"/>
                <w:kern w:val="0"/>
                <w:szCs w:val="21"/>
              </w:rPr>
              <w:t>6.48</w:t>
            </w:r>
          </w:p>
        </w:tc>
      </w:tr>
      <w:tr w:rsidR="00AF6AAE">
        <w:tc>
          <w:tcPr>
            <w:tcW w:w="817" w:type="dxa"/>
            <w:vAlign w:val="center"/>
          </w:tcPr>
          <w:p w:rsidR="00AF6AAE" w:rsidRDefault="00B568BF">
            <w:pPr>
              <w:jc w:val="center"/>
            </w:pPr>
            <w:r>
              <w:rPr>
                <w:rFonts w:eastAsiaTheme="minorEastAsia"/>
                <w:kern w:val="0"/>
                <w:szCs w:val="21"/>
              </w:rPr>
              <w:t>2</w:t>
            </w:r>
          </w:p>
        </w:tc>
        <w:tc>
          <w:tcPr>
            <w:tcW w:w="1276" w:type="dxa"/>
            <w:vAlign w:val="center"/>
          </w:tcPr>
          <w:p w:rsidR="00AF6AAE" w:rsidRDefault="00B568BF">
            <w:pPr>
              <w:jc w:val="center"/>
            </w:pPr>
            <w:r>
              <w:rPr>
                <w:rFonts w:eastAsiaTheme="minorEastAsia"/>
                <w:kern w:val="0"/>
                <w:szCs w:val="21"/>
              </w:rPr>
              <w:t>688111</w:t>
            </w:r>
          </w:p>
        </w:tc>
        <w:tc>
          <w:tcPr>
            <w:tcW w:w="1701" w:type="dxa"/>
            <w:vAlign w:val="center"/>
          </w:tcPr>
          <w:p w:rsidR="00AF6AAE" w:rsidRDefault="00B568BF">
            <w:pPr>
              <w:jc w:val="center"/>
            </w:pPr>
            <w:r>
              <w:rPr>
                <w:rFonts w:eastAsiaTheme="minorEastAsia"/>
                <w:kern w:val="0"/>
                <w:szCs w:val="21"/>
              </w:rPr>
              <w:t>金山办公</w:t>
            </w:r>
          </w:p>
        </w:tc>
        <w:tc>
          <w:tcPr>
            <w:tcW w:w="1276" w:type="dxa"/>
            <w:vAlign w:val="center"/>
          </w:tcPr>
          <w:p w:rsidR="00AF6AAE" w:rsidRDefault="00B568BF">
            <w:pPr>
              <w:jc w:val="right"/>
            </w:pPr>
            <w:r>
              <w:rPr>
                <w:rFonts w:eastAsiaTheme="minorEastAsia"/>
                <w:kern w:val="0"/>
                <w:szCs w:val="21"/>
              </w:rPr>
              <w:t>21,670.00</w:t>
            </w:r>
          </w:p>
        </w:tc>
        <w:tc>
          <w:tcPr>
            <w:tcW w:w="1842" w:type="dxa"/>
            <w:vAlign w:val="center"/>
          </w:tcPr>
          <w:p w:rsidR="00AF6AAE" w:rsidRDefault="00B568BF">
            <w:pPr>
              <w:jc w:val="right"/>
            </w:pPr>
            <w:r>
              <w:rPr>
                <w:rFonts w:eastAsiaTheme="minorEastAsia"/>
                <w:kern w:val="0"/>
                <w:szCs w:val="21"/>
              </w:rPr>
              <w:t>8,035,236.00</w:t>
            </w:r>
          </w:p>
        </w:tc>
        <w:tc>
          <w:tcPr>
            <w:tcW w:w="1616" w:type="dxa"/>
            <w:vAlign w:val="center"/>
          </w:tcPr>
          <w:p w:rsidR="00AF6AAE" w:rsidRDefault="00B568BF">
            <w:pPr>
              <w:jc w:val="right"/>
            </w:pPr>
            <w:r>
              <w:rPr>
                <w:rFonts w:eastAsiaTheme="minorEastAsia"/>
                <w:kern w:val="0"/>
                <w:szCs w:val="21"/>
              </w:rPr>
              <w:t>3.06</w:t>
            </w:r>
          </w:p>
        </w:tc>
      </w:tr>
      <w:tr w:rsidR="00AF6AAE">
        <w:tc>
          <w:tcPr>
            <w:tcW w:w="817" w:type="dxa"/>
            <w:vAlign w:val="center"/>
          </w:tcPr>
          <w:p w:rsidR="00AF6AAE" w:rsidRDefault="00B568BF">
            <w:pPr>
              <w:jc w:val="center"/>
            </w:pPr>
            <w:r>
              <w:rPr>
                <w:rFonts w:eastAsiaTheme="minorEastAsia"/>
                <w:kern w:val="0"/>
                <w:szCs w:val="21"/>
              </w:rPr>
              <w:t>3</w:t>
            </w:r>
          </w:p>
        </w:tc>
        <w:tc>
          <w:tcPr>
            <w:tcW w:w="1276" w:type="dxa"/>
            <w:vAlign w:val="center"/>
          </w:tcPr>
          <w:p w:rsidR="00AF6AAE" w:rsidRDefault="00B568BF">
            <w:pPr>
              <w:jc w:val="center"/>
            </w:pPr>
            <w:r>
              <w:rPr>
                <w:rFonts w:eastAsiaTheme="minorEastAsia"/>
                <w:kern w:val="0"/>
                <w:szCs w:val="21"/>
              </w:rPr>
              <w:t>300394</w:t>
            </w:r>
          </w:p>
        </w:tc>
        <w:tc>
          <w:tcPr>
            <w:tcW w:w="1701" w:type="dxa"/>
            <w:vAlign w:val="center"/>
          </w:tcPr>
          <w:p w:rsidR="00AF6AAE" w:rsidRDefault="00B568BF">
            <w:pPr>
              <w:jc w:val="center"/>
            </w:pPr>
            <w:r>
              <w:rPr>
                <w:rFonts w:eastAsiaTheme="minorEastAsia"/>
                <w:kern w:val="0"/>
                <w:szCs w:val="21"/>
              </w:rPr>
              <w:t>天孚通信</w:t>
            </w:r>
          </w:p>
        </w:tc>
        <w:tc>
          <w:tcPr>
            <w:tcW w:w="1276" w:type="dxa"/>
            <w:vAlign w:val="center"/>
          </w:tcPr>
          <w:p w:rsidR="00AF6AAE" w:rsidRDefault="00B568BF">
            <w:pPr>
              <w:jc w:val="right"/>
            </w:pPr>
            <w:r>
              <w:rPr>
                <w:rFonts w:eastAsiaTheme="minorEastAsia"/>
                <w:kern w:val="0"/>
                <w:szCs w:val="21"/>
              </w:rPr>
              <w:t>83,811.00</w:t>
            </w:r>
          </w:p>
        </w:tc>
        <w:tc>
          <w:tcPr>
            <w:tcW w:w="1842" w:type="dxa"/>
            <w:vAlign w:val="center"/>
          </w:tcPr>
          <w:p w:rsidR="00AF6AAE" w:rsidRDefault="00B568BF">
            <w:pPr>
              <w:jc w:val="right"/>
            </w:pPr>
            <w:r>
              <w:rPr>
                <w:rFonts w:eastAsiaTheme="minorEastAsia"/>
                <w:kern w:val="0"/>
                <w:szCs w:val="21"/>
              </w:rPr>
              <w:t>7,962,045.00</w:t>
            </w:r>
          </w:p>
        </w:tc>
        <w:tc>
          <w:tcPr>
            <w:tcW w:w="1616" w:type="dxa"/>
            <w:vAlign w:val="center"/>
          </w:tcPr>
          <w:p w:rsidR="00AF6AAE" w:rsidRDefault="00B568BF">
            <w:pPr>
              <w:jc w:val="right"/>
            </w:pPr>
            <w:r>
              <w:rPr>
                <w:rFonts w:eastAsiaTheme="minorEastAsia"/>
                <w:kern w:val="0"/>
                <w:szCs w:val="21"/>
              </w:rPr>
              <w:t>3.03</w:t>
            </w:r>
          </w:p>
        </w:tc>
      </w:tr>
      <w:tr w:rsidR="00AF6AAE">
        <w:tc>
          <w:tcPr>
            <w:tcW w:w="817" w:type="dxa"/>
            <w:vAlign w:val="center"/>
          </w:tcPr>
          <w:p w:rsidR="00AF6AAE" w:rsidRDefault="00B568BF">
            <w:pPr>
              <w:jc w:val="center"/>
            </w:pPr>
            <w:r>
              <w:rPr>
                <w:rFonts w:eastAsiaTheme="minorEastAsia"/>
                <w:kern w:val="0"/>
                <w:szCs w:val="21"/>
              </w:rPr>
              <w:t>4</w:t>
            </w:r>
          </w:p>
        </w:tc>
        <w:tc>
          <w:tcPr>
            <w:tcW w:w="1276" w:type="dxa"/>
            <w:vAlign w:val="center"/>
          </w:tcPr>
          <w:p w:rsidR="00AF6AAE" w:rsidRDefault="00B568BF">
            <w:pPr>
              <w:jc w:val="center"/>
            </w:pPr>
            <w:r>
              <w:rPr>
                <w:rFonts w:eastAsiaTheme="minorEastAsia"/>
                <w:kern w:val="0"/>
                <w:szCs w:val="21"/>
              </w:rPr>
              <w:t>000032</w:t>
            </w:r>
          </w:p>
        </w:tc>
        <w:tc>
          <w:tcPr>
            <w:tcW w:w="1701" w:type="dxa"/>
            <w:vAlign w:val="center"/>
          </w:tcPr>
          <w:p w:rsidR="00AF6AAE" w:rsidRDefault="00B568BF">
            <w:pPr>
              <w:jc w:val="center"/>
            </w:pPr>
            <w:r>
              <w:rPr>
                <w:rFonts w:eastAsiaTheme="minorEastAsia"/>
                <w:kern w:val="0"/>
                <w:szCs w:val="21"/>
              </w:rPr>
              <w:t>深桑达Ａ</w:t>
            </w:r>
          </w:p>
        </w:tc>
        <w:tc>
          <w:tcPr>
            <w:tcW w:w="1276" w:type="dxa"/>
            <w:vAlign w:val="center"/>
          </w:tcPr>
          <w:p w:rsidR="00AF6AAE" w:rsidRDefault="00B568BF">
            <w:pPr>
              <w:jc w:val="right"/>
            </w:pPr>
            <w:r>
              <w:rPr>
                <w:rFonts w:eastAsiaTheme="minorEastAsia"/>
                <w:kern w:val="0"/>
                <w:szCs w:val="21"/>
              </w:rPr>
              <w:t>348,522.00</w:t>
            </w:r>
          </w:p>
        </w:tc>
        <w:tc>
          <w:tcPr>
            <w:tcW w:w="1842" w:type="dxa"/>
            <w:vAlign w:val="center"/>
          </w:tcPr>
          <w:p w:rsidR="00AF6AAE" w:rsidRDefault="00B568BF">
            <w:pPr>
              <w:jc w:val="right"/>
            </w:pPr>
            <w:r>
              <w:rPr>
                <w:rFonts w:eastAsiaTheme="minorEastAsia"/>
                <w:kern w:val="0"/>
                <w:szCs w:val="21"/>
              </w:rPr>
              <w:t>7,799,922.36</w:t>
            </w:r>
          </w:p>
        </w:tc>
        <w:tc>
          <w:tcPr>
            <w:tcW w:w="1616" w:type="dxa"/>
            <w:vAlign w:val="center"/>
          </w:tcPr>
          <w:p w:rsidR="00AF6AAE" w:rsidRDefault="00B568BF">
            <w:pPr>
              <w:jc w:val="right"/>
            </w:pPr>
            <w:r>
              <w:rPr>
                <w:rFonts w:eastAsiaTheme="minorEastAsia"/>
                <w:kern w:val="0"/>
                <w:szCs w:val="21"/>
              </w:rPr>
              <w:t>2.97</w:t>
            </w:r>
          </w:p>
        </w:tc>
      </w:tr>
      <w:tr w:rsidR="00AF6AAE">
        <w:tc>
          <w:tcPr>
            <w:tcW w:w="817" w:type="dxa"/>
            <w:vAlign w:val="center"/>
          </w:tcPr>
          <w:p w:rsidR="00AF6AAE" w:rsidRDefault="00B568BF">
            <w:pPr>
              <w:jc w:val="center"/>
            </w:pPr>
            <w:r>
              <w:rPr>
                <w:rFonts w:eastAsiaTheme="minorEastAsia"/>
                <w:kern w:val="0"/>
                <w:szCs w:val="21"/>
              </w:rPr>
              <w:t>5</w:t>
            </w:r>
          </w:p>
        </w:tc>
        <w:tc>
          <w:tcPr>
            <w:tcW w:w="1276" w:type="dxa"/>
            <w:vAlign w:val="center"/>
          </w:tcPr>
          <w:p w:rsidR="00AF6AAE" w:rsidRDefault="00B568BF">
            <w:pPr>
              <w:jc w:val="center"/>
            </w:pPr>
            <w:r>
              <w:rPr>
                <w:rFonts w:eastAsiaTheme="minorEastAsia"/>
                <w:kern w:val="0"/>
                <w:szCs w:val="21"/>
              </w:rPr>
              <w:t>300308</w:t>
            </w:r>
          </w:p>
        </w:tc>
        <w:tc>
          <w:tcPr>
            <w:tcW w:w="1701" w:type="dxa"/>
            <w:vAlign w:val="center"/>
          </w:tcPr>
          <w:p w:rsidR="00AF6AAE" w:rsidRDefault="00B568BF">
            <w:pPr>
              <w:jc w:val="center"/>
            </w:pPr>
            <w:r>
              <w:rPr>
                <w:rFonts w:eastAsiaTheme="minorEastAsia"/>
                <w:kern w:val="0"/>
                <w:szCs w:val="21"/>
              </w:rPr>
              <w:t>中际旭创</w:t>
            </w:r>
          </w:p>
        </w:tc>
        <w:tc>
          <w:tcPr>
            <w:tcW w:w="1276" w:type="dxa"/>
            <w:vAlign w:val="center"/>
          </w:tcPr>
          <w:p w:rsidR="00AF6AAE" w:rsidRDefault="00B568BF">
            <w:pPr>
              <w:jc w:val="right"/>
            </w:pPr>
            <w:r>
              <w:rPr>
                <w:rFonts w:eastAsiaTheme="minorEastAsia"/>
                <w:kern w:val="0"/>
                <w:szCs w:val="21"/>
              </w:rPr>
              <w:t>66,845.00</w:t>
            </w:r>
          </w:p>
        </w:tc>
        <w:tc>
          <w:tcPr>
            <w:tcW w:w="1842" w:type="dxa"/>
            <w:vAlign w:val="center"/>
          </w:tcPr>
          <w:p w:rsidR="00AF6AAE" w:rsidRDefault="00B568BF">
            <w:pPr>
              <w:jc w:val="right"/>
            </w:pPr>
            <w:r>
              <w:rPr>
                <w:rFonts w:eastAsiaTheme="minorEastAsia"/>
                <w:kern w:val="0"/>
                <w:szCs w:val="21"/>
              </w:rPr>
              <w:t>7,740,651.00</w:t>
            </w:r>
          </w:p>
        </w:tc>
        <w:tc>
          <w:tcPr>
            <w:tcW w:w="1616" w:type="dxa"/>
            <w:vAlign w:val="center"/>
          </w:tcPr>
          <w:p w:rsidR="00AF6AAE" w:rsidRDefault="00B568BF">
            <w:pPr>
              <w:jc w:val="right"/>
            </w:pPr>
            <w:r>
              <w:rPr>
                <w:rFonts w:eastAsiaTheme="minorEastAsia"/>
                <w:kern w:val="0"/>
                <w:szCs w:val="21"/>
              </w:rPr>
              <w:t>2.95</w:t>
            </w:r>
          </w:p>
        </w:tc>
      </w:tr>
      <w:tr w:rsidR="00AF6AAE">
        <w:tc>
          <w:tcPr>
            <w:tcW w:w="817" w:type="dxa"/>
            <w:vAlign w:val="center"/>
          </w:tcPr>
          <w:p w:rsidR="00AF6AAE" w:rsidRDefault="00B568BF">
            <w:pPr>
              <w:jc w:val="center"/>
            </w:pPr>
            <w:r>
              <w:rPr>
                <w:rFonts w:eastAsiaTheme="minorEastAsia"/>
                <w:kern w:val="0"/>
                <w:szCs w:val="21"/>
              </w:rPr>
              <w:t>6</w:t>
            </w:r>
          </w:p>
        </w:tc>
        <w:tc>
          <w:tcPr>
            <w:tcW w:w="1276" w:type="dxa"/>
            <w:vAlign w:val="center"/>
          </w:tcPr>
          <w:p w:rsidR="00AF6AAE" w:rsidRDefault="00B568BF">
            <w:pPr>
              <w:jc w:val="center"/>
            </w:pPr>
            <w:r>
              <w:rPr>
                <w:rFonts w:eastAsiaTheme="minorEastAsia"/>
                <w:kern w:val="0"/>
                <w:szCs w:val="21"/>
              </w:rPr>
              <w:t>002368</w:t>
            </w:r>
          </w:p>
        </w:tc>
        <w:tc>
          <w:tcPr>
            <w:tcW w:w="1701" w:type="dxa"/>
            <w:vAlign w:val="center"/>
          </w:tcPr>
          <w:p w:rsidR="00AF6AAE" w:rsidRDefault="00B568BF">
            <w:pPr>
              <w:jc w:val="center"/>
            </w:pPr>
            <w:r>
              <w:rPr>
                <w:rFonts w:eastAsiaTheme="minorEastAsia"/>
                <w:kern w:val="0"/>
                <w:szCs w:val="21"/>
              </w:rPr>
              <w:t>太极股份</w:t>
            </w:r>
          </w:p>
        </w:tc>
        <w:tc>
          <w:tcPr>
            <w:tcW w:w="1276" w:type="dxa"/>
            <w:vAlign w:val="center"/>
          </w:tcPr>
          <w:p w:rsidR="00AF6AAE" w:rsidRDefault="00B568BF">
            <w:pPr>
              <w:jc w:val="right"/>
            </w:pPr>
            <w:r>
              <w:rPr>
                <w:rFonts w:eastAsiaTheme="minorEastAsia"/>
                <w:kern w:val="0"/>
                <w:szCs w:val="21"/>
              </w:rPr>
              <w:t>251,380.00</w:t>
            </w:r>
          </w:p>
        </w:tc>
        <w:tc>
          <w:tcPr>
            <w:tcW w:w="1842" w:type="dxa"/>
            <w:vAlign w:val="center"/>
          </w:tcPr>
          <w:p w:rsidR="00AF6AAE" w:rsidRDefault="00B568BF">
            <w:pPr>
              <w:jc w:val="right"/>
            </w:pPr>
            <w:r>
              <w:rPr>
                <w:rFonts w:eastAsiaTheme="minorEastAsia"/>
                <w:kern w:val="0"/>
                <w:szCs w:val="21"/>
              </w:rPr>
              <w:t>7,692,228.00</w:t>
            </w:r>
          </w:p>
        </w:tc>
        <w:tc>
          <w:tcPr>
            <w:tcW w:w="1616" w:type="dxa"/>
            <w:vAlign w:val="center"/>
          </w:tcPr>
          <w:p w:rsidR="00AF6AAE" w:rsidRDefault="00B568BF">
            <w:pPr>
              <w:jc w:val="right"/>
            </w:pPr>
            <w:r>
              <w:rPr>
                <w:rFonts w:eastAsiaTheme="minorEastAsia"/>
                <w:kern w:val="0"/>
                <w:szCs w:val="21"/>
              </w:rPr>
              <w:t>2.93</w:t>
            </w:r>
          </w:p>
        </w:tc>
      </w:tr>
      <w:tr w:rsidR="00AF6AAE">
        <w:tc>
          <w:tcPr>
            <w:tcW w:w="817" w:type="dxa"/>
            <w:vAlign w:val="center"/>
          </w:tcPr>
          <w:p w:rsidR="00AF6AAE" w:rsidRDefault="00B568BF">
            <w:pPr>
              <w:jc w:val="center"/>
            </w:pPr>
            <w:r>
              <w:rPr>
                <w:rFonts w:eastAsiaTheme="minorEastAsia"/>
                <w:kern w:val="0"/>
                <w:szCs w:val="21"/>
              </w:rPr>
              <w:t>7</w:t>
            </w:r>
          </w:p>
        </w:tc>
        <w:tc>
          <w:tcPr>
            <w:tcW w:w="1276" w:type="dxa"/>
            <w:vAlign w:val="center"/>
          </w:tcPr>
          <w:p w:rsidR="00AF6AAE" w:rsidRDefault="00B568BF">
            <w:pPr>
              <w:jc w:val="center"/>
            </w:pPr>
            <w:r>
              <w:rPr>
                <w:rFonts w:eastAsiaTheme="minorEastAsia"/>
                <w:kern w:val="0"/>
                <w:szCs w:val="21"/>
              </w:rPr>
              <w:t>603997</w:t>
            </w:r>
          </w:p>
        </w:tc>
        <w:tc>
          <w:tcPr>
            <w:tcW w:w="1701" w:type="dxa"/>
            <w:vAlign w:val="center"/>
          </w:tcPr>
          <w:p w:rsidR="00AF6AAE" w:rsidRDefault="00B568BF">
            <w:pPr>
              <w:jc w:val="center"/>
            </w:pPr>
            <w:r>
              <w:rPr>
                <w:rFonts w:eastAsiaTheme="minorEastAsia"/>
                <w:kern w:val="0"/>
                <w:szCs w:val="21"/>
              </w:rPr>
              <w:t>继峰股份</w:t>
            </w:r>
          </w:p>
        </w:tc>
        <w:tc>
          <w:tcPr>
            <w:tcW w:w="1276" w:type="dxa"/>
            <w:vAlign w:val="center"/>
          </w:tcPr>
          <w:p w:rsidR="00AF6AAE" w:rsidRDefault="00B568BF">
            <w:pPr>
              <w:jc w:val="right"/>
            </w:pPr>
            <w:r>
              <w:rPr>
                <w:rFonts w:eastAsiaTheme="minorEastAsia"/>
                <w:kern w:val="0"/>
                <w:szCs w:val="21"/>
              </w:rPr>
              <w:t>520,450.00</w:t>
            </w:r>
          </w:p>
        </w:tc>
        <w:tc>
          <w:tcPr>
            <w:tcW w:w="1842" w:type="dxa"/>
            <w:vAlign w:val="center"/>
          </w:tcPr>
          <w:p w:rsidR="00AF6AAE" w:rsidRDefault="00B568BF">
            <w:pPr>
              <w:jc w:val="right"/>
            </w:pPr>
            <w:r>
              <w:rPr>
                <w:rFonts w:eastAsiaTheme="minorEastAsia"/>
                <w:kern w:val="0"/>
                <w:szCs w:val="21"/>
              </w:rPr>
              <w:t>7,671,433.00</w:t>
            </w:r>
          </w:p>
        </w:tc>
        <w:tc>
          <w:tcPr>
            <w:tcW w:w="1616" w:type="dxa"/>
            <w:vAlign w:val="center"/>
          </w:tcPr>
          <w:p w:rsidR="00AF6AAE" w:rsidRDefault="00B568BF">
            <w:pPr>
              <w:jc w:val="right"/>
            </w:pPr>
            <w:r>
              <w:rPr>
                <w:rFonts w:eastAsiaTheme="minorEastAsia"/>
                <w:kern w:val="0"/>
                <w:szCs w:val="21"/>
              </w:rPr>
              <w:t>2.92</w:t>
            </w:r>
          </w:p>
        </w:tc>
      </w:tr>
      <w:tr w:rsidR="00AF6AAE">
        <w:tc>
          <w:tcPr>
            <w:tcW w:w="817" w:type="dxa"/>
            <w:vAlign w:val="center"/>
          </w:tcPr>
          <w:p w:rsidR="00AF6AAE" w:rsidRDefault="00B568BF">
            <w:pPr>
              <w:jc w:val="center"/>
            </w:pPr>
            <w:r>
              <w:rPr>
                <w:rFonts w:eastAsiaTheme="minorEastAsia"/>
                <w:kern w:val="0"/>
                <w:szCs w:val="21"/>
              </w:rPr>
              <w:t>8</w:t>
            </w:r>
          </w:p>
        </w:tc>
        <w:tc>
          <w:tcPr>
            <w:tcW w:w="1276" w:type="dxa"/>
            <w:vAlign w:val="center"/>
          </w:tcPr>
          <w:p w:rsidR="00AF6AAE" w:rsidRDefault="00B568BF">
            <w:pPr>
              <w:jc w:val="center"/>
            </w:pPr>
            <w:r>
              <w:rPr>
                <w:rFonts w:eastAsiaTheme="minorEastAsia"/>
                <w:kern w:val="0"/>
                <w:szCs w:val="21"/>
              </w:rPr>
              <w:t>300130</w:t>
            </w:r>
          </w:p>
        </w:tc>
        <w:tc>
          <w:tcPr>
            <w:tcW w:w="1701" w:type="dxa"/>
            <w:vAlign w:val="center"/>
          </w:tcPr>
          <w:p w:rsidR="00AF6AAE" w:rsidRDefault="00B568BF">
            <w:pPr>
              <w:jc w:val="center"/>
            </w:pPr>
            <w:r>
              <w:rPr>
                <w:rFonts w:eastAsiaTheme="minorEastAsia"/>
                <w:kern w:val="0"/>
                <w:szCs w:val="21"/>
              </w:rPr>
              <w:t>新国都</w:t>
            </w:r>
          </w:p>
        </w:tc>
        <w:tc>
          <w:tcPr>
            <w:tcW w:w="1276" w:type="dxa"/>
            <w:vAlign w:val="center"/>
          </w:tcPr>
          <w:p w:rsidR="00AF6AAE" w:rsidRDefault="00B568BF">
            <w:pPr>
              <w:jc w:val="right"/>
            </w:pPr>
            <w:r>
              <w:rPr>
                <w:rFonts w:eastAsiaTheme="minorEastAsia"/>
                <w:kern w:val="0"/>
                <w:szCs w:val="21"/>
              </w:rPr>
              <w:t>309,103.00</w:t>
            </w:r>
          </w:p>
        </w:tc>
        <w:tc>
          <w:tcPr>
            <w:tcW w:w="1842" w:type="dxa"/>
            <w:vAlign w:val="center"/>
          </w:tcPr>
          <w:p w:rsidR="00AF6AAE" w:rsidRDefault="00B568BF">
            <w:pPr>
              <w:jc w:val="right"/>
            </w:pPr>
            <w:r>
              <w:rPr>
                <w:rFonts w:eastAsiaTheme="minorEastAsia"/>
                <w:kern w:val="0"/>
                <w:szCs w:val="21"/>
              </w:rPr>
              <w:t>7,619,388.95</w:t>
            </w:r>
          </w:p>
        </w:tc>
        <w:tc>
          <w:tcPr>
            <w:tcW w:w="1616" w:type="dxa"/>
            <w:vAlign w:val="center"/>
          </w:tcPr>
          <w:p w:rsidR="00AF6AAE" w:rsidRDefault="00B568BF">
            <w:pPr>
              <w:jc w:val="right"/>
            </w:pPr>
            <w:r>
              <w:rPr>
                <w:rFonts w:eastAsiaTheme="minorEastAsia"/>
                <w:kern w:val="0"/>
                <w:szCs w:val="21"/>
              </w:rPr>
              <w:t>2.90</w:t>
            </w:r>
          </w:p>
        </w:tc>
      </w:tr>
      <w:tr w:rsidR="00AF6AAE">
        <w:tc>
          <w:tcPr>
            <w:tcW w:w="817" w:type="dxa"/>
            <w:vAlign w:val="center"/>
          </w:tcPr>
          <w:p w:rsidR="00AF6AAE" w:rsidRDefault="00B568BF">
            <w:pPr>
              <w:jc w:val="center"/>
            </w:pPr>
            <w:r>
              <w:rPr>
                <w:rFonts w:eastAsiaTheme="minorEastAsia"/>
                <w:kern w:val="0"/>
                <w:szCs w:val="21"/>
              </w:rPr>
              <w:t>9</w:t>
            </w:r>
          </w:p>
        </w:tc>
        <w:tc>
          <w:tcPr>
            <w:tcW w:w="1276" w:type="dxa"/>
            <w:vAlign w:val="center"/>
          </w:tcPr>
          <w:p w:rsidR="00AF6AAE" w:rsidRDefault="00B568BF">
            <w:pPr>
              <w:jc w:val="center"/>
            </w:pPr>
            <w:r>
              <w:rPr>
                <w:rFonts w:eastAsiaTheme="minorEastAsia"/>
                <w:kern w:val="0"/>
                <w:szCs w:val="21"/>
              </w:rPr>
              <w:t>601138</w:t>
            </w:r>
          </w:p>
        </w:tc>
        <w:tc>
          <w:tcPr>
            <w:tcW w:w="1701" w:type="dxa"/>
            <w:vAlign w:val="center"/>
          </w:tcPr>
          <w:p w:rsidR="00AF6AAE" w:rsidRDefault="00B568BF">
            <w:pPr>
              <w:jc w:val="center"/>
            </w:pPr>
            <w:r>
              <w:rPr>
                <w:rFonts w:eastAsiaTheme="minorEastAsia"/>
                <w:kern w:val="0"/>
                <w:szCs w:val="21"/>
              </w:rPr>
              <w:t>工业富联</w:t>
            </w:r>
          </w:p>
        </w:tc>
        <w:tc>
          <w:tcPr>
            <w:tcW w:w="1276" w:type="dxa"/>
            <w:vAlign w:val="center"/>
          </w:tcPr>
          <w:p w:rsidR="00AF6AAE" w:rsidRDefault="00B568BF">
            <w:pPr>
              <w:jc w:val="right"/>
            </w:pPr>
            <w:r>
              <w:rPr>
                <w:rFonts w:eastAsiaTheme="minorEastAsia"/>
                <w:kern w:val="0"/>
                <w:szCs w:val="21"/>
              </w:rPr>
              <w:t>386,181.00</w:t>
            </w:r>
          </w:p>
        </w:tc>
        <w:tc>
          <w:tcPr>
            <w:tcW w:w="1842" w:type="dxa"/>
            <w:vAlign w:val="center"/>
          </w:tcPr>
          <w:p w:rsidR="00AF6AAE" w:rsidRDefault="00B568BF">
            <w:pPr>
              <w:jc w:val="right"/>
            </w:pPr>
            <w:r>
              <w:rPr>
                <w:rFonts w:eastAsiaTheme="minorEastAsia"/>
                <w:kern w:val="0"/>
                <w:szCs w:val="21"/>
              </w:rPr>
              <w:t>7,607,765.70</w:t>
            </w:r>
          </w:p>
        </w:tc>
        <w:tc>
          <w:tcPr>
            <w:tcW w:w="1616" w:type="dxa"/>
            <w:vAlign w:val="center"/>
          </w:tcPr>
          <w:p w:rsidR="00AF6AAE" w:rsidRDefault="00B568BF">
            <w:pPr>
              <w:jc w:val="right"/>
            </w:pPr>
            <w:r>
              <w:rPr>
                <w:rFonts w:eastAsiaTheme="minorEastAsia"/>
                <w:kern w:val="0"/>
                <w:szCs w:val="21"/>
              </w:rPr>
              <w:t>2.90</w:t>
            </w:r>
          </w:p>
        </w:tc>
      </w:tr>
      <w:tr w:rsidR="00AF6AAE">
        <w:tc>
          <w:tcPr>
            <w:tcW w:w="817" w:type="dxa"/>
            <w:vAlign w:val="center"/>
          </w:tcPr>
          <w:p w:rsidR="00AF6AAE" w:rsidRDefault="00B568BF">
            <w:pPr>
              <w:jc w:val="center"/>
            </w:pPr>
            <w:r>
              <w:rPr>
                <w:rFonts w:eastAsiaTheme="minorEastAsia"/>
                <w:kern w:val="0"/>
                <w:szCs w:val="21"/>
              </w:rPr>
              <w:t>10</w:t>
            </w:r>
          </w:p>
        </w:tc>
        <w:tc>
          <w:tcPr>
            <w:tcW w:w="1276" w:type="dxa"/>
            <w:vAlign w:val="center"/>
          </w:tcPr>
          <w:p w:rsidR="00AF6AAE" w:rsidRDefault="00B568BF">
            <w:pPr>
              <w:jc w:val="center"/>
            </w:pPr>
            <w:r>
              <w:rPr>
                <w:rFonts w:eastAsiaTheme="minorEastAsia"/>
                <w:kern w:val="0"/>
                <w:szCs w:val="21"/>
              </w:rPr>
              <w:t>002517</w:t>
            </w:r>
          </w:p>
        </w:tc>
        <w:tc>
          <w:tcPr>
            <w:tcW w:w="1701" w:type="dxa"/>
            <w:vAlign w:val="center"/>
          </w:tcPr>
          <w:p w:rsidR="00AF6AAE" w:rsidRDefault="00B568BF">
            <w:pPr>
              <w:jc w:val="center"/>
            </w:pPr>
            <w:r>
              <w:rPr>
                <w:rFonts w:eastAsiaTheme="minorEastAsia"/>
                <w:kern w:val="0"/>
                <w:szCs w:val="21"/>
              </w:rPr>
              <w:t>恺英网络</w:t>
            </w:r>
          </w:p>
        </w:tc>
        <w:tc>
          <w:tcPr>
            <w:tcW w:w="1276" w:type="dxa"/>
            <w:vAlign w:val="center"/>
          </w:tcPr>
          <w:p w:rsidR="00AF6AAE" w:rsidRDefault="00B568BF">
            <w:pPr>
              <w:jc w:val="right"/>
            </w:pPr>
            <w:r>
              <w:rPr>
                <w:rFonts w:eastAsiaTheme="minorEastAsia"/>
                <w:kern w:val="0"/>
                <w:szCs w:val="21"/>
              </w:rPr>
              <w:t>595,952.00</w:t>
            </w:r>
          </w:p>
        </w:tc>
        <w:tc>
          <w:tcPr>
            <w:tcW w:w="1842" w:type="dxa"/>
            <w:vAlign w:val="center"/>
          </w:tcPr>
          <w:p w:rsidR="00AF6AAE" w:rsidRDefault="00B568BF">
            <w:pPr>
              <w:jc w:val="right"/>
            </w:pPr>
            <w:r>
              <w:rPr>
                <w:rFonts w:eastAsiaTheme="minorEastAsia"/>
                <w:kern w:val="0"/>
                <w:szCs w:val="21"/>
              </w:rPr>
              <w:t>7,508,995.20</w:t>
            </w:r>
          </w:p>
        </w:tc>
        <w:tc>
          <w:tcPr>
            <w:tcW w:w="1616" w:type="dxa"/>
            <w:vAlign w:val="center"/>
          </w:tcPr>
          <w:p w:rsidR="00AF6AAE" w:rsidRDefault="00B568BF">
            <w:pPr>
              <w:jc w:val="right"/>
            </w:pPr>
            <w:r>
              <w:rPr>
                <w:rFonts w:eastAsiaTheme="minorEastAsia"/>
                <w:kern w:val="0"/>
                <w:szCs w:val="21"/>
              </w:rPr>
              <w:t>2.86</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lastRenderedPageBreak/>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131,820.30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18,182.39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150,002.69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lastRenderedPageBreak/>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548,253,792.59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782,110.41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8,158,831.37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460,099.63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9,234,766.14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265,758.11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547,177,857.82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976,451.93</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513,478.82</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513,478.82</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0.09</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DF563E" w:rsidRDefault="00DF563E" w:rsidP="00DF563E">
      <w:pPr>
        <w:spacing w:line="360" w:lineRule="auto"/>
        <w:jc w:val="left"/>
        <w:rPr>
          <w:b/>
          <w:color w:val="000000" w:themeColor="text1"/>
          <w:szCs w:val="21"/>
        </w:rPr>
      </w:pPr>
    </w:p>
    <w:p w:rsidR="00DF563E" w:rsidRDefault="00DF563E" w:rsidP="00DF563E">
      <w:pPr>
        <w:spacing w:line="360" w:lineRule="auto"/>
        <w:jc w:val="left"/>
        <w:rPr>
          <w:b/>
          <w:color w:val="000000" w:themeColor="text1"/>
          <w:szCs w:val="21"/>
        </w:rPr>
      </w:pPr>
      <w:r>
        <w:rPr>
          <w:b/>
          <w:color w:val="000000" w:themeColor="text1"/>
          <w:szCs w:val="21"/>
        </w:rPr>
        <w:t xml:space="preserve">7.2 </w:t>
      </w:r>
      <w:r>
        <w:rPr>
          <w:rFonts w:hint="eastAsia"/>
          <w:b/>
          <w:color w:val="000000" w:themeColor="text1"/>
          <w:szCs w:val="21"/>
        </w:rPr>
        <w:t>基金管理人运用固有资金投资本基金交易明细</w:t>
      </w:r>
    </w:p>
    <w:p w:rsidR="00DF563E" w:rsidRDefault="00DF563E" w:rsidP="00DF563E">
      <w:pPr>
        <w:spacing w:line="360" w:lineRule="auto"/>
        <w:jc w:val="left"/>
        <w:rPr>
          <w:color w:val="000000" w:themeColor="text1"/>
          <w:szCs w:val="21"/>
        </w:rPr>
      </w:pPr>
      <w:r>
        <w:rPr>
          <w:rFonts w:hint="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AF6AAE" w:rsidRDefault="00B568BF">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中国证监会批准本基金设立的文件；</w:t>
      </w:r>
    </w:p>
    <w:p w:rsidR="00AF6AAE" w:rsidRDefault="00B568BF">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《摩根整合驱动灵活配置混合型证券投资基金基金合同》；</w:t>
      </w:r>
    </w:p>
    <w:p w:rsidR="00AF6AAE" w:rsidRDefault="00B568BF">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《摩根整合驱动灵活配置混合型证券投资基金托管协议》；</w:t>
      </w:r>
    </w:p>
    <w:p w:rsidR="00AF6AAE" w:rsidRDefault="00B568BF">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p>
    <w:p w:rsidR="00AF6AAE" w:rsidRDefault="00B568BF">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二〇二三年十月二十五日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8BF" w:rsidRDefault="00B568BF">
      <w:r>
        <w:separator/>
      </w:r>
    </w:p>
  </w:endnote>
  <w:endnote w:type="continuationSeparator" w:id="0">
    <w:p w:rsidR="00B568BF" w:rsidRDefault="00B5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F3653">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CF3653">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CF3653">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8BF" w:rsidRDefault="00B568BF">
      <w:r>
        <w:separator/>
      </w:r>
    </w:p>
  </w:footnote>
  <w:footnote w:type="continuationSeparator" w:id="0">
    <w:p w:rsidR="00B568BF" w:rsidRDefault="00B5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摩根整合驱动灵活配置混合型证券投资基金</w:t>
    </w:r>
    <w:r>
      <w:t>2023</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6AA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8BF"/>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3653"/>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63E"/>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62497270">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12445-2B5C-43C5-8E60-2F496CD1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TotalTime>
  <Pages>13</Pages>
  <Words>1101</Words>
  <Characters>6277</Characters>
  <Application>Microsoft Office Word</Application>
  <DocSecurity>0</DocSecurity>
  <Lines>52</Lines>
  <Paragraphs>14</Paragraphs>
  <ScaleCrop>false</ScaleCrop>
  <Company>TRT. Ltd. Co.</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Xiaodi.Wang@FA</cp:lastModifiedBy>
  <cp:revision>221</cp:revision>
  <cp:lastPrinted>2007-07-19T00:46:00Z</cp:lastPrinted>
  <dcterms:created xsi:type="dcterms:W3CDTF">2013-06-21T06:56:00Z</dcterms:created>
  <dcterms:modified xsi:type="dcterms:W3CDTF">2023-10-24T07:00:00Z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