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摩根整合驱动灵活配置混合型证券投资基金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摩根整合驱动混合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001192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544,420,839.34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通过深入细致的基本面研究，把握企业整合发展带来的投资机会，在严格的风险控制前提下，力争实现基金资产的长期增值。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66444" w:rsidRDefault="008C25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666444" w:rsidRDefault="008C25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本基金通过自上而下和自下而上相结合、定性分析和定量分析互相补充的方法，在股票、债券和现金等资产类别之间进行相对灵活的配置。</w:t>
            </w:r>
          </w:p>
          <w:p w:rsidR="00666444" w:rsidRDefault="008C25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666444" w:rsidRDefault="008C25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本基金将重点投资于整合主题相关的上市公司。在个股选</w:t>
            </w:r>
            <w:r>
              <w:rPr>
                <w:rFonts w:eastAsiaTheme="minorEastAsia"/>
                <w:color w:val="000000" w:themeColor="text1"/>
                <w:kern w:val="0"/>
                <w:szCs w:val="21"/>
              </w:rPr>
              <w:lastRenderedPageBreak/>
              <w:t>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p w:rsidR="00666444" w:rsidRDefault="008C25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债券配置策略</w:t>
            </w:r>
          </w:p>
          <w:p w:rsidR="00666444" w:rsidRDefault="008C25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66444" w:rsidRDefault="008C259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001192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016920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w:t>
            </w:r>
            <w:r w:rsidRPr="00B27A29">
              <w:rPr>
                <w:rFonts w:eastAsiaTheme="minorEastAsia"/>
                <w:color w:val="000000" w:themeColor="text1"/>
                <w:szCs w:val="21"/>
              </w:rPr>
              <w:lastRenderedPageBreak/>
              <w:t>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lastRenderedPageBreak/>
              <w:t>543,615,383.20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805,456.14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-39,144,182.68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-65,636.57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-23,774,827.05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-38,908.57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-0.0444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236,797,114.01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348,983.80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0.4356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0.4333</w:t>
            </w:r>
          </w:p>
        </w:tc>
      </w:tr>
    </w:tbl>
    <w:p w:rsidR="00666444" w:rsidRDefault="008C25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摩根整合驱动混合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66444">
        <w:tc>
          <w:tcPr>
            <w:tcW w:w="1290" w:type="dxa"/>
            <w:vAlign w:val="center"/>
          </w:tcPr>
          <w:p w:rsidR="00666444" w:rsidRDefault="008C2595">
            <w:pPr>
              <w:jc w:val="left"/>
            </w:pPr>
            <w:r>
              <w:rPr>
                <w:rFonts w:eastAsiaTheme="minorEastAsia"/>
                <w:color w:val="000000" w:themeColor="text1"/>
                <w:szCs w:val="21"/>
              </w:rPr>
              <w:t>过去三个月</w:t>
            </w:r>
          </w:p>
        </w:tc>
        <w:tc>
          <w:tcPr>
            <w:tcW w:w="1291" w:type="dxa"/>
            <w:vAlign w:val="center"/>
          </w:tcPr>
          <w:p w:rsidR="00666444" w:rsidRDefault="008C2595">
            <w:pPr>
              <w:jc w:val="right"/>
            </w:pPr>
            <w:r>
              <w:rPr>
                <w:rFonts w:eastAsiaTheme="minorEastAsia"/>
                <w:color w:val="000000" w:themeColor="text1"/>
                <w:szCs w:val="21"/>
              </w:rPr>
              <w:t>-9.10%</w:t>
            </w:r>
          </w:p>
        </w:tc>
        <w:tc>
          <w:tcPr>
            <w:tcW w:w="1291" w:type="dxa"/>
            <w:vAlign w:val="center"/>
          </w:tcPr>
          <w:p w:rsidR="00666444" w:rsidRDefault="008C2595">
            <w:pPr>
              <w:jc w:val="right"/>
            </w:pPr>
            <w:r>
              <w:rPr>
                <w:rFonts w:eastAsiaTheme="minorEastAsia"/>
                <w:color w:val="000000" w:themeColor="text1"/>
                <w:szCs w:val="21"/>
              </w:rPr>
              <w:t>1.41%</w:t>
            </w:r>
          </w:p>
        </w:tc>
        <w:tc>
          <w:tcPr>
            <w:tcW w:w="1291" w:type="dxa"/>
            <w:vAlign w:val="center"/>
          </w:tcPr>
          <w:p w:rsidR="00666444" w:rsidRDefault="008C2595">
            <w:pPr>
              <w:jc w:val="right"/>
            </w:pPr>
            <w:r>
              <w:rPr>
                <w:rFonts w:eastAsiaTheme="minorEastAsia"/>
                <w:color w:val="000000" w:themeColor="text1"/>
                <w:szCs w:val="21"/>
              </w:rPr>
              <w:t>-3.50%</w:t>
            </w:r>
          </w:p>
        </w:tc>
        <w:tc>
          <w:tcPr>
            <w:tcW w:w="1291" w:type="dxa"/>
            <w:vAlign w:val="center"/>
          </w:tcPr>
          <w:p w:rsidR="00666444" w:rsidRDefault="008C2595">
            <w:pPr>
              <w:jc w:val="right"/>
            </w:pPr>
            <w:r>
              <w:rPr>
                <w:rFonts w:eastAsiaTheme="minorEastAsia"/>
                <w:color w:val="000000" w:themeColor="text1"/>
                <w:szCs w:val="21"/>
              </w:rPr>
              <w:t>0.47%</w:t>
            </w:r>
          </w:p>
        </w:tc>
        <w:tc>
          <w:tcPr>
            <w:tcW w:w="1291" w:type="dxa"/>
            <w:vAlign w:val="center"/>
          </w:tcPr>
          <w:p w:rsidR="00666444" w:rsidRDefault="008C2595">
            <w:pPr>
              <w:jc w:val="right"/>
            </w:pPr>
            <w:r>
              <w:rPr>
                <w:rFonts w:eastAsiaTheme="minorEastAsia"/>
                <w:color w:val="000000" w:themeColor="text1"/>
                <w:szCs w:val="21"/>
              </w:rPr>
              <w:t>-5.60%</w:t>
            </w:r>
          </w:p>
        </w:tc>
        <w:tc>
          <w:tcPr>
            <w:tcW w:w="1291" w:type="dxa"/>
            <w:vAlign w:val="center"/>
          </w:tcPr>
          <w:p w:rsidR="00666444" w:rsidRDefault="008C2595">
            <w:pPr>
              <w:jc w:val="right"/>
            </w:pPr>
            <w:r>
              <w:rPr>
                <w:rFonts w:eastAsiaTheme="minorEastAsia"/>
                <w:color w:val="000000" w:themeColor="text1"/>
                <w:szCs w:val="21"/>
              </w:rPr>
              <w:t>0.94%</w:t>
            </w:r>
          </w:p>
        </w:tc>
      </w:tr>
      <w:tr w:rsidR="00666444">
        <w:tc>
          <w:tcPr>
            <w:tcW w:w="1290" w:type="dxa"/>
            <w:vAlign w:val="center"/>
          </w:tcPr>
          <w:p w:rsidR="00666444" w:rsidRDefault="008C2595">
            <w:pPr>
              <w:jc w:val="left"/>
            </w:pPr>
            <w:r>
              <w:rPr>
                <w:rFonts w:eastAsiaTheme="minorEastAsia"/>
                <w:color w:val="000000" w:themeColor="text1"/>
                <w:szCs w:val="21"/>
              </w:rPr>
              <w:t>过去六个月</w:t>
            </w:r>
          </w:p>
        </w:tc>
        <w:tc>
          <w:tcPr>
            <w:tcW w:w="1291" w:type="dxa"/>
            <w:vAlign w:val="center"/>
          </w:tcPr>
          <w:p w:rsidR="00666444" w:rsidRDefault="008C2595">
            <w:pPr>
              <w:jc w:val="right"/>
            </w:pPr>
            <w:r>
              <w:rPr>
                <w:rFonts w:eastAsiaTheme="minorEastAsia"/>
                <w:color w:val="000000" w:themeColor="text1"/>
                <w:szCs w:val="21"/>
              </w:rPr>
              <w:t>-25.86%</w:t>
            </w:r>
          </w:p>
        </w:tc>
        <w:tc>
          <w:tcPr>
            <w:tcW w:w="1291" w:type="dxa"/>
            <w:vAlign w:val="center"/>
          </w:tcPr>
          <w:p w:rsidR="00666444" w:rsidRDefault="008C2595">
            <w:pPr>
              <w:jc w:val="right"/>
            </w:pPr>
            <w:r>
              <w:rPr>
                <w:rFonts w:eastAsiaTheme="minorEastAsia"/>
                <w:color w:val="000000" w:themeColor="text1"/>
                <w:szCs w:val="21"/>
              </w:rPr>
              <w:t>1.49%</w:t>
            </w:r>
          </w:p>
        </w:tc>
        <w:tc>
          <w:tcPr>
            <w:tcW w:w="1291" w:type="dxa"/>
            <w:vAlign w:val="center"/>
          </w:tcPr>
          <w:p w:rsidR="00666444" w:rsidRDefault="008C2595">
            <w:pPr>
              <w:jc w:val="right"/>
            </w:pPr>
            <w:r>
              <w:rPr>
                <w:rFonts w:eastAsiaTheme="minorEastAsia"/>
                <w:color w:val="000000" w:themeColor="text1"/>
                <w:szCs w:val="21"/>
              </w:rPr>
              <w:t>-5.92%</w:t>
            </w:r>
          </w:p>
        </w:tc>
        <w:tc>
          <w:tcPr>
            <w:tcW w:w="1291" w:type="dxa"/>
            <w:vAlign w:val="center"/>
          </w:tcPr>
          <w:p w:rsidR="00666444" w:rsidRDefault="008C2595">
            <w:pPr>
              <w:jc w:val="right"/>
            </w:pPr>
            <w:r>
              <w:rPr>
                <w:rFonts w:eastAsiaTheme="minorEastAsia"/>
                <w:color w:val="000000" w:themeColor="text1"/>
                <w:szCs w:val="21"/>
              </w:rPr>
              <w:t>0.49%</w:t>
            </w:r>
          </w:p>
        </w:tc>
        <w:tc>
          <w:tcPr>
            <w:tcW w:w="1291" w:type="dxa"/>
            <w:vAlign w:val="center"/>
          </w:tcPr>
          <w:p w:rsidR="00666444" w:rsidRDefault="008C2595">
            <w:pPr>
              <w:jc w:val="right"/>
            </w:pPr>
            <w:r>
              <w:rPr>
                <w:rFonts w:eastAsiaTheme="minorEastAsia"/>
                <w:color w:val="000000" w:themeColor="text1"/>
                <w:szCs w:val="21"/>
              </w:rPr>
              <w:t>-19.94%</w:t>
            </w:r>
          </w:p>
        </w:tc>
        <w:tc>
          <w:tcPr>
            <w:tcW w:w="1291" w:type="dxa"/>
            <w:vAlign w:val="center"/>
          </w:tcPr>
          <w:p w:rsidR="00666444" w:rsidRDefault="008C2595">
            <w:pPr>
              <w:jc w:val="right"/>
            </w:pPr>
            <w:r>
              <w:rPr>
                <w:rFonts w:eastAsiaTheme="minorEastAsia"/>
                <w:color w:val="000000" w:themeColor="text1"/>
                <w:szCs w:val="21"/>
              </w:rPr>
              <w:t>1.00%</w:t>
            </w:r>
          </w:p>
        </w:tc>
      </w:tr>
      <w:tr w:rsidR="00666444">
        <w:tc>
          <w:tcPr>
            <w:tcW w:w="1290" w:type="dxa"/>
            <w:vAlign w:val="center"/>
          </w:tcPr>
          <w:p w:rsidR="00666444" w:rsidRDefault="008C2595">
            <w:pPr>
              <w:jc w:val="left"/>
            </w:pPr>
            <w:r>
              <w:rPr>
                <w:rFonts w:eastAsiaTheme="minorEastAsia"/>
                <w:color w:val="000000" w:themeColor="text1"/>
                <w:szCs w:val="21"/>
              </w:rPr>
              <w:t>过去一年</w:t>
            </w:r>
          </w:p>
        </w:tc>
        <w:tc>
          <w:tcPr>
            <w:tcW w:w="1291" w:type="dxa"/>
            <w:vAlign w:val="center"/>
          </w:tcPr>
          <w:p w:rsidR="00666444" w:rsidRDefault="008C2595">
            <w:pPr>
              <w:jc w:val="right"/>
            </w:pPr>
            <w:r>
              <w:rPr>
                <w:rFonts w:eastAsiaTheme="minorEastAsia"/>
                <w:color w:val="000000" w:themeColor="text1"/>
                <w:szCs w:val="21"/>
              </w:rPr>
              <w:t>-24.03%</w:t>
            </w:r>
          </w:p>
        </w:tc>
        <w:tc>
          <w:tcPr>
            <w:tcW w:w="1291" w:type="dxa"/>
            <w:vAlign w:val="center"/>
          </w:tcPr>
          <w:p w:rsidR="00666444" w:rsidRDefault="008C2595">
            <w:pPr>
              <w:jc w:val="right"/>
            </w:pPr>
            <w:r>
              <w:rPr>
                <w:rFonts w:eastAsiaTheme="minorEastAsia"/>
                <w:color w:val="000000" w:themeColor="text1"/>
                <w:szCs w:val="21"/>
              </w:rPr>
              <w:t>1.59%</w:t>
            </w:r>
          </w:p>
        </w:tc>
        <w:tc>
          <w:tcPr>
            <w:tcW w:w="1291" w:type="dxa"/>
            <w:vAlign w:val="center"/>
          </w:tcPr>
          <w:p w:rsidR="00666444" w:rsidRDefault="008C2595">
            <w:pPr>
              <w:jc w:val="right"/>
            </w:pPr>
            <w:r>
              <w:rPr>
                <w:rFonts w:eastAsiaTheme="minorEastAsia"/>
                <w:color w:val="000000" w:themeColor="text1"/>
                <w:szCs w:val="21"/>
              </w:rPr>
              <w:t>-5.56%</w:t>
            </w:r>
          </w:p>
        </w:tc>
        <w:tc>
          <w:tcPr>
            <w:tcW w:w="1291" w:type="dxa"/>
            <w:vAlign w:val="center"/>
          </w:tcPr>
          <w:p w:rsidR="00666444" w:rsidRDefault="008C2595">
            <w:pPr>
              <w:jc w:val="right"/>
            </w:pPr>
            <w:r>
              <w:rPr>
                <w:rFonts w:eastAsiaTheme="minorEastAsia"/>
                <w:color w:val="000000" w:themeColor="text1"/>
                <w:szCs w:val="21"/>
              </w:rPr>
              <w:t>0.48%</w:t>
            </w:r>
          </w:p>
        </w:tc>
        <w:tc>
          <w:tcPr>
            <w:tcW w:w="1291" w:type="dxa"/>
            <w:vAlign w:val="center"/>
          </w:tcPr>
          <w:p w:rsidR="00666444" w:rsidRDefault="008C2595">
            <w:pPr>
              <w:jc w:val="right"/>
            </w:pPr>
            <w:r>
              <w:rPr>
                <w:rFonts w:eastAsiaTheme="minorEastAsia"/>
                <w:color w:val="000000" w:themeColor="text1"/>
                <w:szCs w:val="21"/>
              </w:rPr>
              <w:t>-18.47%</w:t>
            </w:r>
          </w:p>
        </w:tc>
        <w:tc>
          <w:tcPr>
            <w:tcW w:w="1291" w:type="dxa"/>
            <w:vAlign w:val="center"/>
          </w:tcPr>
          <w:p w:rsidR="00666444" w:rsidRDefault="008C2595">
            <w:pPr>
              <w:jc w:val="right"/>
            </w:pPr>
            <w:r>
              <w:rPr>
                <w:rFonts w:eastAsiaTheme="minorEastAsia"/>
                <w:color w:val="000000" w:themeColor="text1"/>
                <w:szCs w:val="21"/>
              </w:rPr>
              <w:t>1.11%</w:t>
            </w:r>
          </w:p>
        </w:tc>
      </w:tr>
      <w:tr w:rsidR="00666444">
        <w:tc>
          <w:tcPr>
            <w:tcW w:w="1290" w:type="dxa"/>
            <w:vAlign w:val="center"/>
          </w:tcPr>
          <w:p w:rsidR="00666444" w:rsidRDefault="008C2595">
            <w:pPr>
              <w:jc w:val="left"/>
            </w:pPr>
            <w:r>
              <w:rPr>
                <w:rFonts w:eastAsiaTheme="minorEastAsia"/>
                <w:color w:val="000000" w:themeColor="text1"/>
                <w:szCs w:val="21"/>
              </w:rPr>
              <w:t>过去三年</w:t>
            </w:r>
          </w:p>
        </w:tc>
        <w:tc>
          <w:tcPr>
            <w:tcW w:w="1291" w:type="dxa"/>
            <w:vAlign w:val="center"/>
          </w:tcPr>
          <w:p w:rsidR="00666444" w:rsidRDefault="008C2595">
            <w:pPr>
              <w:jc w:val="right"/>
            </w:pPr>
            <w:r>
              <w:rPr>
                <w:rFonts w:eastAsiaTheme="minorEastAsia"/>
                <w:color w:val="000000" w:themeColor="text1"/>
                <w:szCs w:val="21"/>
              </w:rPr>
              <w:t>-55.59%</w:t>
            </w:r>
          </w:p>
        </w:tc>
        <w:tc>
          <w:tcPr>
            <w:tcW w:w="1291" w:type="dxa"/>
            <w:vAlign w:val="center"/>
          </w:tcPr>
          <w:p w:rsidR="00666444" w:rsidRDefault="008C2595">
            <w:pPr>
              <w:jc w:val="right"/>
            </w:pPr>
            <w:r>
              <w:rPr>
                <w:rFonts w:eastAsiaTheme="minorEastAsia"/>
                <w:color w:val="000000" w:themeColor="text1"/>
                <w:szCs w:val="21"/>
              </w:rPr>
              <w:t>1.61%</w:t>
            </w:r>
          </w:p>
        </w:tc>
        <w:tc>
          <w:tcPr>
            <w:tcW w:w="1291" w:type="dxa"/>
            <w:vAlign w:val="center"/>
          </w:tcPr>
          <w:p w:rsidR="00666444" w:rsidRDefault="008C2595">
            <w:pPr>
              <w:jc w:val="right"/>
            </w:pPr>
            <w:r>
              <w:rPr>
                <w:rFonts w:eastAsiaTheme="minorEastAsia"/>
                <w:color w:val="000000" w:themeColor="text1"/>
                <w:szCs w:val="21"/>
              </w:rPr>
              <w:t>-16.33%</w:t>
            </w:r>
          </w:p>
        </w:tc>
        <w:tc>
          <w:tcPr>
            <w:tcW w:w="1291" w:type="dxa"/>
            <w:vAlign w:val="center"/>
          </w:tcPr>
          <w:p w:rsidR="00666444" w:rsidRDefault="008C2595">
            <w:pPr>
              <w:jc w:val="right"/>
            </w:pPr>
            <w:r>
              <w:rPr>
                <w:rFonts w:eastAsiaTheme="minorEastAsia"/>
                <w:color w:val="000000" w:themeColor="text1"/>
                <w:szCs w:val="21"/>
              </w:rPr>
              <w:t>0.64%</w:t>
            </w:r>
          </w:p>
        </w:tc>
        <w:tc>
          <w:tcPr>
            <w:tcW w:w="1291" w:type="dxa"/>
            <w:vAlign w:val="center"/>
          </w:tcPr>
          <w:p w:rsidR="00666444" w:rsidRDefault="008C2595">
            <w:pPr>
              <w:jc w:val="right"/>
            </w:pPr>
            <w:r>
              <w:rPr>
                <w:rFonts w:eastAsiaTheme="minorEastAsia"/>
                <w:color w:val="000000" w:themeColor="text1"/>
                <w:szCs w:val="21"/>
              </w:rPr>
              <w:t>-39.26%</w:t>
            </w:r>
          </w:p>
        </w:tc>
        <w:tc>
          <w:tcPr>
            <w:tcW w:w="1291" w:type="dxa"/>
            <w:vAlign w:val="center"/>
          </w:tcPr>
          <w:p w:rsidR="00666444" w:rsidRDefault="008C2595">
            <w:pPr>
              <w:jc w:val="right"/>
            </w:pPr>
            <w:r>
              <w:rPr>
                <w:rFonts w:eastAsiaTheme="minorEastAsia"/>
                <w:color w:val="000000" w:themeColor="text1"/>
                <w:szCs w:val="21"/>
              </w:rPr>
              <w:t>0.97%</w:t>
            </w:r>
          </w:p>
        </w:tc>
      </w:tr>
      <w:tr w:rsidR="00666444">
        <w:tc>
          <w:tcPr>
            <w:tcW w:w="1290" w:type="dxa"/>
            <w:vAlign w:val="center"/>
          </w:tcPr>
          <w:p w:rsidR="00666444" w:rsidRDefault="008C2595">
            <w:pPr>
              <w:jc w:val="left"/>
            </w:pPr>
            <w:r>
              <w:rPr>
                <w:rFonts w:eastAsiaTheme="minorEastAsia"/>
                <w:color w:val="000000" w:themeColor="text1"/>
                <w:szCs w:val="21"/>
              </w:rPr>
              <w:t>过去五年</w:t>
            </w:r>
          </w:p>
        </w:tc>
        <w:tc>
          <w:tcPr>
            <w:tcW w:w="1291" w:type="dxa"/>
            <w:vAlign w:val="center"/>
          </w:tcPr>
          <w:p w:rsidR="00666444" w:rsidRDefault="008C2595">
            <w:pPr>
              <w:jc w:val="right"/>
            </w:pPr>
            <w:r>
              <w:rPr>
                <w:rFonts w:eastAsiaTheme="minorEastAsia"/>
                <w:color w:val="000000" w:themeColor="text1"/>
                <w:szCs w:val="21"/>
              </w:rPr>
              <w:t>-4.26%</w:t>
            </w:r>
          </w:p>
        </w:tc>
        <w:tc>
          <w:tcPr>
            <w:tcW w:w="1291" w:type="dxa"/>
            <w:vAlign w:val="center"/>
          </w:tcPr>
          <w:p w:rsidR="00666444" w:rsidRDefault="008C2595">
            <w:pPr>
              <w:jc w:val="right"/>
            </w:pPr>
            <w:r>
              <w:rPr>
                <w:rFonts w:eastAsiaTheme="minorEastAsia"/>
                <w:color w:val="000000" w:themeColor="text1"/>
                <w:szCs w:val="21"/>
              </w:rPr>
              <w:t>1.51%</w:t>
            </w:r>
          </w:p>
        </w:tc>
        <w:tc>
          <w:tcPr>
            <w:tcW w:w="1291" w:type="dxa"/>
            <w:vAlign w:val="center"/>
          </w:tcPr>
          <w:p w:rsidR="00666444" w:rsidRDefault="008C2595">
            <w:pPr>
              <w:jc w:val="right"/>
            </w:pPr>
            <w:r>
              <w:rPr>
                <w:rFonts w:eastAsiaTheme="minorEastAsia"/>
                <w:color w:val="000000" w:themeColor="text1"/>
                <w:szCs w:val="21"/>
              </w:rPr>
              <w:t>12.69%</w:t>
            </w:r>
          </w:p>
        </w:tc>
        <w:tc>
          <w:tcPr>
            <w:tcW w:w="1291" w:type="dxa"/>
            <w:vAlign w:val="center"/>
          </w:tcPr>
          <w:p w:rsidR="00666444" w:rsidRDefault="008C2595">
            <w:pPr>
              <w:jc w:val="right"/>
            </w:pPr>
            <w:r>
              <w:rPr>
                <w:rFonts w:eastAsiaTheme="minorEastAsia"/>
                <w:color w:val="000000" w:themeColor="text1"/>
                <w:szCs w:val="21"/>
              </w:rPr>
              <w:t>0.71%</w:t>
            </w:r>
          </w:p>
        </w:tc>
        <w:tc>
          <w:tcPr>
            <w:tcW w:w="1291" w:type="dxa"/>
            <w:vAlign w:val="center"/>
          </w:tcPr>
          <w:p w:rsidR="00666444" w:rsidRDefault="008C2595">
            <w:pPr>
              <w:jc w:val="right"/>
            </w:pPr>
            <w:r>
              <w:rPr>
                <w:rFonts w:eastAsiaTheme="minorEastAsia"/>
                <w:color w:val="000000" w:themeColor="text1"/>
                <w:szCs w:val="21"/>
              </w:rPr>
              <w:t>-16.95%</w:t>
            </w:r>
          </w:p>
        </w:tc>
        <w:tc>
          <w:tcPr>
            <w:tcW w:w="1291" w:type="dxa"/>
            <w:vAlign w:val="center"/>
          </w:tcPr>
          <w:p w:rsidR="00666444" w:rsidRDefault="008C2595">
            <w:pPr>
              <w:jc w:val="right"/>
            </w:pPr>
            <w:r>
              <w:rPr>
                <w:rFonts w:eastAsiaTheme="minorEastAsia"/>
                <w:color w:val="000000" w:themeColor="text1"/>
                <w:szCs w:val="21"/>
              </w:rPr>
              <w:t>0.80%</w:t>
            </w:r>
          </w:p>
        </w:tc>
      </w:tr>
      <w:tr w:rsidR="00666444">
        <w:tc>
          <w:tcPr>
            <w:tcW w:w="1290" w:type="dxa"/>
            <w:vAlign w:val="center"/>
          </w:tcPr>
          <w:p w:rsidR="00666444" w:rsidRDefault="008C2595">
            <w:pPr>
              <w:jc w:val="left"/>
            </w:pPr>
            <w:r>
              <w:rPr>
                <w:rFonts w:eastAsiaTheme="minorEastAsia"/>
                <w:color w:val="000000" w:themeColor="text1"/>
                <w:szCs w:val="21"/>
              </w:rPr>
              <w:t>自基金合同生效起至今</w:t>
            </w:r>
          </w:p>
        </w:tc>
        <w:tc>
          <w:tcPr>
            <w:tcW w:w="1291" w:type="dxa"/>
            <w:vAlign w:val="center"/>
          </w:tcPr>
          <w:p w:rsidR="00666444" w:rsidRDefault="008C2595">
            <w:pPr>
              <w:jc w:val="right"/>
            </w:pPr>
            <w:r>
              <w:rPr>
                <w:rFonts w:eastAsiaTheme="minorEastAsia"/>
                <w:color w:val="000000" w:themeColor="text1"/>
                <w:szCs w:val="21"/>
              </w:rPr>
              <w:t>-56.44%</w:t>
            </w:r>
          </w:p>
        </w:tc>
        <w:tc>
          <w:tcPr>
            <w:tcW w:w="1291" w:type="dxa"/>
            <w:vAlign w:val="center"/>
          </w:tcPr>
          <w:p w:rsidR="00666444" w:rsidRDefault="008C2595">
            <w:pPr>
              <w:jc w:val="right"/>
            </w:pPr>
            <w:r>
              <w:rPr>
                <w:rFonts w:eastAsiaTheme="minorEastAsia"/>
                <w:color w:val="000000" w:themeColor="text1"/>
                <w:szCs w:val="21"/>
              </w:rPr>
              <w:t>1.68%</w:t>
            </w:r>
          </w:p>
        </w:tc>
        <w:tc>
          <w:tcPr>
            <w:tcW w:w="1291" w:type="dxa"/>
            <w:vAlign w:val="center"/>
          </w:tcPr>
          <w:p w:rsidR="00666444" w:rsidRDefault="008C2595">
            <w:pPr>
              <w:jc w:val="right"/>
            </w:pPr>
            <w:r>
              <w:rPr>
                <w:rFonts w:eastAsiaTheme="minorEastAsia"/>
                <w:color w:val="000000" w:themeColor="text1"/>
                <w:szCs w:val="21"/>
              </w:rPr>
              <w:t>-14.27%</w:t>
            </w:r>
          </w:p>
        </w:tc>
        <w:tc>
          <w:tcPr>
            <w:tcW w:w="1291" w:type="dxa"/>
            <w:vAlign w:val="center"/>
          </w:tcPr>
          <w:p w:rsidR="00666444" w:rsidRDefault="008C2595">
            <w:pPr>
              <w:jc w:val="right"/>
            </w:pPr>
            <w:r>
              <w:rPr>
                <w:rFonts w:eastAsiaTheme="minorEastAsia"/>
                <w:color w:val="000000" w:themeColor="text1"/>
                <w:szCs w:val="21"/>
              </w:rPr>
              <w:t>0.84%</w:t>
            </w:r>
          </w:p>
        </w:tc>
        <w:tc>
          <w:tcPr>
            <w:tcW w:w="1291" w:type="dxa"/>
            <w:vAlign w:val="center"/>
          </w:tcPr>
          <w:p w:rsidR="00666444" w:rsidRDefault="008C2595">
            <w:pPr>
              <w:jc w:val="right"/>
            </w:pPr>
            <w:r>
              <w:rPr>
                <w:rFonts w:eastAsiaTheme="minorEastAsia"/>
                <w:color w:val="000000" w:themeColor="text1"/>
                <w:szCs w:val="21"/>
              </w:rPr>
              <w:t>-42.17%</w:t>
            </w:r>
          </w:p>
        </w:tc>
        <w:tc>
          <w:tcPr>
            <w:tcW w:w="1291" w:type="dxa"/>
            <w:vAlign w:val="center"/>
          </w:tcPr>
          <w:p w:rsidR="00666444" w:rsidRDefault="008C2595">
            <w:pPr>
              <w:jc w:val="right"/>
            </w:pPr>
            <w:r>
              <w:rPr>
                <w:rFonts w:eastAsiaTheme="minorEastAsia"/>
                <w:color w:val="000000" w:themeColor="text1"/>
                <w:szCs w:val="21"/>
              </w:rPr>
              <w:t>0.84%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摩根整合驱动混合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66444">
        <w:tc>
          <w:tcPr>
            <w:tcW w:w="1290" w:type="dxa"/>
            <w:vAlign w:val="center"/>
          </w:tcPr>
          <w:p w:rsidR="00666444" w:rsidRDefault="008C2595">
            <w:pPr>
              <w:jc w:val="left"/>
            </w:pPr>
            <w:r>
              <w:rPr>
                <w:rFonts w:eastAsiaTheme="minorEastAsia"/>
                <w:color w:val="000000" w:themeColor="text1"/>
                <w:szCs w:val="21"/>
              </w:rPr>
              <w:t>过去三个月</w:t>
            </w:r>
          </w:p>
        </w:tc>
        <w:tc>
          <w:tcPr>
            <w:tcW w:w="1291" w:type="dxa"/>
            <w:vAlign w:val="center"/>
          </w:tcPr>
          <w:p w:rsidR="00666444" w:rsidRDefault="008C2595">
            <w:pPr>
              <w:jc w:val="right"/>
            </w:pPr>
            <w:r>
              <w:rPr>
                <w:rFonts w:eastAsiaTheme="minorEastAsia"/>
                <w:color w:val="000000" w:themeColor="text1"/>
                <w:szCs w:val="21"/>
              </w:rPr>
              <w:t>-9.20%</w:t>
            </w:r>
          </w:p>
        </w:tc>
        <w:tc>
          <w:tcPr>
            <w:tcW w:w="1291" w:type="dxa"/>
            <w:vAlign w:val="center"/>
          </w:tcPr>
          <w:p w:rsidR="00666444" w:rsidRDefault="008C2595">
            <w:pPr>
              <w:jc w:val="right"/>
            </w:pPr>
            <w:r>
              <w:rPr>
                <w:rFonts w:eastAsiaTheme="minorEastAsia"/>
                <w:color w:val="000000" w:themeColor="text1"/>
                <w:szCs w:val="21"/>
              </w:rPr>
              <w:t>1.41%</w:t>
            </w:r>
          </w:p>
        </w:tc>
        <w:tc>
          <w:tcPr>
            <w:tcW w:w="1291" w:type="dxa"/>
            <w:vAlign w:val="center"/>
          </w:tcPr>
          <w:p w:rsidR="00666444" w:rsidRDefault="008C2595">
            <w:pPr>
              <w:jc w:val="right"/>
            </w:pPr>
            <w:r>
              <w:rPr>
                <w:rFonts w:eastAsiaTheme="minorEastAsia"/>
                <w:color w:val="000000" w:themeColor="text1"/>
                <w:szCs w:val="21"/>
              </w:rPr>
              <w:t>-3.50%</w:t>
            </w:r>
          </w:p>
        </w:tc>
        <w:tc>
          <w:tcPr>
            <w:tcW w:w="1291" w:type="dxa"/>
            <w:vAlign w:val="center"/>
          </w:tcPr>
          <w:p w:rsidR="00666444" w:rsidRDefault="008C2595">
            <w:pPr>
              <w:jc w:val="right"/>
            </w:pPr>
            <w:r>
              <w:rPr>
                <w:rFonts w:eastAsiaTheme="minorEastAsia"/>
                <w:color w:val="000000" w:themeColor="text1"/>
                <w:szCs w:val="21"/>
              </w:rPr>
              <w:t>0.47%</w:t>
            </w:r>
          </w:p>
        </w:tc>
        <w:tc>
          <w:tcPr>
            <w:tcW w:w="1291" w:type="dxa"/>
            <w:vAlign w:val="center"/>
          </w:tcPr>
          <w:p w:rsidR="00666444" w:rsidRDefault="008C2595">
            <w:pPr>
              <w:jc w:val="right"/>
            </w:pPr>
            <w:r>
              <w:rPr>
                <w:rFonts w:eastAsiaTheme="minorEastAsia"/>
                <w:color w:val="000000" w:themeColor="text1"/>
                <w:szCs w:val="21"/>
              </w:rPr>
              <w:t>-5.70%</w:t>
            </w:r>
          </w:p>
        </w:tc>
        <w:tc>
          <w:tcPr>
            <w:tcW w:w="1291" w:type="dxa"/>
            <w:vAlign w:val="center"/>
          </w:tcPr>
          <w:p w:rsidR="00666444" w:rsidRDefault="008C2595">
            <w:pPr>
              <w:jc w:val="right"/>
            </w:pPr>
            <w:r>
              <w:rPr>
                <w:rFonts w:eastAsiaTheme="minorEastAsia"/>
                <w:color w:val="000000" w:themeColor="text1"/>
                <w:szCs w:val="21"/>
              </w:rPr>
              <w:t>0.94%</w:t>
            </w:r>
          </w:p>
        </w:tc>
      </w:tr>
      <w:tr w:rsidR="00666444">
        <w:tc>
          <w:tcPr>
            <w:tcW w:w="1290" w:type="dxa"/>
            <w:vAlign w:val="center"/>
          </w:tcPr>
          <w:p w:rsidR="00666444" w:rsidRDefault="008C2595">
            <w:pPr>
              <w:jc w:val="left"/>
            </w:pPr>
            <w:r>
              <w:rPr>
                <w:rFonts w:eastAsiaTheme="minorEastAsia"/>
                <w:color w:val="000000" w:themeColor="text1"/>
                <w:szCs w:val="21"/>
              </w:rPr>
              <w:t>过去六个月</w:t>
            </w:r>
          </w:p>
        </w:tc>
        <w:tc>
          <w:tcPr>
            <w:tcW w:w="1291" w:type="dxa"/>
            <w:vAlign w:val="center"/>
          </w:tcPr>
          <w:p w:rsidR="00666444" w:rsidRDefault="008C2595">
            <w:pPr>
              <w:jc w:val="right"/>
            </w:pPr>
            <w:r>
              <w:rPr>
                <w:rFonts w:eastAsiaTheme="minorEastAsia"/>
                <w:color w:val="000000" w:themeColor="text1"/>
                <w:szCs w:val="21"/>
              </w:rPr>
              <w:t>-26.03%</w:t>
            </w:r>
          </w:p>
        </w:tc>
        <w:tc>
          <w:tcPr>
            <w:tcW w:w="1291" w:type="dxa"/>
            <w:vAlign w:val="center"/>
          </w:tcPr>
          <w:p w:rsidR="00666444" w:rsidRDefault="008C2595">
            <w:pPr>
              <w:jc w:val="right"/>
            </w:pPr>
            <w:r>
              <w:rPr>
                <w:rFonts w:eastAsiaTheme="minorEastAsia"/>
                <w:color w:val="000000" w:themeColor="text1"/>
                <w:szCs w:val="21"/>
              </w:rPr>
              <w:t>1.49%</w:t>
            </w:r>
          </w:p>
        </w:tc>
        <w:tc>
          <w:tcPr>
            <w:tcW w:w="1291" w:type="dxa"/>
            <w:vAlign w:val="center"/>
          </w:tcPr>
          <w:p w:rsidR="00666444" w:rsidRDefault="008C2595">
            <w:pPr>
              <w:jc w:val="right"/>
            </w:pPr>
            <w:r>
              <w:rPr>
                <w:rFonts w:eastAsiaTheme="minorEastAsia"/>
                <w:color w:val="000000" w:themeColor="text1"/>
                <w:szCs w:val="21"/>
              </w:rPr>
              <w:t>-5.92%</w:t>
            </w:r>
          </w:p>
        </w:tc>
        <w:tc>
          <w:tcPr>
            <w:tcW w:w="1291" w:type="dxa"/>
            <w:vAlign w:val="center"/>
          </w:tcPr>
          <w:p w:rsidR="00666444" w:rsidRDefault="008C2595">
            <w:pPr>
              <w:jc w:val="right"/>
            </w:pPr>
            <w:r>
              <w:rPr>
                <w:rFonts w:eastAsiaTheme="minorEastAsia"/>
                <w:color w:val="000000" w:themeColor="text1"/>
                <w:szCs w:val="21"/>
              </w:rPr>
              <w:t>0.49%</w:t>
            </w:r>
          </w:p>
        </w:tc>
        <w:tc>
          <w:tcPr>
            <w:tcW w:w="1291" w:type="dxa"/>
            <w:vAlign w:val="center"/>
          </w:tcPr>
          <w:p w:rsidR="00666444" w:rsidRDefault="008C2595">
            <w:pPr>
              <w:jc w:val="right"/>
            </w:pPr>
            <w:r>
              <w:rPr>
                <w:rFonts w:eastAsiaTheme="minorEastAsia"/>
                <w:color w:val="000000" w:themeColor="text1"/>
                <w:szCs w:val="21"/>
              </w:rPr>
              <w:t>-20.11%</w:t>
            </w:r>
          </w:p>
        </w:tc>
        <w:tc>
          <w:tcPr>
            <w:tcW w:w="1291" w:type="dxa"/>
            <w:vAlign w:val="center"/>
          </w:tcPr>
          <w:p w:rsidR="00666444" w:rsidRDefault="008C2595">
            <w:pPr>
              <w:jc w:val="right"/>
            </w:pPr>
            <w:r>
              <w:rPr>
                <w:rFonts w:eastAsiaTheme="minorEastAsia"/>
                <w:color w:val="000000" w:themeColor="text1"/>
                <w:szCs w:val="21"/>
              </w:rPr>
              <w:t>1.00%</w:t>
            </w:r>
          </w:p>
        </w:tc>
      </w:tr>
      <w:tr w:rsidR="00666444">
        <w:tc>
          <w:tcPr>
            <w:tcW w:w="1290" w:type="dxa"/>
            <w:vAlign w:val="center"/>
          </w:tcPr>
          <w:p w:rsidR="00666444" w:rsidRDefault="008C2595">
            <w:pPr>
              <w:jc w:val="left"/>
            </w:pPr>
            <w:r>
              <w:rPr>
                <w:rFonts w:eastAsiaTheme="minorEastAsia"/>
                <w:color w:val="000000" w:themeColor="text1"/>
                <w:szCs w:val="21"/>
              </w:rPr>
              <w:t>过去一年</w:t>
            </w:r>
          </w:p>
        </w:tc>
        <w:tc>
          <w:tcPr>
            <w:tcW w:w="1291" w:type="dxa"/>
            <w:vAlign w:val="center"/>
          </w:tcPr>
          <w:p w:rsidR="00666444" w:rsidRDefault="008C2595">
            <w:pPr>
              <w:jc w:val="right"/>
            </w:pPr>
            <w:r>
              <w:rPr>
                <w:rFonts w:eastAsiaTheme="minorEastAsia"/>
                <w:color w:val="000000" w:themeColor="text1"/>
                <w:szCs w:val="21"/>
              </w:rPr>
              <w:t>-24.39%</w:t>
            </w:r>
          </w:p>
        </w:tc>
        <w:tc>
          <w:tcPr>
            <w:tcW w:w="1291" w:type="dxa"/>
            <w:vAlign w:val="center"/>
          </w:tcPr>
          <w:p w:rsidR="00666444" w:rsidRDefault="008C2595">
            <w:pPr>
              <w:jc w:val="right"/>
            </w:pPr>
            <w:r>
              <w:rPr>
                <w:rFonts w:eastAsiaTheme="minorEastAsia"/>
                <w:color w:val="000000" w:themeColor="text1"/>
                <w:szCs w:val="21"/>
              </w:rPr>
              <w:t>1.59%</w:t>
            </w:r>
          </w:p>
        </w:tc>
        <w:tc>
          <w:tcPr>
            <w:tcW w:w="1291" w:type="dxa"/>
            <w:vAlign w:val="center"/>
          </w:tcPr>
          <w:p w:rsidR="00666444" w:rsidRDefault="008C2595">
            <w:pPr>
              <w:jc w:val="right"/>
            </w:pPr>
            <w:r>
              <w:rPr>
                <w:rFonts w:eastAsiaTheme="minorEastAsia"/>
                <w:color w:val="000000" w:themeColor="text1"/>
                <w:szCs w:val="21"/>
              </w:rPr>
              <w:t>-5.56%</w:t>
            </w:r>
          </w:p>
        </w:tc>
        <w:tc>
          <w:tcPr>
            <w:tcW w:w="1291" w:type="dxa"/>
            <w:vAlign w:val="center"/>
          </w:tcPr>
          <w:p w:rsidR="00666444" w:rsidRDefault="008C2595">
            <w:pPr>
              <w:jc w:val="right"/>
            </w:pPr>
            <w:r>
              <w:rPr>
                <w:rFonts w:eastAsiaTheme="minorEastAsia"/>
                <w:color w:val="000000" w:themeColor="text1"/>
                <w:szCs w:val="21"/>
              </w:rPr>
              <w:t>0.48%</w:t>
            </w:r>
          </w:p>
        </w:tc>
        <w:tc>
          <w:tcPr>
            <w:tcW w:w="1291" w:type="dxa"/>
            <w:vAlign w:val="center"/>
          </w:tcPr>
          <w:p w:rsidR="00666444" w:rsidRDefault="008C2595">
            <w:pPr>
              <w:jc w:val="right"/>
            </w:pPr>
            <w:r>
              <w:rPr>
                <w:rFonts w:eastAsiaTheme="minorEastAsia"/>
                <w:color w:val="000000" w:themeColor="text1"/>
                <w:szCs w:val="21"/>
              </w:rPr>
              <w:t>-18.83%</w:t>
            </w:r>
          </w:p>
        </w:tc>
        <w:tc>
          <w:tcPr>
            <w:tcW w:w="1291" w:type="dxa"/>
            <w:vAlign w:val="center"/>
          </w:tcPr>
          <w:p w:rsidR="00666444" w:rsidRDefault="008C2595">
            <w:pPr>
              <w:jc w:val="right"/>
            </w:pPr>
            <w:r>
              <w:rPr>
                <w:rFonts w:eastAsiaTheme="minorEastAsia"/>
                <w:color w:val="000000" w:themeColor="text1"/>
                <w:szCs w:val="21"/>
              </w:rPr>
              <w:t>1.11%</w:t>
            </w:r>
          </w:p>
        </w:tc>
      </w:tr>
      <w:tr w:rsidR="00666444">
        <w:tc>
          <w:tcPr>
            <w:tcW w:w="1290" w:type="dxa"/>
            <w:vAlign w:val="center"/>
          </w:tcPr>
          <w:p w:rsidR="00666444" w:rsidRDefault="008C2595">
            <w:pPr>
              <w:jc w:val="left"/>
            </w:pPr>
            <w:r>
              <w:rPr>
                <w:rFonts w:eastAsiaTheme="minorEastAsia"/>
                <w:color w:val="000000" w:themeColor="text1"/>
                <w:szCs w:val="21"/>
              </w:rPr>
              <w:t>过去三年</w:t>
            </w:r>
          </w:p>
        </w:tc>
        <w:tc>
          <w:tcPr>
            <w:tcW w:w="1291" w:type="dxa"/>
            <w:vAlign w:val="center"/>
          </w:tcPr>
          <w:p w:rsidR="00666444" w:rsidRDefault="008C2595">
            <w:pPr>
              <w:jc w:val="right"/>
            </w:pPr>
            <w:r>
              <w:rPr>
                <w:rFonts w:eastAsiaTheme="minorEastAsia"/>
                <w:color w:val="000000" w:themeColor="text1"/>
                <w:szCs w:val="21"/>
              </w:rPr>
              <w:t>-</w:t>
            </w:r>
          </w:p>
        </w:tc>
        <w:tc>
          <w:tcPr>
            <w:tcW w:w="1291" w:type="dxa"/>
            <w:vAlign w:val="center"/>
          </w:tcPr>
          <w:p w:rsidR="00666444" w:rsidRDefault="008C2595">
            <w:pPr>
              <w:jc w:val="right"/>
            </w:pPr>
            <w:r>
              <w:rPr>
                <w:rFonts w:eastAsiaTheme="minorEastAsia"/>
                <w:color w:val="000000" w:themeColor="text1"/>
                <w:szCs w:val="21"/>
              </w:rPr>
              <w:t>-</w:t>
            </w:r>
          </w:p>
        </w:tc>
        <w:tc>
          <w:tcPr>
            <w:tcW w:w="1291" w:type="dxa"/>
            <w:vAlign w:val="center"/>
          </w:tcPr>
          <w:p w:rsidR="00666444" w:rsidRDefault="008C2595">
            <w:pPr>
              <w:jc w:val="right"/>
            </w:pPr>
            <w:r>
              <w:rPr>
                <w:rFonts w:eastAsiaTheme="minorEastAsia"/>
                <w:color w:val="000000" w:themeColor="text1"/>
                <w:szCs w:val="21"/>
              </w:rPr>
              <w:t>-</w:t>
            </w:r>
          </w:p>
        </w:tc>
        <w:tc>
          <w:tcPr>
            <w:tcW w:w="1291" w:type="dxa"/>
            <w:vAlign w:val="center"/>
          </w:tcPr>
          <w:p w:rsidR="00666444" w:rsidRDefault="008C2595">
            <w:pPr>
              <w:jc w:val="right"/>
            </w:pPr>
            <w:r>
              <w:rPr>
                <w:rFonts w:eastAsiaTheme="minorEastAsia"/>
                <w:color w:val="000000" w:themeColor="text1"/>
                <w:szCs w:val="21"/>
              </w:rPr>
              <w:t>-</w:t>
            </w:r>
          </w:p>
        </w:tc>
        <w:tc>
          <w:tcPr>
            <w:tcW w:w="1291" w:type="dxa"/>
            <w:vAlign w:val="center"/>
          </w:tcPr>
          <w:p w:rsidR="00666444" w:rsidRDefault="008C2595">
            <w:pPr>
              <w:jc w:val="right"/>
            </w:pPr>
            <w:r>
              <w:rPr>
                <w:rFonts w:eastAsiaTheme="minorEastAsia"/>
                <w:color w:val="000000" w:themeColor="text1"/>
                <w:szCs w:val="21"/>
              </w:rPr>
              <w:t>-</w:t>
            </w:r>
          </w:p>
        </w:tc>
        <w:tc>
          <w:tcPr>
            <w:tcW w:w="1291" w:type="dxa"/>
            <w:vAlign w:val="center"/>
          </w:tcPr>
          <w:p w:rsidR="00666444" w:rsidRDefault="008C2595">
            <w:pPr>
              <w:jc w:val="right"/>
            </w:pPr>
            <w:r>
              <w:rPr>
                <w:rFonts w:eastAsiaTheme="minorEastAsia"/>
                <w:color w:val="000000" w:themeColor="text1"/>
                <w:szCs w:val="21"/>
              </w:rPr>
              <w:t>-</w:t>
            </w:r>
          </w:p>
        </w:tc>
      </w:tr>
      <w:tr w:rsidR="00666444">
        <w:tc>
          <w:tcPr>
            <w:tcW w:w="1290" w:type="dxa"/>
            <w:vAlign w:val="center"/>
          </w:tcPr>
          <w:p w:rsidR="00666444" w:rsidRDefault="008C2595">
            <w:pPr>
              <w:jc w:val="left"/>
            </w:pPr>
            <w:r>
              <w:rPr>
                <w:rFonts w:eastAsiaTheme="minorEastAsia"/>
                <w:color w:val="000000" w:themeColor="text1"/>
                <w:szCs w:val="21"/>
              </w:rPr>
              <w:t>过去五年</w:t>
            </w:r>
          </w:p>
        </w:tc>
        <w:tc>
          <w:tcPr>
            <w:tcW w:w="1291" w:type="dxa"/>
            <w:vAlign w:val="center"/>
          </w:tcPr>
          <w:p w:rsidR="00666444" w:rsidRDefault="008C2595">
            <w:pPr>
              <w:jc w:val="right"/>
            </w:pPr>
            <w:r>
              <w:rPr>
                <w:rFonts w:eastAsiaTheme="minorEastAsia"/>
                <w:color w:val="000000" w:themeColor="text1"/>
                <w:szCs w:val="21"/>
              </w:rPr>
              <w:t>-</w:t>
            </w:r>
          </w:p>
        </w:tc>
        <w:tc>
          <w:tcPr>
            <w:tcW w:w="1291" w:type="dxa"/>
            <w:vAlign w:val="center"/>
          </w:tcPr>
          <w:p w:rsidR="00666444" w:rsidRDefault="008C2595">
            <w:pPr>
              <w:jc w:val="right"/>
            </w:pPr>
            <w:r>
              <w:rPr>
                <w:rFonts w:eastAsiaTheme="minorEastAsia"/>
                <w:color w:val="000000" w:themeColor="text1"/>
                <w:szCs w:val="21"/>
              </w:rPr>
              <w:t>-</w:t>
            </w:r>
          </w:p>
        </w:tc>
        <w:tc>
          <w:tcPr>
            <w:tcW w:w="1291" w:type="dxa"/>
            <w:vAlign w:val="center"/>
          </w:tcPr>
          <w:p w:rsidR="00666444" w:rsidRDefault="008C2595">
            <w:pPr>
              <w:jc w:val="right"/>
            </w:pPr>
            <w:r>
              <w:rPr>
                <w:rFonts w:eastAsiaTheme="minorEastAsia"/>
                <w:color w:val="000000" w:themeColor="text1"/>
                <w:szCs w:val="21"/>
              </w:rPr>
              <w:t>-</w:t>
            </w:r>
          </w:p>
        </w:tc>
        <w:tc>
          <w:tcPr>
            <w:tcW w:w="1291" w:type="dxa"/>
            <w:vAlign w:val="center"/>
          </w:tcPr>
          <w:p w:rsidR="00666444" w:rsidRDefault="008C2595">
            <w:pPr>
              <w:jc w:val="right"/>
            </w:pPr>
            <w:r>
              <w:rPr>
                <w:rFonts w:eastAsiaTheme="minorEastAsia"/>
                <w:color w:val="000000" w:themeColor="text1"/>
                <w:szCs w:val="21"/>
              </w:rPr>
              <w:t>-</w:t>
            </w:r>
          </w:p>
        </w:tc>
        <w:tc>
          <w:tcPr>
            <w:tcW w:w="1291" w:type="dxa"/>
            <w:vAlign w:val="center"/>
          </w:tcPr>
          <w:p w:rsidR="00666444" w:rsidRDefault="008C2595">
            <w:pPr>
              <w:jc w:val="right"/>
            </w:pPr>
            <w:r>
              <w:rPr>
                <w:rFonts w:eastAsiaTheme="minorEastAsia"/>
                <w:color w:val="000000" w:themeColor="text1"/>
                <w:szCs w:val="21"/>
              </w:rPr>
              <w:t>-</w:t>
            </w:r>
          </w:p>
        </w:tc>
        <w:tc>
          <w:tcPr>
            <w:tcW w:w="1291" w:type="dxa"/>
            <w:vAlign w:val="center"/>
          </w:tcPr>
          <w:p w:rsidR="00666444" w:rsidRDefault="008C2595">
            <w:pPr>
              <w:jc w:val="right"/>
            </w:pPr>
            <w:r>
              <w:rPr>
                <w:rFonts w:eastAsiaTheme="minorEastAsia"/>
                <w:color w:val="000000" w:themeColor="text1"/>
                <w:szCs w:val="21"/>
              </w:rPr>
              <w:t>-</w:t>
            </w:r>
          </w:p>
        </w:tc>
      </w:tr>
      <w:tr w:rsidR="00666444">
        <w:tc>
          <w:tcPr>
            <w:tcW w:w="1290" w:type="dxa"/>
            <w:vAlign w:val="center"/>
          </w:tcPr>
          <w:p w:rsidR="00666444" w:rsidRDefault="008C2595">
            <w:pPr>
              <w:jc w:val="left"/>
            </w:pPr>
            <w:r>
              <w:rPr>
                <w:rFonts w:eastAsiaTheme="minorEastAsia"/>
                <w:color w:val="000000" w:themeColor="text1"/>
                <w:szCs w:val="21"/>
              </w:rPr>
              <w:t>自基金合同生效起至今</w:t>
            </w:r>
          </w:p>
        </w:tc>
        <w:tc>
          <w:tcPr>
            <w:tcW w:w="1291" w:type="dxa"/>
            <w:vAlign w:val="center"/>
          </w:tcPr>
          <w:p w:rsidR="00666444" w:rsidRDefault="008C2595">
            <w:pPr>
              <w:jc w:val="right"/>
            </w:pPr>
            <w:r>
              <w:rPr>
                <w:rFonts w:eastAsiaTheme="minorEastAsia"/>
                <w:color w:val="000000" w:themeColor="text1"/>
                <w:szCs w:val="21"/>
              </w:rPr>
              <w:t>-28.52%</w:t>
            </w:r>
          </w:p>
        </w:tc>
        <w:tc>
          <w:tcPr>
            <w:tcW w:w="1291" w:type="dxa"/>
            <w:vAlign w:val="center"/>
          </w:tcPr>
          <w:p w:rsidR="00666444" w:rsidRDefault="008C2595">
            <w:pPr>
              <w:jc w:val="right"/>
            </w:pPr>
            <w:r>
              <w:rPr>
                <w:rFonts w:eastAsiaTheme="minorEastAsia"/>
                <w:color w:val="000000" w:themeColor="text1"/>
                <w:szCs w:val="21"/>
              </w:rPr>
              <w:t>1.63%</w:t>
            </w:r>
          </w:p>
        </w:tc>
        <w:tc>
          <w:tcPr>
            <w:tcW w:w="1291" w:type="dxa"/>
            <w:vAlign w:val="center"/>
          </w:tcPr>
          <w:p w:rsidR="00666444" w:rsidRDefault="008C2595">
            <w:pPr>
              <w:jc w:val="right"/>
            </w:pPr>
            <w:r>
              <w:rPr>
                <w:rFonts w:eastAsiaTheme="minorEastAsia"/>
                <w:color w:val="000000" w:themeColor="text1"/>
                <w:szCs w:val="21"/>
              </w:rPr>
              <w:t>-1.72%</w:t>
            </w:r>
          </w:p>
        </w:tc>
        <w:tc>
          <w:tcPr>
            <w:tcW w:w="1291" w:type="dxa"/>
            <w:vAlign w:val="center"/>
          </w:tcPr>
          <w:p w:rsidR="00666444" w:rsidRDefault="008C2595">
            <w:pPr>
              <w:jc w:val="right"/>
            </w:pPr>
            <w:r>
              <w:rPr>
                <w:rFonts w:eastAsiaTheme="minorEastAsia"/>
                <w:color w:val="000000" w:themeColor="text1"/>
                <w:szCs w:val="21"/>
              </w:rPr>
              <w:t>0.51%</w:t>
            </w:r>
          </w:p>
        </w:tc>
        <w:tc>
          <w:tcPr>
            <w:tcW w:w="1291" w:type="dxa"/>
            <w:vAlign w:val="center"/>
          </w:tcPr>
          <w:p w:rsidR="00666444" w:rsidRDefault="008C2595">
            <w:pPr>
              <w:jc w:val="right"/>
            </w:pPr>
            <w:r>
              <w:rPr>
                <w:rFonts w:eastAsiaTheme="minorEastAsia"/>
                <w:color w:val="000000" w:themeColor="text1"/>
                <w:szCs w:val="21"/>
              </w:rPr>
              <w:t>-26.80%</w:t>
            </w:r>
          </w:p>
        </w:tc>
        <w:tc>
          <w:tcPr>
            <w:tcW w:w="1291" w:type="dxa"/>
            <w:vAlign w:val="center"/>
          </w:tcPr>
          <w:p w:rsidR="00666444" w:rsidRDefault="008C2595">
            <w:pPr>
              <w:jc w:val="right"/>
            </w:pPr>
            <w:r>
              <w:rPr>
                <w:rFonts w:eastAsiaTheme="minorEastAsia"/>
                <w:color w:val="000000" w:themeColor="text1"/>
                <w:szCs w:val="21"/>
              </w:rPr>
              <w:t>1.12%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摩根整合驱动灵活配置混合型证券投资基金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．摩根整合驱动混合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．摩根整合驱动混合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66444">
        <w:tc>
          <w:tcPr>
            <w:tcW w:w="952" w:type="dxa"/>
            <w:vAlign w:val="center"/>
          </w:tcPr>
          <w:p w:rsidR="00666444" w:rsidRDefault="008C2595">
            <w:pPr>
              <w:jc w:val="center"/>
            </w:pPr>
            <w:r>
              <w:rPr>
                <w:rFonts w:eastAsiaTheme="minorEastAsia"/>
                <w:color w:val="000000" w:themeColor="text1"/>
                <w:szCs w:val="21"/>
              </w:rPr>
              <w:t>周战海</w:t>
            </w:r>
          </w:p>
        </w:tc>
        <w:tc>
          <w:tcPr>
            <w:tcW w:w="930" w:type="dxa"/>
            <w:vAlign w:val="center"/>
          </w:tcPr>
          <w:p w:rsidR="00666444" w:rsidRDefault="008C2595">
            <w:pPr>
              <w:jc w:val="center"/>
            </w:pPr>
            <w:r>
              <w:rPr>
                <w:rFonts w:eastAsiaTheme="minorEastAsia"/>
                <w:color w:val="000000" w:themeColor="text1"/>
                <w:szCs w:val="21"/>
              </w:rPr>
              <w:t>本基金基金经理</w:t>
            </w:r>
          </w:p>
        </w:tc>
        <w:tc>
          <w:tcPr>
            <w:tcW w:w="1210" w:type="dxa"/>
            <w:vAlign w:val="center"/>
          </w:tcPr>
          <w:p w:rsidR="00666444" w:rsidRDefault="008C2595">
            <w:pPr>
              <w:jc w:val="center"/>
            </w:pPr>
            <w:r>
              <w:rPr>
                <w:rFonts w:eastAsiaTheme="minorEastAsia"/>
                <w:color w:val="000000" w:themeColor="text1"/>
                <w:szCs w:val="21"/>
              </w:rPr>
              <w:t>2022-01-14</w:t>
            </w:r>
          </w:p>
        </w:tc>
        <w:tc>
          <w:tcPr>
            <w:tcW w:w="1309" w:type="dxa"/>
            <w:vAlign w:val="center"/>
          </w:tcPr>
          <w:p w:rsidR="00666444" w:rsidRDefault="008C2595">
            <w:pPr>
              <w:jc w:val="center"/>
            </w:pPr>
            <w:r>
              <w:rPr>
                <w:rFonts w:eastAsiaTheme="minorEastAsia"/>
                <w:color w:val="000000" w:themeColor="text1"/>
                <w:szCs w:val="21"/>
              </w:rPr>
              <w:t>-</w:t>
            </w:r>
          </w:p>
        </w:tc>
        <w:tc>
          <w:tcPr>
            <w:tcW w:w="1254" w:type="dxa"/>
            <w:vAlign w:val="center"/>
          </w:tcPr>
          <w:p w:rsidR="00666444" w:rsidRDefault="008C2595">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666444" w:rsidRDefault="008C2595">
            <w:r>
              <w:rPr>
                <w:rFonts w:eastAsiaTheme="minorEastAsia"/>
                <w:color w:val="000000" w:themeColor="text1"/>
                <w:szCs w:val="21"/>
              </w:rPr>
              <w:t>周战海先生曾任国金证券研究所资深分析师，太平洋资产管理有限责任公司高级研究员。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666444" w:rsidRDefault="008C259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年四季度</w:t>
      </w:r>
      <w:r>
        <w:rPr>
          <w:rFonts w:eastAsiaTheme="minorEastAsia"/>
          <w:color w:val="000000" w:themeColor="text1"/>
          <w:szCs w:val="21"/>
        </w:rPr>
        <w:t>A</w:t>
      </w:r>
      <w:r>
        <w:rPr>
          <w:rFonts w:eastAsiaTheme="minorEastAsia"/>
          <w:color w:val="000000" w:themeColor="text1"/>
          <w:szCs w:val="21"/>
        </w:rPr>
        <w:t>股整体表现依然低迷</w:t>
      </w:r>
      <w:r>
        <w:rPr>
          <w:rFonts w:eastAsiaTheme="minorEastAsia"/>
          <w:color w:val="000000" w:themeColor="text1"/>
          <w:szCs w:val="21"/>
        </w:rPr>
        <w:t>,</w:t>
      </w:r>
      <w:r>
        <w:rPr>
          <w:rFonts w:eastAsiaTheme="minorEastAsia"/>
          <w:color w:val="000000" w:themeColor="text1"/>
          <w:szCs w:val="21"/>
        </w:rPr>
        <w:t>延续了三季度的下跌走势，上证指数下跌</w:t>
      </w:r>
      <w:r>
        <w:rPr>
          <w:rFonts w:eastAsiaTheme="minorEastAsia"/>
          <w:color w:val="000000" w:themeColor="text1"/>
          <w:szCs w:val="21"/>
        </w:rPr>
        <w:t>4.36%</w:t>
      </w:r>
      <w:r>
        <w:rPr>
          <w:rFonts w:eastAsiaTheme="minorEastAsia"/>
          <w:color w:val="000000" w:themeColor="text1"/>
          <w:szCs w:val="21"/>
        </w:rPr>
        <w:t>，深证成指下跌</w:t>
      </w:r>
      <w:r>
        <w:rPr>
          <w:rFonts w:eastAsiaTheme="minorEastAsia"/>
          <w:color w:val="000000" w:themeColor="text1"/>
          <w:szCs w:val="21"/>
        </w:rPr>
        <w:t>5.79%</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7.00%</w:t>
      </w:r>
      <w:r>
        <w:rPr>
          <w:rFonts w:eastAsiaTheme="minorEastAsia"/>
          <w:color w:val="000000" w:themeColor="text1"/>
          <w:szCs w:val="21"/>
        </w:rPr>
        <w:t>，创业板指数下跌</w:t>
      </w:r>
      <w:r>
        <w:rPr>
          <w:rFonts w:eastAsiaTheme="minorEastAsia"/>
          <w:color w:val="000000" w:themeColor="text1"/>
          <w:szCs w:val="21"/>
        </w:rPr>
        <w:t>5.62%</w:t>
      </w:r>
      <w:r>
        <w:rPr>
          <w:rFonts w:eastAsiaTheme="minorEastAsia"/>
          <w:color w:val="000000" w:themeColor="text1"/>
          <w:szCs w:val="21"/>
        </w:rPr>
        <w:t>，科创</w:t>
      </w:r>
      <w:r>
        <w:rPr>
          <w:rFonts w:eastAsiaTheme="minorEastAsia"/>
          <w:color w:val="000000" w:themeColor="text1"/>
          <w:szCs w:val="21"/>
        </w:rPr>
        <w:t>50</w:t>
      </w:r>
      <w:r>
        <w:rPr>
          <w:rFonts w:eastAsiaTheme="minorEastAsia"/>
          <w:color w:val="000000" w:themeColor="text1"/>
          <w:szCs w:val="21"/>
        </w:rPr>
        <w:t>指数下跌</w:t>
      </w:r>
      <w:r>
        <w:rPr>
          <w:rFonts w:eastAsiaTheme="minorEastAsia"/>
          <w:color w:val="000000" w:themeColor="text1"/>
          <w:szCs w:val="21"/>
        </w:rPr>
        <w:t>4.03%</w:t>
      </w:r>
      <w:r>
        <w:rPr>
          <w:rFonts w:eastAsiaTheme="minorEastAsia"/>
          <w:color w:val="000000" w:themeColor="text1"/>
          <w:szCs w:val="21"/>
        </w:rPr>
        <w:t>。</w:t>
      </w:r>
      <w:r>
        <w:rPr>
          <w:rFonts w:eastAsiaTheme="minorEastAsia"/>
          <w:color w:val="000000" w:themeColor="text1"/>
          <w:szCs w:val="21"/>
        </w:rPr>
        <w:lastRenderedPageBreak/>
        <w:t>板块方面，行业结构差异较大，煤炭、电子元器件和农林牧渔领涨，房地产、餐饮旅游、建材和电力设备领跌。报告期内，出于对科技成长行业的看好，本基金按照契约要求，重点投资了以人工智能（</w:t>
      </w:r>
      <w:r>
        <w:rPr>
          <w:rFonts w:eastAsiaTheme="minorEastAsia"/>
          <w:color w:val="000000" w:themeColor="text1"/>
          <w:szCs w:val="21"/>
        </w:rPr>
        <w:t>AI</w:t>
      </w:r>
      <w:r>
        <w:rPr>
          <w:rFonts w:eastAsiaTheme="minorEastAsia"/>
          <w:color w:val="000000" w:themeColor="text1"/>
          <w:szCs w:val="21"/>
        </w:rPr>
        <w:t>）为龙头的</w:t>
      </w:r>
      <w:r>
        <w:rPr>
          <w:rFonts w:eastAsiaTheme="minorEastAsia"/>
          <w:color w:val="000000" w:themeColor="text1"/>
          <w:szCs w:val="21"/>
        </w:rPr>
        <w:t>TMT</w:t>
      </w:r>
      <w:r>
        <w:rPr>
          <w:rFonts w:eastAsiaTheme="minorEastAsia"/>
          <w:color w:val="000000" w:themeColor="text1"/>
          <w:szCs w:val="21"/>
        </w:rPr>
        <w:t>等高科技成长行业，主要配置集中于算力、游戏等</w:t>
      </w:r>
      <w:r>
        <w:rPr>
          <w:rFonts w:eastAsiaTheme="minorEastAsia"/>
          <w:color w:val="000000" w:themeColor="text1"/>
          <w:szCs w:val="21"/>
        </w:rPr>
        <w:t>AI</w:t>
      </w:r>
      <w:r>
        <w:rPr>
          <w:rFonts w:eastAsiaTheme="minorEastAsia"/>
          <w:color w:val="000000" w:themeColor="text1"/>
          <w:szCs w:val="21"/>
        </w:rPr>
        <w:t>应用类龙头公司。同时也重点投资了与智能驾驶相关的汽车零部件龙头公司。报告期</w:t>
      </w:r>
      <w:r>
        <w:rPr>
          <w:rFonts w:eastAsiaTheme="minorEastAsia"/>
          <w:color w:val="000000" w:themeColor="text1"/>
          <w:szCs w:val="21"/>
        </w:rPr>
        <w:t>内，受高科技成长股和电动车板块调整影响，基金净值表现欠佳。</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 xml:space="preserve">, </w:t>
      </w:r>
      <w:r w:rsidRPr="00B27A29">
        <w:rPr>
          <w:rFonts w:eastAsiaTheme="minorEastAsia"/>
          <w:color w:val="000000" w:themeColor="text1"/>
          <w:szCs w:val="21"/>
        </w:rPr>
        <w:t>中国宏观经济最差的时候或已经过去，美国也有望结束加息进入降息周期，外围经济环境有望进一步改善。我们认为，当前市场调整已非常充分，</w:t>
      </w:r>
      <w:r w:rsidRPr="00B27A29">
        <w:rPr>
          <w:rFonts w:eastAsiaTheme="minorEastAsia"/>
          <w:color w:val="000000" w:themeColor="text1"/>
          <w:szCs w:val="21"/>
        </w:rPr>
        <w:t>A</w:t>
      </w:r>
      <w:r w:rsidRPr="00B27A29">
        <w:rPr>
          <w:rFonts w:eastAsiaTheme="minorEastAsia"/>
          <w:color w:val="000000" w:themeColor="text1"/>
          <w:szCs w:val="21"/>
        </w:rPr>
        <w:t>股的估值已经处于历史低位，收益大于风险，股票具有很大的投资机会。我们继续坚定看好科技这一投资主线，坚定看好人工智能产业带来的革命性变化，我们认为这甚至将超越智能手机对我们生活的改变。我们认为人工智能的应用将进一步加速，其带来的革命性创新将全面影响算力、智能驾驶、元宇宙、国防等方方面面。未来我们将继续重点投资科技相关行业里面坚持创新，具备核心竞争力、增长前景确定的高成长龙头公司。我们将加强对上市公司基本面的研究力度，筛选出竞争力持续提升的优秀公司，力争为持有人创造较好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本报告期摩根整合驱动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:-9.10%</w:t>
      </w:r>
      <w:r>
        <w:rPr>
          <w:rFonts w:eastAsiaTheme="minorEastAsia"/>
          <w:color w:val="000000" w:themeColor="text1"/>
          <w:szCs w:val="21"/>
        </w:rPr>
        <w:t>，同期业绩比较基准收益率为</w:t>
      </w:r>
      <w:r>
        <w:rPr>
          <w:rFonts w:eastAsiaTheme="minorEastAsia"/>
          <w:color w:val="000000" w:themeColor="text1"/>
          <w:szCs w:val="21"/>
        </w:rPr>
        <w:t>:-3.50%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摩根整合驱动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:-9.20%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:-3.50%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185,243,040.54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77.41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185,243,040.54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77.41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53,954,792.85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110,740.47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239,308,573.86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108,478,355.36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45.74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2,363,088.00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70,228,954.33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4,169,584.85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185,243,040.54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78.11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66444">
        <w:tc>
          <w:tcPr>
            <w:tcW w:w="817" w:type="dxa"/>
            <w:vAlign w:val="center"/>
          </w:tcPr>
          <w:p w:rsidR="00666444" w:rsidRDefault="008C2595">
            <w:pPr>
              <w:jc w:val="center"/>
            </w:pPr>
            <w:r>
              <w:rPr>
                <w:rFonts w:eastAsiaTheme="minorEastAsia"/>
                <w:kern w:val="0"/>
                <w:szCs w:val="21"/>
              </w:rPr>
              <w:t>1</w:t>
            </w:r>
          </w:p>
        </w:tc>
        <w:tc>
          <w:tcPr>
            <w:tcW w:w="1276" w:type="dxa"/>
            <w:vAlign w:val="center"/>
          </w:tcPr>
          <w:p w:rsidR="00666444" w:rsidRDefault="008C2595">
            <w:pPr>
              <w:jc w:val="center"/>
            </w:pPr>
            <w:r>
              <w:rPr>
                <w:rFonts w:eastAsiaTheme="minorEastAsia"/>
                <w:kern w:val="0"/>
                <w:szCs w:val="21"/>
              </w:rPr>
              <w:t>002236</w:t>
            </w:r>
          </w:p>
        </w:tc>
        <w:tc>
          <w:tcPr>
            <w:tcW w:w="1701" w:type="dxa"/>
            <w:vAlign w:val="center"/>
          </w:tcPr>
          <w:p w:rsidR="00666444" w:rsidRDefault="008C2595">
            <w:pPr>
              <w:jc w:val="center"/>
            </w:pPr>
            <w:r>
              <w:rPr>
                <w:rFonts w:eastAsiaTheme="minorEastAsia"/>
                <w:kern w:val="0"/>
                <w:szCs w:val="21"/>
              </w:rPr>
              <w:t>大华股份</w:t>
            </w:r>
          </w:p>
        </w:tc>
        <w:tc>
          <w:tcPr>
            <w:tcW w:w="1276" w:type="dxa"/>
            <w:vAlign w:val="center"/>
          </w:tcPr>
          <w:p w:rsidR="00666444" w:rsidRDefault="008C2595">
            <w:pPr>
              <w:jc w:val="right"/>
            </w:pPr>
            <w:r>
              <w:rPr>
                <w:rFonts w:eastAsiaTheme="minorEastAsia"/>
                <w:kern w:val="0"/>
                <w:szCs w:val="21"/>
              </w:rPr>
              <w:t>761,260.00</w:t>
            </w:r>
          </w:p>
        </w:tc>
        <w:tc>
          <w:tcPr>
            <w:tcW w:w="1842" w:type="dxa"/>
            <w:vAlign w:val="center"/>
          </w:tcPr>
          <w:p w:rsidR="00666444" w:rsidRDefault="008C2595">
            <w:pPr>
              <w:jc w:val="right"/>
            </w:pPr>
            <w:r>
              <w:rPr>
                <w:rFonts w:eastAsiaTheme="minorEastAsia"/>
                <w:kern w:val="0"/>
                <w:szCs w:val="21"/>
              </w:rPr>
              <w:t>14,045,247.00</w:t>
            </w:r>
          </w:p>
        </w:tc>
        <w:tc>
          <w:tcPr>
            <w:tcW w:w="1616" w:type="dxa"/>
            <w:vAlign w:val="center"/>
          </w:tcPr>
          <w:p w:rsidR="00666444" w:rsidRDefault="008C2595">
            <w:pPr>
              <w:jc w:val="right"/>
            </w:pPr>
            <w:r>
              <w:rPr>
                <w:rFonts w:eastAsiaTheme="minorEastAsia"/>
                <w:kern w:val="0"/>
                <w:szCs w:val="21"/>
              </w:rPr>
              <w:t>5.92</w:t>
            </w:r>
          </w:p>
        </w:tc>
      </w:tr>
      <w:tr w:rsidR="00666444">
        <w:tc>
          <w:tcPr>
            <w:tcW w:w="817" w:type="dxa"/>
            <w:vAlign w:val="center"/>
          </w:tcPr>
          <w:p w:rsidR="00666444" w:rsidRDefault="008C2595">
            <w:pPr>
              <w:jc w:val="center"/>
            </w:pPr>
            <w:r>
              <w:rPr>
                <w:rFonts w:eastAsiaTheme="minorEastAsia"/>
                <w:kern w:val="0"/>
                <w:szCs w:val="21"/>
              </w:rPr>
              <w:t>2</w:t>
            </w:r>
          </w:p>
        </w:tc>
        <w:tc>
          <w:tcPr>
            <w:tcW w:w="1276" w:type="dxa"/>
            <w:vAlign w:val="center"/>
          </w:tcPr>
          <w:p w:rsidR="00666444" w:rsidRDefault="008C2595">
            <w:pPr>
              <w:jc w:val="center"/>
            </w:pPr>
            <w:r>
              <w:rPr>
                <w:rFonts w:eastAsiaTheme="minorEastAsia"/>
                <w:kern w:val="0"/>
                <w:szCs w:val="21"/>
              </w:rPr>
              <w:t>002241</w:t>
            </w:r>
          </w:p>
        </w:tc>
        <w:tc>
          <w:tcPr>
            <w:tcW w:w="1701" w:type="dxa"/>
            <w:vAlign w:val="center"/>
          </w:tcPr>
          <w:p w:rsidR="00666444" w:rsidRDefault="008C2595">
            <w:pPr>
              <w:jc w:val="center"/>
            </w:pPr>
            <w:r>
              <w:rPr>
                <w:rFonts w:eastAsiaTheme="minorEastAsia"/>
                <w:kern w:val="0"/>
                <w:szCs w:val="21"/>
              </w:rPr>
              <w:t>歌尔股份</w:t>
            </w:r>
          </w:p>
        </w:tc>
        <w:tc>
          <w:tcPr>
            <w:tcW w:w="1276" w:type="dxa"/>
            <w:vAlign w:val="center"/>
          </w:tcPr>
          <w:p w:rsidR="00666444" w:rsidRDefault="008C2595">
            <w:pPr>
              <w:jc w:val="right"/>
            </w:pPr>
            <w:r>
              <w:rPr>
                <w:rFonts w:eastAsiaTheme="minorEastAsia"/>
                <w:kern w:val="0"/>
                <w:szCs w:val="21"/>
              </w:rPr>
              <w:t>369,000.00</w:t>
            </w:r>
          </w:p>
        </w:tc>
        <w:tc>
          <w:tcPr>
            <w:tcW w:w="1842" w:type="dxa"/>
            <w:vAlign w:val="center"/>
          </w:tcPr>
          <w:p w:rsidR="00666444" w:rsidRDefault="008C2595">
            <w:pPr>
              <w:jc w:val="right"/>
            </w:pPr>
            <w:r>
              <w:rPr>
                <w:rFonts w:eastAsiaTheme="minorEastAsia"/>
                <w:kern w:val="0"/>
                <w:szCs w:val="21"/>
              </w:rPr>
              <w:t>7,752,690.00</w:t>
            </w:r>
          </w:p>
        </w:tc>
        <w:tc>
          <w:tcPr>
            <w:tcW w:w="1616" w:type="dxa"/>
            <w:vAlign w:val="center"/>
          </w:tcPr>
          <w:p w:rsidR="00666444" w:rsidRDefault="008C2595">
            <w:pPr>
              <w:jc w:val="right"/>
            </w:pPr>
            <w:r>
              <w:rPr>
                <w:rFonts w:eastAsiaTheme="minorEastAsia"/>
                <w:kern w:val="0"/>
                <w:szCs w:val="21"/>
              </w:rPr>
              <w:t>3.27</w:t>
            </w:r>
          </w:p>
        </w:tc>
      </w:tr>
      <w:tr w:rsidR="00666444">
        <w:tc>
          <w:tcPr>
            <w:tcW w:w="817" w:type="dxa"/>
            <w:vAlign w:val="center"/>
          </w:tcPr>
          <w:p w:rsidR="00666444" w:rsidRDefault="008C2595">
            <w:pPr>
              <w:jc w:val="center"/>
            </w:pPr>
            <w:r>
              <w:rPr>
                <w:rFonts w:eastAsiaTheme="minorEastAsia"/>
                <w:kern w:val="0"/>
                <w:szCs w:val="21"/>
              </w:rPr>
              <w:t>3</w:t>
            </w:r>
          </w:p>
        </w:tc>
        <w:tc>
          <w:tcPr>
            <w:tcW w:w="1276" w:type="dxa"/>
            <w:vAlign w:val="center"/>
          </w:tcPr>
          <w:p w:rsidR="00666444" w:rsidRDefault="008C2595">
            <w:pPr>
              <w:jc w:val="center"/>
            </w:pPr>
            <w:r>
              <w:rPr>
                <w:rFonts w:eastAsiaTheme="minorEastAsia"/>
                <w:kern w:val="0"/>
                <w:szCs w:val="21"/>
              </w:rPr>
              <w:t>300130</w:t>
            </w:r>
          </w:p>
        </w:tc>
        <w:tc>
          <w:tcPr>
            <w:tcW w:w="1701" w:type="dxa"/>
            <w:vAlign w:val="center"/>
          </w:tcPr>
          <w:p w:rsidR="00666444" w:rsidRDefault="008C2595">
            <w:pPr>
              <w:jc w:val="center"/>
            </w:pPr>
            <w:r>
              <w:rPr>
                <w:rFonts w:eastAsiaTheme="minorEastAsia"/>
                <w:kern w:val="0"/>
                <w:szCs w:val="21"/>
              </w:rPr>
              <w:t>新国都</w:t>
            </w:r>
          </w:p>
        </w:tc>
        <w:tc>
          <w:tcPr>
            <w:tcW w:w="1276" w:type="dxa"/>
            <w:vAlign w:val="center"/>
          </w:tcPr>
          <w:p w:rsidR="00666444" w:rsidRDefault="008C2595">
            <w:pPr>
              <w:jc w:val="right"/>
            </w:pPr>
            <w:r>
              <w:rPr>
                <w:rFonts w:eastAsiaTheme="minorEastAsia"/>
                <w:kern w:val="0"/>
                <w:szCs w:val="21"/>
              </w:rPr>
              <w:t>319,703.00</w:t>
            </w:r>
          </w:p>
        </w:tc>
        <w:tc>
          <w:tcPr>
            <w:tcW w:w="1842" w:type="dxa"/>
            <w:vAlign w:val="center"/>
          </w:tcPr>
          <w:p w:rsidR="00666444" w:rsidRDefault="008C2595">
            <w:pPr>
              <w:jc w:val="right"/>
            </w:pPr>
            <w:r>
              <w:rPr>
                <w:rFonts w:eastAsiaTheme="minorEastAsia"/>
                <w:kern w:val="0"/>
                <w:szCs w:val="21"/>
              </w:rPr>
              <w:t>7,736,812.60</w:t>
            </w:r>
          </w:p>
        </w:tc>
        <w:tc>
          <w:tcPr>
            <w:tcW w:w="1616" w:type="dxa"/>
            <w:vAlign w:val="center"/>
          </w:tcPr>
          <w:p w:rsidR="00666444" w:rsidRDefault="008C2595">
            <w:pPr>
              <w:jc w:val="right"/>
            </w:pPr>
            <w:r>
              <w:rPr>
                <w:rFonts w:eastAsiaTheme="minorEastAsia"/>
                <w:kern w:val="0"/>
                <w:szCs w:val="21"/>
              </w:rPr>
              <w:t>3.26</w:t>
            </w:r>
          </w:p>
        </w:tc>
      </w:tr>
      <w:tr w:rsidR="00666444">
        <w:tc>
          <w:tcPr>
            <w:tcW w:w="817" w:type="dxa"/>
            <w:vAlign w:val="center"/>
          </w:tcPr>
          <w:p w:rsidR="00666444" w:rsidRDefault="008C2595">
            <w:pPr>
              <w:jc w:val="center"/>
            </w:pPr>
            <w:r>
              <w:rPr>
                <w:rFonts w:eastAsiaTheme="minorEastAsia"/>
                <w:kern w:val="0"/>
                <w:szCs w:val="21"/>
              </w:rPr>
              <w:t>4</w:t>
            </w:r>
          </w:p>
        </w:tc>
        <w:tc>
          <w:tcPr>
            <w:tcW w:w="1276" w:type="dxa"/>
            <w:vAlign w:val="center"/>
          </w:tcPr>
          <w:p w:rsidR="00666444" w:rsidRDefault="008C2595">
            <w:pPr>
              <w:jc w:val="center"/>
            </w:pPr>
            <w:r>
              <w:rPr>
                <w:rFonts w:eastAsiaTheme="minorEastAsia"/>
                <w:kern w:val="0"/>
                <w:szCs w:val="21"/>
              </w:rPr>
              <w:t>300226</w:t>
            </w:r>
          </w:p>
        </w:tc>
        <w:tc>
          <w:tcPr>
            <w:tcW w:w="1701" w:type="dxa"/>
            <w:vAlign w:val="center"/>
          </w:tcPr>
          <w:p w:rsidR="00666444" w:rsidRDefault="008C2595">
            <w:pPr>
              <w:jc w:val="center"/>
            </w:pPr>
            <w:r>
              <w:rPr>
                <w:rFonts w:eastAsiaTheme="minorEastAsia"/>
                <w:kern w:val="0"/>
                <w:szCs w:val="21"/>
              </w:rPr>
              <w:t>上海钢联</w:t>
            </w:r>
          </w:p>
        </w:tc>
        <w:tc>
          <w:tcPr>
            <w:tcW w:w="1276" w:type="dxa"/>
            <w:vAlign w:val="center"/>
          </w:tcPr>
          <w:p w:rsidR="00666444" w:rsidRDefault="008C2595">
            <w:pPr>
              <w:jc w:val="right"/>
            </w:pPr>
            <w:r>
              <w:rPr>
                <w:rFonts w:eastAsiaTheme="minorEastAsia"/>
                <w:kern w:val="0"/>
                <w:szCs w:val="21"/>
              </w:rPr>
              <w:t>268,172.00</w:t>
            </w:r>
          </w:p>
        </w:tc>
        <w:tc>
          <w:tcPr>
            <w:tcW w:w="1842" w:type="dxa"/>
            <w:vAlign w:val="center"/>
          </w:tcPr>
          <w:p w:rsidR="00666444" w:rsidRDefault="008C2595">
            <w:pPr>
              <w:jc w:val="right"/>
            </w:pPr>
            <w:r>
              <w:rPr>
                <w:rFonts w:eastAsiaTheme="minorEastAsia"/>
                <w:kern w:val="0"/>
                <w:szCs w:val="21"/>
              </w:rPr>
              <w:t>7,640,220.28</w:t>
            </w:r>
          </w:p>
        </w:tc>
        <w:tc>
          <w:tcPr>
            <w:tcW w:w="1616" w:type="dxa"/>
            <w:vAlign w:val="center"/>
          </w:tcPr>
          <w:p w:rsidR="00666444" w:rsidRDefault="008C2595">
            <w:pPr>
              <w:jc w:val="right"/>
            </w:pPr>
            <w:r>
              <w:rPr>
                <w:rFonts w:eastAsiaTheme="minorEastAsia"/>
                <w:kern w:val="0"/>
                <w:szCs w:val="21"/>
              </w:rPr>
              <w:t>3.22</w:t>
            </w:r>
          </w:p>
        </w:tc>
      </w:tr>
      <w:tr w:rsidR="00666444">
        <w:tc>
          <w:tcPr>
            <w:tcW w:w="817" w:type="dxa"/>
            <w:vAlign w:val="center"/>
          </w:tcPr>
          <w:p w:rsidR="00666444" w:rsidRDefault="008C2595">
            <w:pPr>
              <w:jc w:val="center"/>
            </w:pPr>
            <w:r>
              <w:rPr>
                <w:rFonts w:eastAsiaTheme="minorEastAsia"/>
                <w:kern w:val="0"/>
                <w:szCs w:val="21"/>
              </w:rPr>
              <w:t>5</w:t>
            </w:r>
          </w:p>
        </w:tc>
        <w:tc>
          <w:tcPr>
            <w:tcW w:w="1276" w:type="dxa"/>
            <w:vAlign w:val="center"/>
          </w:tcPr>
          <w:p w:rsidR="00666444" w:rsidRDefault="008C2595">
            <w:pPr>
              <w:jc w:val="center"/>
            </w:pPr>
            <w:r>
              <w:rPr>
                <w:rFonts w:eastAsiaTheme="minorEastAsia"/>
                <w:kern w:val="0"/>
                <w:szCs w:val="21"/>
              </w:rPr>
              <w:t>688111</w:t>
            </w:r>
          </w:p>
        </w:tc>
        <w:tc>
          <w:tcPr>
            <w:tcW w:w="1701" w:type="dxa"/>
            <w:vAlign w:val="center"/>
          </w:tcPr>
          <w:p w:rsidR="00666444" w:rsidRDefault="008C2595">
            <w:pPr>
              <w:jc w:val="center"/>
            </w:pPr>
            <w:r>
              <w:rPr>
                <w:rFonts w:eastAsiaTheme="minorEastAsia"/>
                <w:kern w:val="0"/>
                <w:szCs w:val="21"/>
              </w:rPr>
              <w:t>金山办公</w:t>
            </w:r>
          </w:p>
        </w:tc>
        <w:tc>
          <w:tcPr>
            <w:tcW w:w="1276" w:type="dxa"/>
            <w:vAlign w:val="center"/>
          </w:tcPr>
          <w:p w:rsidR="00666444" w:rsidRDefault="008C2595">
            <w:pPr>
              <w:jc w:val="right"/>
            </w:pPr>
            <w:r>
              <w:rPr>
                <w:rFonts w:eastAsiaTheme="minorEastAsia"/>
                <w:kern w:val="0"/>
                <w:szCs w:val="21"/>
              </w:rPr>
              <w:t>23,442.00</w:t>
            </w:r>
          </w:p>
        </w:tc>
        <w:tc>
          <w:tcPr>
            <w:tcW w:w="1842" w:type="dxa"/>
            <w:vAlign w:val="center"/>
          </w:tcPr>
          <w:p w:rsidR="00666444" w:rsidRDefault="008C2595">
            <w:pPr>
              <w:jc w:val="right"/>
            </w:pPr>
            <w:r>
              <w:rPr>
                <w:rFonts w:eastAsiaTheme="minorEastAsia"/>
                <w:kern w:val="0"/>
                <w:szCs w:val="21"/>
              </w:rPr>
              <w:t>7,412,360.40</w:t>
            </w:r>
          </w:p>
        </w:tc>
        <w:tc>
          <w:tcPr>
            <w:tcW w:w="1616" w:type="dxa"/>
            <w:vAlign w:val="center"/>
          </w:tcPr>
          <w:p w:rsidR="00666444" w:rsidRDefault="008C2595">
            <w:pPr>
              <w:jc w:val="right"/>
            </w:pPr>
            <w:r>
              <w:rPr>
                <w:rFonts w:eastAsiaTheme="minorEastAsia"/>
                <w:kern w:val="0"/>
                <w:szCs w:val="21"/>
              </w:rPr>
              <w:t>3.13</w:t>
            </w:r>
          </w:p>
        </w:tc>
      </w:tr>
      <w:tr w:rsidR="00666444">
        <w:tc>
          <w:tcPr>
            <w:tcW w:w="817" w:type="dxa"/>
            <w:vAlign w:val="center"/>
          </w:tcPr>
          <w:p w:rsidR="00666444" w:rsidRDefault="008C2595">
            <w:pPr>
              <w:jc w:val="center"/>
            </w:pPr>
            <w:r>
              <w:rPr>
                <w:rFonts w:eastAsiaTheme="minorEastAsia"/>
                <w:kern w:val="0"/>
                <w:szCs w:val="21"/>
              </w:rPr>
              <w:t>6</w:t>
            </w:r>
          </w:p>
        </w:tc>
        <w:tc>
          <w:tcPr>
            <w:tcW w:w="1276" w:type="dxa"/>
            <w:vAlign w:val="center"/>
          </w:tcPr>
          <w:p w:rsidR="00666444" w:rsidRDefault="008C2595">
            <w:pPr>
              <w:jc w:val="center"/>
            </w:pPr>
            <w:r>
              <w:rPr>
                <w:rFonts w:eastAsiaTheme="minorEastAsia"/>
                <w:kern w:val="0"/>
                <w:szCs w:val="21"/>
              </w:rPr>
              <w:t>300308</w:t>
            </w:r>
          </w:p>
        </w:tc>
        <w:tc>
          <w:tcPr>
            <w:tcW w:w="1701" w:type="dxa"/>
            <w:vAlign w:val="center"/>
          </w:tcPr>
          <w:p w:rsidR="00666444" w:rsidRDefault="008C2595">
            <w:pPr>
              <w:jc w:val="center"/>
            </w:pPr>
            <w:r>
              <w:rPr>
                <w:rFonts w:eastAsiaTheme="minorEastAsia"/>
                <w:kern w:val="0"/>
                <w:szCs w:val="21"/>
              </w:rPr>
              <w:t>中际旭创</w:t>
            </w:r>
          </w:p>
        </w:tc>
        <w:tc>
          <w:tcPr>
            <w:tcW w:w="1276" w:type="dxa"/>
            <w:vAlign w:val="center"/>
          </w:tcPr>
          <w:p w:rsidR="00666444" w:rsidRDefault="008C2595">
            <w:pPr>
              <w:jc w:val="right"/>
            </w:pPr>
            <w:r>
              <w:rPr>
                <w:rFonts w:eastAsiaTheme="minorEastAsia"/>
                <w:kern w:val="0"/>
                <w:szCs w:val="21"/>
              </w:rPr>
              <w:t>63,811.00</w:t>
            </w:r>
          </w:p>
        </w:tc>
        <w:tc>
          <w:tcPr>
            <w:tcW w:w="1842" w:type="dxa"/>
            <w:vAlign w:val="center"/>
          </w:tcPr>
          <w:p w:rsidR="00666444" w:rsidRDefault="008C2595">
            <w:pPr>
              <w:jc w:val="right"/>
            </w:pPr>
            <w:r>
              <w:rPr>
                <w:rFonts w:eastAsiaTheme="minorEastAsia"/>
                <w:kern w:val="0"/>
                <w:szCs w:val="21"/>
              </w:rPr>
              <w:t>7,204,900.01</w:t>
            </w:r>
          </w:p>
        </w:tc>
        <w:tc>
          <w:tcPr>
            <w:tcW w:w="1616" w:type="dxa"/>
            <w:vAlign w:val="center"/>
          </w:tcPr>
          <w:p w:rsidR="00666444" w:rsidRDefault="008C2595">
            <w:pPr>
              <w:jc w:val="right"/>
            </w:pPr>
            <w:r>
              <w:rPr>
                <w:rFonts w:eastAsiaTheme="minorEastAsia"/>
                <w:kern w:val="0"/>
                <w:szCs w:val="21"/>
              </w:rPr>
              <w:t>3.04</w:t>
            </w:r>
          </w:p>
        </w:tc>
      </w:tr>
      <w:tr w:rsidR="00666444">
        <w:tc>
          <w:tcPr>
            <w:tcW w:w="817" w:type="dxa"/>
            <w:vAlign w:val="center"/>
          </w:tcPr>
          <w:p w:rsidR="00666444" w:rsidRDefault="008C2595">
            <w:pPr>
              <w:jc w:val="center"/>
            </w:pPr>
            <w:r>
              <w:rPr>
                <w:rFonts w:eastAsiaTheme="minorEastAsia"/>
                <w:kern w:val="0"/>
                <w:szCs w:val="21"/>
              </w:rPr>
              <w:t>7</w:t>
            </w:r>
          </w:p>
        </w:tc>
        <w:tc>
          <w:tcPr>
            <w:tcW w:w="1276" w:type="dxa"/>
            <w:vAlign w:val="center"/>
          </w:tcPr>
          <w:p w:rsidR="00666444" w:rsidRDefault="008C2595">
            <w:pPr>
              <w:jc w:val="center"/>
            </w:pPr>
            <w:r>
              <w:rPr>
                <w:rFonts w:eastAsiaTheme="minorEastAsia"/>
                <w:kern w:val="0"/>
                <w:szCs w:val="21"/>
              </w:rPr>
              <w:t>300502</w:t>
            </w:r>
          </w:p>
        </w:tc>
        <w:tc>
          <w:tcPr>
            <w:tcW w:w="1701" w:type="dxa"/>
            <w:vAlign w:val="center"/>
          </w:tcPr>
          <w:p w:rsidR="00666444" w:rsidRDefault="008C2595">
            <w:pPr>
              <w:jc w:val="center"/>
            </w:pPr>
            <w:r>
              <w:rPr>
                <w:rFonts w:eastAsiaTheme="minorEastAsia"/>
                <w:kern w:val="0"/>
                <w:szCs w:val="21"/>
              </w:rPr>
              <w:t>新易盛</w:t>
            </w:r>
          </w:p>
        </w:tc>
        <w:tc>
          <w:tcPr>
            <w:tcW w:w="1276" w:type="dxa"/>
            <w:vAlign w:val="center"/>
          </w:tcPr>
          <w:p w:rsidR="00666444" w:rsidRDefault="008C2595">
            <w:pPr>
              <w:jc w:val="right"/>
            </w:pPr>
            <w:r>
              <w:rPr>
                <w:rFonts w:eastAsiaTheme="minorEastAsia"/>
                <w:kern w:val="0"/>
                <w:szCs w:val="21"/>
              </w:rPr>
              <w:t>145,316.00</w:t>
            </w:r>
          </w:p>
        </w:tc>
        <w:tc>
          <w:tcPr>
            <w:tcW w:w="1842" w:type="dxa"/>
            <w:vAlign w:val="center"/>
          </w:tcPr>
          <w:p w:rsidR="00666444" w:rsidRDefault="008C2595">
            <w:pPr>
              <w:jc w:val="right"/>
            </w:pPr>
            <w:r>
              <w:rPr>
                <w:rFonts w:eastAsiaTheme="minorEastAsia"/>
                <w:kern w:val="0"/>
                <w:szCs w:val="21"/>
              </w:rPr>
              <w:t>7,166,985.12</w:t>
            </w:r>
          </w:p>
        </w:tc>
        <w:tc>
          <w:tcPr>
            <w:tcW w:w="1616" w:type="dxa"/>
            <w:vAlign w:val="center"/>
          </w:tcPr>
          <w:p w:rsidR="00666444" w:rsidRDefault="008C2595">
            <w:pPr>
              <w:jc w:val="right"/>
            </w:pPr>
            <w:r>
              <w:rPr>
                <w:rFonts w:eastAsiaTheme="minorEastAsia"/>
                <w:kern w:val="0"/>
                <w:szCs w:val="21"/>
              </w:rPr>
              <w:t>3.02</w:t>
            </w:r>
          </w:p>
        </w:tc>
      </w:tr>
      <w:tr w:rsidR="00666444">
        <w:tc>
          <w:tcPr>
            <w:tcW w:w="817" w:type="dxa"/>
            <w:vAlign w:val="center"/>
          </w:tcPr>
          <w:p w:rsidR="00666444" w:rsidRDefault="008C2595">
            <w:pPr>
              <w:jc w:val="center"/>
            </w:pPr>
            <w:r>
              <w:rPr>
                <w:rFonts w:eastAsiaTheme="minorEastAsia"/>
                <w:kern w:val="0"/>
                <w:szCs w:val="21"/>
              </w:rPr>
              <w:t>8</w:t>
            </w:r>
          </w:p>
        </w:tc>
        <w:tc>
          <w:tcPr>
            <w:tcW w:w="1276" w:type="dxa"/>
            <w:vAlign w:val="center"/>
          </w:tcPr>
          <w:p w:rsidR="00666444" w:rsidRDefault="008C2595">
            <w:pPr>
              <w:jc w:val="center"/>
            </w:pPr>
            <w:r>
              <w:rPr>
                <w:rFonts w:eastAsiaTheme="minorEastAsia"/>
                <w:kern w:val="0"/>
                <w:szCs w:val="21"/>
              </w:rPr>
              <w:t>300394</w:t>
            </w:r>
          </w:p>
        </w:tc>
        <w:tc>
          <w:tcPr>
            <w:tcW w:w="1701" w:type="dxa"/>
            <w:vAlign w:val="center"/>
          </w:tcPr>
          <w:p w:rsidR="00666444" w:rsidRDefault="008C2595">
            <w:pPr>
              <w:jc w:val="center"/>
            </w:pPr>
            <w:r>
              <w:rPr>
                <w:rFonts w:eastAsiaTheme="minorEastAsia"/>
                <w:kern w:val="0"/>
                <w:szCs w:val="21"/>
              </w:rPr>
              <w:t>天孚通信</w:t>
            </w:r>
          </w:p>
        </w:tc>
        <w:tc>
          <w:tcPr>
            <w:tcW w:w="1276" w:type="dxa"/>
            <w:vAlign w:val="center"/>
          </w:tcPr>
          <w:p w:rsidR="00666444" w:rsidRDefault="008C2595">
            <w:pPr>
              <w:jc w:val="right"/>
            </w:pPr>
            <w:r>
              <w:rPr>
                <w:rFonts w:eastAsiaTheme="minorEastAsia"/>
                <w:kern w:val="0"/>
                <w:szCs w:val="21"/>
              </w:rPr>
              <w:t>77,208.00</w:t>
            </w:r>
          </w:p>
        </w:tc>
        <w:tc>
          <w:tcPr>
            <w:tcW w:w="1842" w:type="dxa"/>
            <w:vAlign w:val="center"/>
          </w:tcPr>
          <w:p w:rsidR="00666444" w:rsidRDefault="008C2595">
            <w:pPr>
              <w:jc w:val="right"/>
            </w:pPr>
            <w:r>
              <w:rPr>
                <w:rFonts w:eastAsiaTheme="minorEastAsia"/>
                <w:kern w:val="0"/>
                <w:szCs w:val="21"/>
              </w:rPr>
              <w:t>7,066,076.16</w:t>
            </w:r>
          </w:p>
        </w:tc>
        <w:tc>
          <w:tcPr>
            <w:tcW w:w="1616" w:type="dxa"/>
            <w:vAlign w:val="center"/>
          </w:tcPr>
          <w:p w:rsidR="00666444" w:rsidRDefault="008C2595">
            <w:pPr>
              <w:jc w:val="right"/>
            </w:pPr>
            <w:r>
              <w:rPr>
                <w:rFonts w:eastAsiaTheme="minorEastAsia"/>
                <w:kern w:val="0"/>
                <w:szCs w:val="21"/>
              </w:rPr>
              <w:t>2.98</w:t>
            </w:r>
          </w:p>
        </w:tc>
      </w:tr>
      <w:tr w:rsidR="00666444">
        <w:tc>
          <w:tcPr>
            <w:tcW w:w="817" w:type="dxa"/>
            <w:vAlign w:val="center"/>
          </w:tcPr>
          <w:p w:rsidR="00666444" w:rsidRDefault="008C2595">
            <w:pPr>
              <w:jc w:val="center"/>
            </w:pPr>
            <w:r>
              <w:rPr>
                <w:rFonts w:eastAsiaTheme="minorEastAsia"/>
                <w:kern w:val="0"/>
                <w:szCs w:val="21"/>
              </w:rPr>
              <w:t>9</w:t>
            </w:r>
          </w:p>
        </w:tc>
        <w:tc>
          <w:tcPr>
            <w:tcW w:w="1276" w:type="dxa"/>
            <w:vAlign w:val="center"/>
          </w:tcPr>
          <w:p w:rsidR="00666444" w:rsidRDefault="008C2595">
            <w:pPr>
              <w:jc w:val="center"/>
            </w:pPr>
            <w:r>
              <w:rPr>
                <w:rFonts w:eastAsiaTheme="minorEastAsia"/>
                <w:kern w:val="0"/>
                <w:szCs w:val="21"/>
              </w:rPr>
              <w:t>300002</w:t>
            </w:r>
          </w:p>
        </w:tc>
        <w:tc>
          <w:tcPr>
            <w:tcW w:w="1701" w:type="dxa"/>
            <w:vAlign w:val="center"/>
          </w:tcPr>
          <w:p w:rsidR="00666444" w:rsidRDefault="008C2595">
            <w:pPr>
              <w:jc w:val="center"/>
            </w:pPr>
            <w:r>
              <w:rPr>
                <w:rFonts w:eastAsiaTheme="minorEastAsia"/>
                <w:kern w:val="0"/>
                <w:szCs w:val="21"/>
              </w:rPr>
              <w:t>神州泰岳</w:t>
            </w:r>
          </w:p>
        </w:tc>
        <w:tc>
          <w:tcPr>
            <w:tcW w:w="1276" w:type="dxa"/>
            <w:vAlign w:val="center"/>
          </w:tcPr>
          <w:p w:rsidR="00666444" w:rsidRDefault="008C2595">
            <w:pPr>
              <w:jc w:val="right"/>
            </w:pPr>
            <w:r>
              <w:rPr>
                <w:rFonts w:eastAsiaTheme="minorEastAsia"/>
                <w:kern w:val="0"/>
                <w:szCs w:val="21"/>
              </w:rPr>
              <w:t>782,752.00</w:t>
            </w:r>
          </w:p>
        </w:tc>
        <w:tc>
          <w:tcPr>
            <w:tcW w:w="1842" w:type="dxa"/>
            <w:vAlign w:val="center"/>
          </w:tcPr>
          <w:p w:rsidR="00666444" w:rsidRDefault="008C2595">
            <w:pPr>
              <w:jc w:val="right"/>
            </w:pPr>
            <w:r>
              <w:rPr>
                <w:rFonts w:eastAsiaTheme="minorEastAsia"/>
                <w:kern w:val="0"/>
                <w:szCs w:val="21"/>
              </w:rPr>
              <w:t>6,927,355.20</w:t>
            </w:r>
          </w:p>
        </w:tc>
        <w:tc>
          <w:tcPr>
            <w:tcW w:w="1616" w:type="dxa"/>
            <w:vAlign w:val="center"/>
          </w:tcPr>
          <w:p w:rsidR="00666444" w:rsidRDefault="008C2595">
            <w:pPr>
              <w:jc w:val="right"/>
            </w:pPr>
            <w:r>
              <w:rPr>
                <w:rFonts w:eastAsiaTheme="minorEastAsia"/>
                <w:kern w:val="0"/>
                <w:szCs w:val="21"/>
              </w:rPr>
              <w:t>2.92</w:t>
            </w:r>
          </w:p>
        </w:tc>
      </w:tr>
      <w:tr w:rsidR="00666444">
        <w:tc>
          <w:tcPr>
            <w:tcW w:w="817" w:type="dxa"/>
            <w:vAlign w:val="center"/>
          </w:tcPr>
          <w:p w:rsidR="00666444" w:rsidRDefault="008C2595">
            <w:pPr>
              <w:jc w:val="center"/>
            </w:pPr>
            <w:r>
              <w:rPr>
                <w:rFonts w:eastAsiaTheme="minorEastAsia"/>
                <w:kern w:val="0"/>
                <w:szCs w:val="21"/>
              </w:rPr>
              <w:t>10</w:t>
            </w:r>
          </w:p>
        </w:tc>
        <w:tc>
          <w:tcPr>
            <w:tcW w:w="1276" w:type="dxa"/>
            <w:vAlign w:val="center"/>
          </w:tcPr>
          <w:p w:rsidR="00666444" w:rsidRDefault="008C2595">
            <w:pPr>
              <w:jc w:val="center"/>
            </w:pPr>
            <w:r>
              <w:rPr>
                <w:rFonts w:eastAsiaTheme="minorEastAsia"/>
                <w:kern w:val="0"/>
                <w:szCs w:val="21"/>
              </w:rPr>
              <w:t>688095</w:t>
            </w:r>
          </w:p>
        </w:tc>
        <w:tc>
          <w:tcPr>
            <w:tcW w:w="1701" w:type="dxa"/>
            <w:vAlign w:val="center"/>
          </w:tcPr>
          <w:p w:rsidR="00666444" w:rsidRDefault="008C2595">
            <w:pPr>
              <w:jc w:val="center"/>
            </w:pPr>
            <w:r>
              <w:rPr>
                <w:rFonts w:eastAsiaTheme="minorEastAsia"/>
                <w:kern w:val="0"/>
                <w:szCs w:val="21"/>
              </w:rPr>
              <w:t>福昕软件</w:t>
            </w:r>
          </w:p>
        </w:tc>
        <w:tc>
          <w:tcPr>
            <w:tcW w:w="1276" w:type="dxa"/>
            <w:vAlign w:val="center"/>
          </w:tcPr>
          <w:p w:rsidR="00666444" w:rsidRDefault="008C2595">
            <w:pPr>
              <w:jc w:val="right"/>
            </w:pPr>
            <w:r>
              <w:rPr>
                <w:rFonts w:eastAsiaTheme="minorEastAsia"/>
                <w:kern w:val="0"/>
                <w:szCs w:val="21"/>
              </w:rPr>
              <w:t>97,026.00</w:t>
            </w:r>
          </w:p>
        </w:tc>
        <w:tc>
          <w:tcPr>
            <w:tcW w:w="1842" w:type="dxa"/>
            <w:vAlign w:val="center"/>
          </w:tcPr>
          <w:p w:rsidR="00666444" w:rsidRDefault="008C2595">
            <w:pPr>
              <w:jc w:val="right"/>
            </w:pPr>
            <w:r>
              <w:rPr>
                <w:rFonts w:eastAsiaTheme="minorEastAsia"/>
                <w:kern w:val="0"/>
                <w:szCs w:val="21"/>
              </w:rPr>
              <w:t>6,777,266.10</w:t>
            </w:r>
          </w:p>
        </w:tc>
        <w:tc>
          <w:tcPr>
            <w:tcW w:w="1616" w:type="dxa"/>
            <w:vAlign w:val="center"/>
          </w:tcPr>
          <w:p w:rsidR="00666444" w:rsidRDefault="008C2595">
            <w:pPr>
              <w:jc w:val="right"/>
            </w:pPr>
            <w:r>
              <w:rPr>
                <w:rFonts w:eastAsiaTheme="minorEastAsia"/>
                <w:kern w:val="0"/>
                <w:szCs w:val="21"/>
              </w:rPr>
              <w:t>2.86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72,503.61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38,236.86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110,740.47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547,177,857.82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976,451.93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4,378,292.48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155,216.31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7,940,767.10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326,212.10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543,615,383.20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805,456.14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513,478.82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513,478.82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《摩根整合驱动灵活配置混合型证券投资基金基金合同》；</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《摩根整合驱动灵活配置混合型证券投资基金托管协议》；</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666444" w:rsidRDefault="008C259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C259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C2595">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C259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摩根整合驱动灵活配置混合型证券投资基金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444"/>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595"/>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448FC-8FF4-4936-84E5-5C7AB079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13</Pages>
  <Words>1102</Words>
  <Characters>6282</Characters>
  <Application>Microsoft Office Word</Application>
  <DocSecurity>0</DocSecurity>
  <Lines>52</Lines>
  <Paragraphs>14</Paragraphs>
  <ScaleCrop>false</ScaleCrop>
  <Company>TRT. Ltd. Co.</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2024-01-19T05:26:00Z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