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摩根整合驱动灵活配置混合型证券投资基金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摩根整合驱动混合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530,868,769.39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通过深入细致的基本面研究，把握企业整合发展带来的投资机会，在严格的风险控制前提下，力争实现基金资产的长期增值。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0661D" w:rsidRDefault="00F602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0661D" w:rsidRDefault="00F602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本基金通过自上而下和自下而上相结合、定性分析和定量分析互相补充的方法，在股票、债券和现金等资产类别之间进行相对灵活的配置。</w:t>
            </w:r>
          </w:p>
          <w:p w:rsidR="0080661D" w:rsidRDefault="00F602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0661D" w:rsidRDefault="00F602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本基金将重点投资于整合主题相关的上市公司。在个股选</w:t>
            </w:r>
            <w:r>
              <w:rPr>
                <w:rFonts w:eastAsiaTheme="minorEastAsia"/>
                <w:color w:val="000000" w:themeColor="text1"/>
                <w:kern w:val="0"/>
                <w:szCs w:val="21"/>
              </w:rPr>
              <w:lastRenderedPageBreak/>
              <w:t>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rsidR="0080661D" w:rsidRDefault="00F602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、债券配置策略</w:t>
            </w:r>
          </w:p>
          <w:p w:rsidR="0080661D" w:rsidRDefault="00F602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0661D" w:rsidRDefault="00F602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001192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529,771,780.87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1,096,988.52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-9,027,837.76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-30,574.94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6,411,252.87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-41,889.07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216,913,558.61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445,153.23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0.4094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0.4058</w:t>
            </w:r>
          </w:p>
        </w:tc>
      </w:tr>
    </w:tbl>
    <w:p w:rsidR="0080661D" w:rsidRDefault="00F6027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0661D">
        <w:tc>
          <w:tcPr>
            <w:tcW w:w="1290" w:type="dxa"/>
            <w:vAlign w:val="center"/>
          </w:tcPr>
          <w:p w:rsidR="0080661D" w:rsidRDefault="00F60277">
            <w:pPr>
              <w:jc w:val="left"/>
            </w:pPr>
            <w:r>
              <w:rPr>
                <w:rFonts w:eastAsiaTheme="minorEastAsia"/>
                <w:color w:val="000000" w:themeColor="text1"/>
                <w:szCs w:val="21"/>
              </w:rPr>
              <w:t>过去三个月</w:t>
            </w:r>
          </w:p>
        </w:tc>
        <w:tc>
          <w:tcPr>
            <w:tcW w:w="1291" w:type="dxa"/>
            <w:vAlign w:val="center"/>
          </w:tcPr>
          <w:p w:rsidR="0080661D" w:rsidRDefault="00F60277">
            <w:pPr>
              <w:jc w:val="right"/>
            </w:pPr>
            <w:r>
              <w:rPr>
                <w:rFonts w:eastAsiaTheme="minorEastAsia"/>
                <w:color w:val="000000" w:themeColor="text1"/>
                <w:szCs w:val="21"/>
              </w:rPr>
              <w:t>3.10%</w:t>
            </w:r>
          </w:p>
        </w:tc>
        <w:tc>
          <w:tcPr>
            <w:tcW w:w="1291" w:type="dxa"/>
            <w:vAlign w:val="center"/>
          </w:tcPr>
          <w:p w:rsidR="0080661D" w:rsidRDefault="00F60277">
            <w:pPr>
              <w:jc w:val="right"/>
            </w:pPr>
            <w:r>
              <w:rPr>
                <w:rFonts w:eastAsiaTheme="minorEastAsia"/>
                <w:color w:val="000000" w:themeColor="text1"/>
                <w:szCs w:val="21"/>
              </w:rPr>
              <w:t>1.49%</w:t>
            </w:r>
          </w:p>
        </w:tc>
        <w:tc>
          <w:tcPr>
            <w:tcW w:w="1291" w:type="dxa"/>
            <w:vAlign w:val="center"/>
          </w:tcPr>
          <w:p w:rsidR="0080661D" w:rsidRDefault="00F60277">
            <w:pPr>
              <w:jc w:val="right"/>
            </w:pPr>
            <w:r>
              <w:rPr>
                <w:rFonts w:eastAsiaTheme="minorEastAsia"/>
                <w:color w:val="000000" w:themeColor="text1"/>
                <w:szCs w:val="21"/>
              </w:rPr>
              <w:t>9.84%</w:t>
            </w:r>
          </w:p>
        </w:tc>
        <w:tc>
          <w:tcPr>
            <w:tcW w:w="1291" w:type="dxa"/>
            <w:vAlign w:val="center"/>
          </w:tcPr>
          <w:p w:rsidR="0080661D" w:rsidRDefault="00F60277">
            <w:pPr>
              <w:jc w:val="right"/>
            </w:pPr>
            <w:r>
              <w:rPr>
                <w:rFonts w:eastAsiaTheme="minorEastAsia"/>
                <w:color w:val="000000" w:themeColor="text1"/>
                <w:szCs w:val="21"/>
              </w:rPr>
              <w:t>0.98%</w:t>
            </w:r>
          </w:p>
        </w:tc>
        <w:tc>
          <w:tcPr>
            <w:tcW w:w="1291" w:type="dxa"/>
            <w:vAlign w:val="center"/>
          </w:tcPr>
          <w:p w:rsidR="0080661D" w:rsidRDefault="00F60277">
            <w:pPr>
              <w:jc w:val="right"/>
            </w:pPr>
            <w:r>
              <w:rPr>
                <w:rFonts w:eastAsiaTheme="minorEastAsia"/>
                <w:color w:val="000000" w:themeColor="text1"/>
                <w:szCs w:val="21"/>
              </w:rPr>
              <w:t>-6.74%</w:t>
            </w:r>
          </w:p>
        </w:tc>
        <w:tc>
          <w:tcPr>
            <w:tcW w:w="1291" w:type="dxa"/>
            <w:vAlign w:val="center"/>
          </w:tcPr>
          <w:p w:rsidR="0080661D" w:rsidRDefault="00F60277">
            <w:pPr>
              <w:jc w:val="right"/>
            </w:pPr>
            <w:r>
              <w:rPr>
                <w:rFonts w:eastAsiaTheme="minorEastAsia"/>
                <w:color w:val="000000" w:themeColor="text1"/>
                <w:szCs w:val="21"/>
              </w:rPr>
              <w:t>0.51%</w:t>
            </w:r>
          </w:p>
        </w:tc>
      </w:tr>
      <w:tr w:rsidR="0080661D">
        <w:tc>
          <w:tcPr>
            <w:tcW w:w="1290" w:type="dxa"/>
            <w:vAlign w:val="center"/>
          </w:tcPr>
          <w:p w:rsidR="0080661D" w:rsidRDefault="00F60277">
            <w:pPr>
              <w:jc w:val="left"/>
            </w:pPr>
            <w:r>
              <w:rPr>
                <w:rFonts w:eastAsiaTheme="minorEastAsia"/>
                <w:color w:val="000000" w:themeColor="text1"/>
                <w:szCs w:val="21"/>
              </w:rPr>
              <w:t>过去六个月</w:t>
            </w:r>
          </w:p>
        </w:tc>
        <w:tc>
          <w:tcPr>
            <w:tcW w:w="1291" w:type="dxa"/>
            <w:vAlign w:val="center"/>
          </w:tcPr>
          <w:p w:rsidR="0080661D" w:rsidRDefault="00F60277">
            <w:pPr>
              <w:jc w:val="right"/>
            </w:pPr>
            <w:r>
              <w:rPr>
                <w:rFonts w:eastAsiaTheme="minorEastAsia"/>
                <w:color w:val="000000" w:themeColor="text1"/>
                <w:szCs w:val="21"/>
              </w:rPr>
              <w:t>-5.12%</w:t>
            </w:r>
          </w:p>
        </w:tc>
        <w:tc>
          <w:tcPr>
            <w:tcW w:w="1291" w:type="dxa"/>
            <w:vAlign w:val="center"/>
          </w:tcPr>
          <w:p w:rsidR="0080661D" w:rsidRDefault="00F60277">
            <w:pPr>
              <w:jc w:val="right"/>
            </w:pPr>
            <w:r>
              <w:rPr>
                <w:rFonts w:eastAsiaTheme="minorEastAsia"/>
                <w:color w:val="000000" w:themeColor="text1"/>
                <w:szCs w:val="21"/>
              </w:rPr>
              <w:t>1.38%</w:t>
            </w:r>
          </w:p>
        </w:tc>
        <w:tc>
          <w:tcPr>
            <w:tcW w:w="1291" w:type="dxa"/>
            <w:vAlign w:val="center"/>
          </w:tcPr>
          <w:p w:rsidR="0080661D" w:rsidRDefault="00F60277">
            <w:pPr>
              <w:jc w:val="right"/>
            </w:pPr>
            <w:r>
              <w:rPr>
                <w:rFonts w:eastAsiaTheme="minorEastAsia"/>
                <w:color w:val="000000" w:themeColor="text1"/>
                <w:szCs w:val="21"/>
              </w:rPr>
              <w:t>7.95%</w:t>
            </w:r>
          </w:p>
        </w:tc>
        <w:tc>
          <w:tcPr>
            <w:tcW w:w="1291" w:type="dxa"/>
            <w:vAlign w:val="center"/>
          </w:tcPr>
          <w:p w:rsidR="0080661D" w:rsidRDefault="00F60277">
            <w:pPr>
              <w:jc w:val="right"/>
            </w:pPr>
            <w:r>
              <w:rPr>
                <w:rFonts w:eastAsiaTheme="minorEastAsia"/>
                <w:color w:val="000000" w:themeColor="text1"/>
                <w:szCs w:val="21"/>
              </w:rPr>
              <w:t>0.78%</w:t>
            </w:r>
          </w:p>
        </w:tc>
        <w:tc>
          <w:tcPr>
            <w:tcW w:w="1291" w:type="dxa"/>
            <w:vAlign w:val="center"/>
          </w:tcPr>
          <w:p w:rsidR="0080661D" w:rsidRDefault="00F60277">
            <w:pPr>
              <w:jc w:val="right"/>
            </w:pPr>
            <w:r>
              <w:rPr>
                <w:rFonts w:eastAsiaTheme="minorEastAsia"/>
                <w:color w:val="000000" w:themeColor="text1"/>
                <w:szCs w:val="21"/>
              </w:rPr>
              <w:t>-13.07%</w:t>
            </w:r>
          </w:p>
        </w:tc>
        <w:tc>
          <w:tcPr>
            <w:tcW w:w="1291" w:type="dxa"/>
            <w:vAlign w:val="center"/>
          </w:tcPr>
          <w:p w:rsidR="0080661D" w:rsidRDefault="00F60277">
            <w:pPr>
              <w:jc w:val="right"/>
            </w:pPr>
            <w:r>
              <w:rPr>
                <w:rFonts w:eastAsiaTheme="minorEastAsia"/>
                <w:color w:val="000000" w:themeColor="text1"/>
                <w:szCs w:val="21"/>
              </w:rPr>
              <w:t>0.60%</w:t>
            </w:r>
          </w:p>
        </w:tc>
      </w:tr>
      <w:tr w:rsidR="0080661D">
        <w:tc>
          <w:tcPr>
            <w:tcW w:w="1290" w:type="dxa"/>
            <w:vAlign w:val="center"/>
          </w:tcPr>
          <w:p w:rsidR="0080661D" w:rsidRDefault="00F60277">
            <w:pPr>
              <w:jc w:val="left"/>
            </w:pPr>
            <w:r>
              <w:rPr>
                <w:rFonts w:eastAsiaTheme="minorEastAsia"/>
                <w:color w:val="000000" w:themeColor="text1"/>
                <w:szCs w:val="21"/>
              </w:rPr>
              <w:t>过去一年</w:t>
            </w:r>
          </w:p>
        </w:tc>
        <w:tc>
          <w:tcPr>
            <w:tcW w:w="1291" w:type="dxa"/>
            <w:vAlign w:val="center"/>
          </w:tcPr>
          <w:p w:rsidR="0080661D" w:rsidRDefault="00F60277">
            <w:pPr>
              <w:jc w:val="right"/>
            </w:pPr>
            <w:r>
              <w:rPr>
                <w:rFonts w:eastAsiaTheme="minorEastAsia"/>
                <w:color w:val="000000" w:themeColor="text1"/>
                <w:szCs w:val="21"/>
              </w:rPr>
              <w:t>-14.57%</w:t>
            </w:r>
          </w:p>
        </w:tc>
        <w:tc>
          <w:tcPr>
            <w:tcW w:w="1291" w:type="dxa"/>
            <w:vAlign w:val="center"/>
          </w:tcPr>
          <w:p w:rsidR="0080661D" w:rsidRDefault="00F60277">
            <w:pPr>
              <w:jc w:val="right"/>
            </w:pPr>
            <w:r>
              <w:rPr>
                <w:rFonts w:eastAsiaTheme="minorEastAsia"/>
                <w:color w:val="000000" w:themeColor="text1"/>
                <w:szCs w:val="21"/>
              </w:rPr>
              <w:t>1.62%</w:t>
            </w:r>
          </w:p>
        </w:tc>
        <w:tc>
          <w:tcPr>
            <w:tcW w:w="1291" w:type="dxa"/>
            <w:vAlign w:val="center"/>
          </w:tcPr>
          <w:p w:rsidR="0080661D" w:rsidRDefault="00F60277">
            <w:pPr>
              <w:jc w:val="right"/>
            </w:pPr>
            <w:r>
              <w:rPr>
                <w:rFonts w:eastAsiaTheme="minorEastAsia"/>
                <w:color w:val="000000" w:themeColor="text1"/>
                <w:szCs w:val="21"/>
              </w:rPr>
              <w:t>5.48%</w:t>
            </w:r>
          </w:p>
        </w:tc>
        <w:tc>
          <w:tcPr>
            <w:tcW w:w="1291" w:type="dxa"/>
            <w:vAlign w:val="center"/>
          </w:tcPr>
          <w:p w:rsidR="0080661D" w:rsidRDefault="00F60277">
            <w:pPr>
              <w:jc w:val="right"/>
            </w:pPr>
            <w:r>
              <w:rPr>
                <w:rFonts w:eastAsiaTheme="minorEastAsia"/>
                <w:color w:val="000000" w:themeColor="text1"/>
                <w:szCs w:val="21"/>
              </w:rPr>
              <w:t>0.70%</w:t>
            </w:r>
          </w:p>
        </w:tc>
        <w:tc>
          <w:tcPr>
            <w:tcW w:w="1291" w:type="dxa"/>
            <w:vAlign w:val="center"/>
          </w:tcPr>
          <w:p w:rsidR="0080661D" w:rsidRDefault="00F60277">
            <w:pPr>
              <w:jc w:val="right"/>
            </w:pPr>
            <w:r>
              <w:rPr>
                <w:rFonts w:eastAsiaTheme="minorEastAsia"/>
                <w:color w:val="000000" w:themeColor="text1"/>
                <w:szCs w:val="21"/>
              </w:rPr>
              <w:t>-20.05%</w:t>
            </w:r>
          </w:p>
        </w:tc>
        <w:tc>
          <w:tcPr>
            <w:tcW w:w="1291" w:type="dxa"/>
            <w:vAlign w:val="center"/>
          </w:tcPr>
          <w:p w:rsidR="0080661D" w:rsidRDefault="00F60277">
            <w:pPr>
              <w:jc w:val="right"/>
            </w:pPr>
            <w:r>
              <w:rPr>
                <w:rFonts w:eastAsiaTheme="minorEastAsia"/>
                <w:color w:val="000000" w:themeColor="text1"/>
                <w:szCs w:val="21"/>
              </w:rPr>
              <w:t>0.92%</w:t>
            </w:r>
          </w:p>
        </w:tc>
      </w:tr>
      <w:tr w:rsidR="0080661D">
        <w:tc>
          <w:tcPr>
            <w:tcW w:w="1290" w:type="dxa"/>
            <w:vAlign w:val="center"/>
          </w:tcPr>
          <w:p w:rsidR="0080661D" w:rsidRDefault="00F60277">
            <w:pPr>
              <w:jc w:val="left"/>
            </w:pPr>
            <w:r>
              <w:rPr>
                <w:rFonts w:eastAsiaTheme="minorEastAsia"/>
                <w:color w:val="000000" w:themeColor="text1"/>
                <w:szCs w:val="21"/>
              </w:rPr>
              <w:t>过去三年</w:t>
            </w:r>
          </w:p>
        </w:tc>
        <w:tc>
          <w:tcPr>
            <w:tcW w:w="1291" w:type="dxa"/>
            <w:vAlign w:val="center"/>
          </w:tcPr>
          <w:p w:rsidR="0080661D" w:rsidRDefault="00F60277">
            <w:pPr>
              <w:jc w:val="right"/>
            </w:pPr>
            <w:r>
              <w:rPr>
                <w:rFonts w:eastAsiaTheme="minorEastAsia"/>
                <w:color w:val="000000" w:themeColor="text1"/>
                <w:szCs w:val="21"/>
              </w:rPr>
              <w:t>-55.33%</w:t>
            </w:r>
          </w:p>
        </w:tc>
        <w:tc>
          <w:tcPr>
            <w:tcW w:w="1291" w:type="dxa"/>
            <w:vAlign w:val="center"/>
          </w:tcPr>
          <w:p w:rsidR="0080661D" w:rsidRDefault="00F60277">
            <w:pPr>
              <w:jc w:val="right"/>
            </w:pPr>
            <w:r>
              <w:rPr>
                <w:rFonts w:eastAsiaTheme="minorEastAsia"/>
                <w:color w:val="000000" w:themeColor="text1"/>
                <w:szCs w:val="21"/>
              </w:rPr>
              <w:t>1.63%</w:t>
            </w:r>
          </w:p>
        </w:tc>
        <w:tc>
          <w:tcPr>
            <w:tcW w:w="1291" w:type="dxa"/>
            <w:vAlign w:val="center"/>
          </w:tcPr>
          <w:p w:rsidR="0080661D" w:rsidRDefault="00F60277">
            <w:pPr>
              <w:jc w:val="right"/>
            </w:pPr>
            <w:r>
              <w:rPr>
                <w:rFonts w:eastAsiaTheme="minorEastAsia"/>
                <w:color w:val="000000" w:themeColor="text1"/>
                <w:szCs w:val="21"/>
              </w:rPr>
              <w:t>-8.61%</w:t>
            </w:r>
          </w:p>
        </w:tc>
        <w:tc>
          <w:tcPr>
            <w:tcW w:w="1291" w:type="dxa"/>
            <w:vAlign w:val="center"/>
          </w:tcPr>
          <w:p w:rsidR="0080661D" w:rsidRDefault="00F60277">
            <w:pPr>
              <w:jc w:val="right"/>
            </w:pPr>
            <w:r>
              <w:rPr>
                <w:rFonts w:eastAsiaTheme="minorEastAsia"/>
                <w:color w:val="000000" w:themeColor="text1"/>
                <w:szCs w:val="21"/>
              </w:rPr>
              <w:t>0.66%</w:t>
            </w:r>
          </w:p>
        </w:tc>
        <w:tc>
          <w:tcPr>
            <w:tcW w:w="1291" w:type="dxa"/>
            <w:vAlign w:val="center"/>
          </w:tcPr>
          <w:p w:rsidR="0080661D" w:rsidRDefault="00F60277">
            <w:pPr>
              <w:jc w:val="right"/>
            </w:pPr>
            <w:r>
              <w:rPr>
                <w:rFonts w:eastAsiaTheme="minorEastAsia"/>
                <w:color w:val="000000" w:themeColor="text1"/>
                <w:szCs w:val="21"/>
              </w:rPr>
              <w:t>-46.72%</w:t>
            </w:r>
          </w:p>
        </w:tc>
        <w:tc>
          <w:tcPr>
            <w:tcW w:w="1291" w:type="dxa"/>
            <w:vAlign w:val="center"/>
          </w:tcPr>
          <w:p w:rsidR="0080661D" w:rsidRDefault="00F60277">
            <w:pPr>
              <w:jc w:val="right"/>
            </w:pPr>
            <w:r>
              <w:rPr>
                <w:rFonts w:eastAsiaTheme="minorEastAsia"/>
                <w:color w:val="000000" w:themeColor="text1"/>
                <w:szCs w:val="21"/>
              </w:rPr>
              <w:t>0.97%</w:t>
            </w:r>
          </w:p>
        </w:tc>
      </w:tr>
      <w:tr w:rsidR="0080661D">
        <w:tc>
          <w:tcPr>
            <w:tcW w:w="1290" w:type="dxa"/>
            <w:vAlign w:val="center"/>
          </w:tcPr>
          <w:p w:rsidR="0080661D" w:rsidRDefault="00F60277">
            <w:pPr>
              <w:jc w:val="left"/>
            </w:pPr>
            <w:r>
              <w:rPr>
                <w:rFonts w:eastAsiaTheme="minorEastAsia"/>
                <w:color w:val="000000" w:themeColor="text1"/>
                <w:szCs w:val="21"/>
              </w:rPr>
              <w:t>过去五年</w:t>
            </w:r>
          </w:p>
        </w:tc>
        <w:tc>
          <w:tcPr>
            <w:tcW w:w="1291" w:type="dxa"/>
            <w:vAlign w:val="center"/>
          </w:tcPr>
          <w:p w:rsidR="0080661D" w:rsidRDefault="00F60277">
            <w:pPr>
              <w:jc w:val="right"/>
            </w:pPr>
            <w:r>
              <w:rPr>
                <w:rFonts w:eastAsiaTheme="minorEastAsia"/>
                <w:color w:val="000000" w:themeColor="text1"/>
                <w:szCs w:val="21"/>
              </w:rPr>
              <w:t>-32.55%</w:t>
            </w:r>
          </w:p>
        </w:tc>
        <w:tc>
          <w:tcPr>
            <w:tcW w:w="1291" w:type="dxa"/>
            <w:vAlign w:val="center"/>
          </w:tcPr>
          <w:p w:rsidR="0080661D" w:rsidRDefault="00F60277">
            <w:pPr>
              <w:jc w:val="right"/>
            </w:pPr>
            <w:r>
              <w:rPr>
                <w:rFonts w:eastAsiaTheme="minorEastAsia"/>
                <w:color w:val="000000" w:themeColor="text1"/>
                <w:szCs w:val="21"/>
              </w:rPr>
              <w:t>1.58%</w:t>
            </w:r>
          </w:p>
        </w:tc>
        <w:tc>
          <w:tcPr>
            <w:tcW w:w="1291" w:type="dxa"/>
            <w:vAlign w:val="center"/>
          </w:tcPr>
          <w:p w:rsidR="0080661D" w:rsidRDefault="00F60277">
            <w:pPr>
              <w:jc w:val="right"/>
            </w:pPr>
            <w:r>
              <w:rPr>
                <w:rFonts w:eastAsiaTheme="minorEastAsia"/>
                <w:color w:val="000000" w:themeColor="text1"/>
                <w:szCs w:val="21"/>
              </w:rPr>
              <w:t>7.68%</w:t>
            </w:r>
          </w:p>
        </w:tc>
        <w:tc>
          <w:tcPr>
            <w:tcW w:w="1291" w:type="dxa"/>
            <w:vAlign w:val="center"/>
          </w:tcPr>
          <w:p w:rsidR="0080661D" w:rsidRDefault="00F60277">
            <w:pPr>
              <w:jc w:val="right"/>
            </w:pPr>
            <w:r>
              <w:rPr>
                <w:rFonts w:eastAsiaTheme="minorEastAsia"/>
                <w:color w:val="000000" w:themeColor="text1"/>
                <w:szCs w:val="21"/>
              </w:rPr>
              <w:t>0.70%</w:t>
            </w:r>
          </w:p>
        </w:tc>
        <w:tc>
          <w:tcPr>
            <w:tcW w:w="1291" w:type="dxa"/>
            <w:vAlign w:val="center"/>
          </w:tcPr>
          <w:p w:rsidR="0080661D" w:rsidRDefault="00F60277">
            <w:pPr>
              <w:jc w:val="right"/>
            </w:pPr>
            <w:r>
              <w:rPr>
                <w:rFonts w:eastAsiaTheme="minorEastAsia"/>
                <w:color w:val="000000" w:themeColor="text1"/>
                <w:szCs w:val="21"/>
              </w:rPr>
              <w:t>-40.23%</w:t>
            </w:r>
          </w:p>
        </w:tc>
        <w:tc>
          <w:tcPr>
            <w:tcW w:w="1291" w:type="dxa"/>
            <w:vAlign w:val="center"/>
          </w:tcPr>
          <w:p w:rsidR="0080661D" w:rsidRDefault="00F60277">
            <w:pPr>
              <w:jc w:val="right"/>
            </w:pPr>
            <w:r>
              <w:rPr>
                <w:rFonts w:eastAsiaTheme="minorEastAsia"/>
                <w:color w:val="000000" w:themeColor="text1"/>
                <w:szCs w:val="21"/>
              </w:rPr>
              <w:t>0.88%</w:t>
            </w:r>
          </w:p>
        </w:tc>
      </w:tr>
      <w:tr w:rsidR="0080661D">
        <w:tc>
          <w:tcPr>
            <w:tcW w:w="1290" w:type="dxa"/>
            <w:vAlign w:val="center"/>
          </w:tcPr>
          <w:p w:rsidR="0080661D" w:rsidRDefault="00F60277">
            <w:pPr>
              <w:jc w:val="left"/>
            </w:pPr>
            <w:r>
              <w:rPr>
                <w:rFonts w:eastAsiaTheme="minorEastAsia"/>
                <w:color w:val="000000" w:themeColor="text1"/>
                <w:szCs w:val="21"/>
              </w:rPr>
              <w:t>自基金合同生效起至今</w:t>
            </w:r>
          </w:p>
        </w:tc>
        <w:tc>
          <w:tcPr>
            <w:tcW w:w="1291" w:type="dxa"/>
            <w:vAlign w:val="center"/>
          </w:tcPr>
          <w:p w:rsidR="0080661D" w:rsidRDefault="00F60277">
            <w:pPr>
              <w:jc w:val="right"/>
            </w:pPr>
            <w:r>
              <w:rPr>
                <w:rFonts w:eastAsiaTheme="minorEastAsia"/>
                <w:color w:val="000000" w:themeColor="text1"/>
                <w:szCs w:val="21"/>
              </w:rPr>
              <w:t>-59.06%</w:t>
            </w:r>
          </w:p>
        </w:tc>
        <w:tc>
          <w:tcPr>
            <w:tcW w:w="1291" w:type="dxa"/>
            <w:vAlign w:val="center"/>
          </w:tcPr>
          <w:p w:rsidR="0080661D" w:rsidRDefault="00F60277">
            <w:pPr>
              <w:jc w:val="right"/>
            </w:pPr>
            <w:r>
              <w:rPr>
                <w:rFonts w:eastAsiaTheme="minorEastAsia"/>
                <w:color w:val="000000" w:themeColor="text1"/>
                <w:szCs w:val="21"/>
              </w:rPr>
              <w:t>1.68%</w:t>
            </w:r>
          </w:p>
        </w:tc>
        <w:tc>
          <w:tcPr>
            <w:tcW w:w="1291" w:type="dxa"/>
            <w:vAlign w:val="center"/>
          </w:tcPr>
          <w:p w:rsidR="0080661D" w:rsidRDefault="00F60277">
            <w:pPr>
              <w:jc w:val="right"/>
            </w:pPr>
            <w:r>
              <w:rPr>
                <w:rFonts w:eastAsiaTheme="minorEastAsia"/>
                <w:color w:val="000000" w:themeColor="text1"/>
                <w:szCs w:val="21"/>
              </w:rPr>
              <w:t>-7.17%</w:t>
            </w:r>
          </w:p>
        </w:tc>
        <w:tc>
          <w:tcPr>
            <w:tcW w:w="1291" w:type="dxa"/>
            <w:vAlign w:val="center"/>
          </w:tcPr>
          <w:p w:rsidR="0080661D" w:rsidRDefault="00F60277">
            <w:pPr>
              <w:jc w:val="right"/>
            </w:pPr>
            <w:r>
              <w:rPr>
                <w:rFonts w:eastAsiaTheme="minorEastAsia"/>
                <w:color w:val="000000" w:themeColor="text1"/>
                <w:szCs w:val="21"/>
              </w:rPr>
              <w:t>0.83%</w:t>
            </w:r>
          </w:p>
        </w:tc>
        <w:tc>
          <w:tcPr>
            <w:tcW w:w="1291" w:type="dxa"/>
            <w:vAlign w:val="center"/>
          </w:tcPr>
          <w:p w:rsidR="0080661D" w:rsidRDefault="00F60277">
            <w:pPr>
              <w:jc w:val="right"/>
            </w:pPr>
            <w:r>
              <w:rPr>
                <w:rFonts w:eastAsiaTheme="minorEastAsia"/>
                <w:color w:val="000000" w:themeColor="text1"/>
                <w:szCs w:val="21"/>
              </w:rPr>
              <w:t>-51.89%</w:t>
            </w:r>
          </w:p>
        </w:tc>
        <w:tc>
          <w:tcPr>
            <w:tcW w:w="1291" w:type="dxa"/>
            <w:vAlign w:val="center"/>
          </w:tcPr>
          <w:p w:rsidR="0080661D" w:rsidRDefault="00F60277">
            <w:pPr>
              <w:jc w:val="right"/>
            </w:pPr>
            <w:r>
              <w:rPr>
                <w:rFonts w:eastAsiaTheme="minorEastAsia"/>
                <w:color w:val="000000" w:themeColor="text1"/>
                <w:szCs w:val="21"/>
              </w:rPr>
              <w:t>0.85%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0661D">
        <w:tc>
          <w:tcPr>
            <w:tcW w:w="1290" w:type="dxa"/>
            <w:vAlign w:val="center"/>
          </w:tcPr>
          <w:p w:rsidR="0080661D" w:rsidRDefault="00F60277">
            <w:pPr>
              <w:jc w:val="left"/>
            </w:pPr>
            <w:r>
              <w:rPr>
                <w:rFonts w:eastAsiaTheme="minorEastAsia"/>
                <w:color w:val="000000" w:themeColor="text1"/>
                <w:szCs w:val="21"/>
              </w:rPr>
              <w:t>过去三个月</w:t>
            </w:r>
          </w:p>
        </w:tc>
        <w:tc>
          <w:tcPr>
            <w:tcW w:w="1291" w:type="dxa"/>
            <w:vAlign w:val="center"/>
          </w:tcPr>
          <w:p w:rsidR="0080661D" w:rsidRDefault="00F60277">
            <w:pPr>
              <w:jc w:val="right"/>
            </w:pPr>
            <w:r>
              <w:rPr>
                <w:rFonts w:eastAsiaTheme="minorEastAsia"/>
                <w:color w:val="000000" w:themeColor="text1"/>
                <w:szCs w:val="21"/>
              </w:rPr>
              <w:t>2.99%</w:t>
            </w:r>
          </w:p>
        </w:tc>
        <w:tc>
          <w:tcPr>
            <w:tcW w:w="1291" w:type="dxa"/>
            <w:vAlign w:val="center"/>
          </w:tcPr>
          <w:p w:rsidR="0080661D" w:rsidRDefault="00F60277">
            <w:pPr>
              <w:jc w:val="right"/>
            </w:pPr>
            <w:r>
              <w:rPr>
                <w:rFonts w:eastAsiaTheme="minorEastAsia"/>
                <w:color w:val="000000" w:themeColor="text1"/>
                <w:szCs w:val="21"/>
              </w:rPr>
              <w:t>1.49%</w:t>
            </w:r>
          </w:p>
        </w:tc>
        <w:tc>
          <w:tcPr>
            <w:tcW w:w="1291" w:type="dxa"/>
            <w:vAlign w:val="center"/>
          </w:tcPr>
          <w:p w:rsidR="0080661D" w:rsidRDefault="00F60277">
            <w:pPr>
              <w:jc w:val="right"/>
            </w:pPr>
            <w:r>
              <w:rPr>
                <w:rFonts w:eastAsiaTheme="minorEastAsia"/>
                <w:color w:val="000000" w:themeColor="text1"/>
                <w:szCs w:val="21"/>
              </w:rPr>
              <w:t>9.84%</w:t>
            </w:r>
          </w:p>
        </w:tc>
        <w:tc>
          <w:tcPr>
            <w:tcW w:w="1291" w:type="dxa"/>
            <w:vAlign w:val="center"/>
          </w:tcPr>
          <w:p w:rsidR="0080661D" w:rsidRDefault="00F60277">
            <w:pPr>
              <w:jc w:val="right"/>
            </w:pPr>
            <w:r>
              <w:rPr>
                <w:rFonts w:eastAsiaTheme="minorEastAsia"/>
                <w:color w:val="000000" w:themeColor="text1"/>
                <w:szCs w:val="21"/>
              </w:rPr>
              <w:t>0.98%</w:t>
            </w:r>
          </w:p>
        </w:tc>
        <w:tc>
          <w:tcPr>
            <w:tcW w:w="1291" w:type="dxa"/>
            <w:vAlign w:val="center"/>
          </w:tcPr>
          <w:p w:rsidR="0080661D" w:rsidRDefault="00F60277">
            <w:pPr>
              <w:jc w:val="right"/>
            </w:pPr>
            <w:r>
              <w:rPr>
                <w:rFonts w:eastAsiaTheme="minorEastAsia"/>
                <w:color w:val="000000" w:themeColor="text1"/>
                <w:szCs w:val="21"/>
              </w:rPr>
              <w:t>-6.85%</w:t>
            </w:r>
          </w:p>
        </w:tc>
        <w:tc>
          <w:tcPr>
            <w:tcW w:w="1291" w:type="dxa"/>
            <w:vAlign w:val="center"/>
          </w:tcPr>
          <w:p w:rsidR="0080661D" w:rsidRDefault="00F60277">
            <w:pPr>
              <w:jc w:val="right"/>
            </w:pPr>
            <w:r>
              <w:rPr>
                <w:rFonts w:eastAsiaTheme="minorEastAsia"/>
                <w:color w:val="000000" w:themeColor="text1"/>
                <w:szCs w:val="21"/>
              </w:rPr>
              <w:t>0.51%</w:t>
            </w:r>
          </w:p>
        </w:tc>
      </w:tr>
      <w:tr w:rsidR="0080661D">
        <w:tc>
          <w:tcPr>
            <w:tcW w:w="1290" w:type="dxa"/>
            <w:vAlign w:val="center"/>
          </w:tcPr>
          <w:p w:rsidR="0080661D" w:rsidRDefault="00F60277">
            <w:pPr>
              <w:jc w:val="left"/>
            </w:pPr>
            <w:r>
              <w:rPr>
                <w:rFonts w:eastAsiaTheme="minorEastAsia"/>
                <w:color w:val="000000" w:themeColor="text1"/>
                <w:szCs w:val="21"/>
              </w:rPr>
              <w:t>过去六个月</w:t>
            </w:r>
          </w:p>
        </w:tc>
        <w:tc>
          <w:tcPr>
            <w:tcW w:w="1291" w:type="dxa"/>
            <w:vAlign w:val="center"/>
          </w:tcPr>
          <w:p w:rsidR="0080661D" w:rsidRDefault="00F60277">
            <w:pPr>
              <w:jc w:val="right"/>
            </w:pPr>
            <w:r>
              <w:rPr>
                <w:rFonts w:eastAsiaTheme="minorEastAsia"/>
                <w:color w:val="000000" w:themeColor="text1"/>
                <w:szCs w:val="21"/>
              </w:rPr>
              <w:t>-5.32%</w:t>
            </w:r>
          </w:p>
        </w:tc>
        <w:tc>
          <w:tcPr>
            <w:tcW w:w="1291" w:type="dxa"/>
            <w:vAlign w:val="center"/>
          </w:tcPr>
          <w:p w:rsidR="0080661D" w:rsidRDefault="00F60277">
            <w:pPr>
              <w:jc w:val="right"/>
            </w:pPr>
            <w:r>
              <w:rPr>
                <w:rFonts w:eastAsiaTheme="minorEastAsia"/>
                <w:color w:val="000000" w:themeColor="text1"/>
                <w:szCs w:val="21"/>
              </w:rPr>
              <w:t>1.39%</w:t>
            </w:r>
          </w:p>
        </w:tc>
        <w:tc>
          <w:tcPr>
            <w:tcW w:w="1291" w:type="dxa"/>
            <w:vAlign w:val="center"/>
          </w:tcPr>
          <w:p w:rsidR="0080661D" w:rsidRDefault="00F60277">
            <w:pPr>
              <w:jc w:val="right"/>
            </w:pPr>
            <w:r>
              <w:rPr>
                <w:rFonts w:eastAsiaTheme="minorEastAsia"/>
                <w:color w:val="000000" w:themeColor="text1"/>
                <w:szCs w:val="21"/>
              </w:rPr>
              <w:t>7.95%</w:t>
            </w:r>
          </w:p>
        </w:tc>
        <w:tc>
          <w:tcPr>
            <w:tcW w:w="1291" w:type="dxa"/>
            <w:vAlign w:val="center"/>
          </w:tcPr>
          <w:p w:rsidR="0080661D" w:rsidRDefault="00F60277">
            <w:pPr>
              <w:jc w:val="right"/>
            </w:pPr>
            <w:r>
              <w:rPr>
                <w:rFonts w:eastAsiaTheme="minorEastAsia"/>
                <w:color w:val="000000" w:themeColor="text1"/>
                <w:szCs w:val="21"/>
              </w:rPr>
              <w:t>0.78%</w:t>
            </w:r>
          </w:p>
        </w:tc>
        <w:tc>
          <w:tcPr>
            <w:tcW w:w="1291" w:type="dxa"/>
            <w:vAlign w:val="center"/>
          </w:tcPr>
          <w:p w:rsidR="0080661D" w:rsidRDefault="00F60277">
            <w:pPr>
              <w:jc w:val="right"/>
            </w:pPr>
            <w:r>
              <w:rPr>
                <w:rFonts w:eastAsiaTheme="minorEastAsia"/>
                <w:color w:val="000000" w:themeColor="text1"/>
                <w:szCs w:val="21"/>
              </w:rPr>
              <w:t>-13.27%</w:t>
            </w:r>
          </w:p>
        </w:tc>
        <w:tc>
          <w:tcPr>
            <w:tcW w:w="1291" w:type="dxa"/>
            <w:vAlign w:val="center"/>
          </w:tcPr>
          <w:p w:rsidR="0080661D" w:rsidRDefault="00F60277">
            <w:pPr>
              <w:jc w:val="right"/>
            </w:pPr>
            <w:r>
              <w:rPr>
                <w:rFonts w:eastAsiaTheme="minorEastAsia"/>
                <w:color w:val="000000" w:themeColor="text1"/>
                <w:szCs w:val="21"/>
              </w:rPr>
              <w:t>0.61%</w:t>
            </w:r>
          </w:p>
        </w:tc>
      </w:tr>
      <w:tr w:rsidR="0080661D">
        <w:tc>
          <w:tcPr>
            <w:tcW w:w="1290" w:type="dxa"/>
            <w:vAlign w:val="center"/>
          </w:tcPr>
          <w:p w:rsidR="0080661D" w:rsidRDefault="00F60277">
            <w:pPr>
              <w:jc w:val="left"/>
            </w:pPr>
            <w:r>
              <w:rPr>
                <w:rFonts w:eastAsiaTheme="minorEastAsia"/>
                <w:color w:val="000000" w:themeColor="text1"/>
                <w:szCs w:val="21"/>
              </w:rPr>
              <w:t>过去一年</w:t>
            </w:r>
          </w:p>
        </w:tc>
        <w:tc>
          <w:tcPr>
            <w:tcW w:w="1291" w:type="dxa"/>
            <w:vAlign w:val="center"/>
          </w:tcPr>
          <w:p w:rsidR="0080661D" w:rsidRDefault="00F60277">
            <w:pPr>
              <w:jc w:val="right"/>
            </w:pPr>
            <w:r>
              <w:rPr>
                <w:rFonts w:eastAsiaTheme="minorEastAsia"/>
                <w:color w:val="000000" w:themeColor="text1"/>
                <w:szCs w:val="21"/>
              </w:rPr>
              <w:t>-14.96%</w:t>
            </w:r>
          </w:p>
        </w:tc>
        <w:tc>
          <w:tcPr>
            <w:tcW w:w="1291" w:type="dxa"/>
            <w:vAlign w:val="center"/>
          </w:tcPr>
          <w:p w:rsidR="0080661D" w:rsidRDefault="00F60277">
            <w:pPr>
              <w:jc w:val="right"/>
            </w:pPr>
            <w:r>
              <w:rPr>
                <w:rFonts w:eastAsiaTheme="minorEastAsia"/>
                <w:color w:val="000000" w:themeColor="text1"/>
                <w:szCs w:val="21"/>
              </w:rPr>
              <w:t>1.62%</w:t>
            </w:r>
          </w:p>
        </w:tc>
        <w:tc>
          <w:tcPr>
            <w:tcW w:w="1291" w:type="dxa"/>
            <w:vAlign w:val="center"/>
          </w:tcPr>
          <w:p w:rsidR="0080661D" w:rsidRDefault="00F60277">
            <w:pPr>
              <w:jc w:val="right"/>
            </w:pPr>
            <w:r>
              <w:rPr>
                <w:rFonts w:eastAsiaTheme="minorEastAsia"/>
                <w:color w:val="000000" w:themeColor="text1"/>
                <w:szCs w:val="21"/>
              </w:rPr>
              <w:t>5.48%</w:t>
            </w:r>
          </w:p>
        </w:tc>
        <w:tc>
          <w:tcPr>
            <w:tcW w:w="1291" w:type="dxa"/>
            <w:vAlign w:val="center"/>
          </w:tcPr>
          <w:p w:rsidR="0080661D" w:rsidRDefault="00F60277">
            <w:pPr>
              <w:jc w:val="right"/>
            </w:pPr>
            <w:r>
              <w:rPr>
                <w:rFonts w:eastAsiaTheme="minorEastAsia"/>
                <w:color w:val="000000" w:themeColor="text1"/>
                <w:szCs w:val="21"/>
              </w:rPr>
              <w:t>0.70%</w:t>
            </w:r>
          </w:p>
        </w:tc>
        <w:tc>
          <w:tcPr>
            <w:tcW w:w="1291" w:type="dxa"/>
            <w:vAlign w:val="center"/>
          </w:tcPr>
          <w:p w:rsidR="0080661D" w:rsidRDefault="00F60277">
            <w:pPr>
              <w:jc w:val="right"/>
            </w:pPr>
            <w:r>
              <w:rPr>
                <w:rFonts w:eastAsiaTheme="minorEastAsia"/>
                <w:color w:val="000000" w:themeColor="text1"/>
                <w:szCs w:val="21"/>
              </w:rPr>
              <w:t>-20.44%</w:t>
            </w:r>
          </w:p>
        </w:tc>
        <w:tc>
          <w:tcPr>
            <w:tcW w:w="1291" w:type="dxa"/>
            <w:vAlign w:val="center"/>
          </w:tcPr>
          <w:p w:rsidR="0080661D" w:rsidRDefault="00F60277">
            <w:pPr>
              <w:jc w:val="right"/>
            </w:pPr>
            <w:r>
              <w:rPr>
                <w:rFonts w:eastAsiaTheme="minorEastAsia"/>
                <w:color w:val="000000" w:themeColor="text1"/>
                <w:szCs w:val="21"/>
              </w:rPr>
              <w:t>0.92%</w:t>
            </w:r>
          </w:p>
        </w:tc>
      </w:tr>
      <w:tr w:rsidR="0080661D">
        <w:tc>
          <w:tcPr>
            <w:tcW w:w="1290" w:type="dxa"/>
            <w:vAlign w:val="center"/>
          </w:tcPr>
          <w:p w:rsidR="0080661D" w:rsidRDefault="00F60277">
            <w:pPr>
              <w:jc w:val="left"/>
            </w:pPr>
            <w:r>
              <w:rPr>
                <w:rFonts w:eastAsiaTheme="minorEastAsia"/>
                <w:color w:val="000000" w:themeColor="text1"/>
                <w:szCs w:val="21"/>
              </w:rPr>
              <w:t>过去三年</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r>
      <w:tr w:rsidR="0080661D">
        <w:tc>
          <w:tcPr>
            <w:tcW w:w="1290" w:type="dxa"/>
            <w:vAlign w:val="center"/>
          </w:tcPr>
          <w:p w:rsidR="0080661D" w:rsidRDefault="00F60277">
            <w:pPr>
              <w:jc w:val="left"/>
            </w:pPr>
            <w:r>
              <w:rPr>
                <w:rFonts w:eastAsiaTheme="minorEastAsia"/>
                <w:color w:val="000000" w:themeColor="text1"/>
                <w:szCs w:val="21"/>
              </w:rPr>
              <w:t>过去五年</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c>
          <w:tcPr>
            <w:tcW w:w="1291" w:type="dxa"/>
            <w:vAlign w:val="center"/>
          </w:tcPr>
          <w:p w:rsidR="0080661D" w:rsidRDefault="00F60277">
            <w:pPr>
              <w:jc w:val="right"/>
            </w:pPr>
            <w:r>
              <w:rPr>
                <w:rFonts w:eastAsiaTheme="minorEastAsia"/>
                <w:color w:val="000000" w:themeColor="text1"/>
                <w:szCs w:val="21"/>
              </w:rPr>
              <w:t>-</w:t>
            </w:r>
          </w:p>
        </w:tc>
      </w:tr>
      <w:tr w:rsidR="0080661D">
        <w:tc>
          <w:tcPr>
            <w:tcW w:w="1290" w:type="dxa"/>
            <w:vAlign w:val="center"/>
          </w:tcPr>
          <w:p w:rsidR="0080661D" w:rsidRDefault="00F60277">
            <w:pPr>
              <w:jc w:val="left"/>
            </w:pPr>
            <w:r>
              <w:rPr>
                <w:rFonts w:eastAsiaTheme="minorEastAsia"/>
                <w:color w:val="000000" w:themeColor="text1"/>
                <w:szCs w:val="21"/>
              </w:rPr>
              <w:t>自基金合同生效起至今</w:t>
            </w:r>
          </w:p>
        </w:tc>
        <w:tc>
          <w:tcPr>
            <w:tcW w:w="1291" w:type="dxa"/>
            <w:vAlign w:val="center"/>
          </w:tcPr>
          <w:p w:rsidR="0080661D" w:rsidRDefault="00F60277">
            <w:pPr>
              <w:jc w:val="right"/>
            </w:pPr>
            <w:r>
              <w:rPr>
                <w:rFonts w:eastAsiaTheme="minorEastAsia"/>
                <w:color w:val="000000" w:themeColor="text1"/>
                <w:szCs w:val="21"/>
              </w:rPr>
              <w:t>-33.06%</w:t>
            </w:r>
          </w:p>
        </w:tc>
        <w:tc>
          <w:tcPr>
            <w:tcW w:w="1291" w:type="dxa"/>
            <w:vAlign w:val="center"/>
          </w:tcPr>
          <w:p w:rsidR="0080661D" w:rsidRDefault="00F60277">
            <w:pPr>
              <w:jc w:val="right"/>
            </w:pPr>
            <w:r>
              <w:rPr>
                <w:rFonts w:eastAsiaTheme="minorEastAsia"/>
                <w:color w:val="000000" w:themeColor="text1"/>
                <w:szCs w:val="21"/>
              </w:rPr>
              <w:t>1.65%</w:t>
            </w:r>
          </w:p>
        </w:tc>
        <w:tc>
          <w:tcPr>
            <w:tcW w:w="1291" w:type="dxa"/>
            <w:vAlign w:val="center"/>
          </w:tcPr>
          <w:p w:rsidR="0080661D" w:rsidRDefault="00F60277">
            <w:pPr>
              <w:jc w:val="right"/>
            </w:pPr>
            <w:r>
              <w:rPr>
                <w:rFonts w:eastAsiaTheme="minorEastAsia"/>
                <w:color w:val="000000" w:themeColor="text1"/>
                <w:szCs w:val="21"/>
              </w:rPr>
              <w:t>7.51%</w:t>
            </w:r>
          </w:p>
        </w:tc>
        <w:tc>
          <w:tcPr>
            <w:tcW w:w="1291" w:type="dxa"/>
            <w:vAlign w:val="center"/>
          </w:tcPr>
          <w:p w:rsidR="0080661D" w:rsidRDefault="00F60277">
            <w:pPr>
              <w:jc w:val="right"/>
            </w:pPr>
            <w:r>
              <w:rPr>
                <w:rFonts w:eastAsiaTheme="minorEastAsia"/>
                <w:color w:val="000000" w:themeColor="text1"/>
                <w:szCs w:val="21"/>
              </w:rPr>
              <w:t>0.62%</w:t>
            </w:r>
          </w:p>
        </w:tc>
        <w:tc>
          <w:tcPr>
            <w:tcW w:w="1291" w:type="dxa"/>
            <w:vAlign w:val="center"/>
          </w:tcPr>
          <w:p w:rsidR="0080661D" w:rsidRDefault="00F60277">
            <w:pPr>
              <w:jc w:val="right"/>
            </w:pPr>
            <w:r>
              <w:rPr>
                <w:rFonts w:eastAsiaTheme="minorEastAsia"/>
                <w:color w:val="000000" w:themeColor="text1"/>
                <w:szCs w:val="21"/>
              </w:rPr>
              <w:t>-40.57%</w:t>
            </w:r>
          </w:p>
        </w:tc>
        <w:tc>
          <w:tcPr>
            <w:tcW w:w="1291" w:type="dxa"/>
            <w:vAlign w:val="center"/>
          </w:tcPr>
          <w:p w:rsidR="0080661D" w:rsidRDefault="00F60277">
            <w:pPr>
              <w:jc w:val="right"/>
            </w:pPr>
            <w:r>
              <w:rPr>
                <w:rFonts w:eastAsiaTheme="minorEastAsia"/>
                <w:color w:val="000000" w:themeColor="text1"/>
                <w:szCs w:val="21"/>
              </w:rPr>
              <w:t>1.03%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摩根整合驱动灵活配置混合型证券投资基金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．摩根整合驱动混合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．摩根整合驱动混合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0661D">
        <w:tc>
          <w:tcPr>
            <w:tcW w:w="952" w:type="dxa"/>
            <w:vAlign w:val="center"/>
          </w:tcPr>
          <w:p w:rsidR="0080661D" w:rsidRDefault="00F60277">
            <w:pPr>
              <w:jc w:val="center"/>
            </w:pPr>
            <w:r>
              <w:rPr>
                <w:rFonts w:eastAsiaTheme="minorEastAsia"/>
                <w:color w:val="000000" w:themeColor="text1"/>
                <w:szCs w:val="21"/>
              </w:rPr>
              <w:t>杨景喻</w:t>
            </w:r>
          </w:p>
        </w:tc>
        <w:tc>
          <w:tcPr>
            <w:tcW w:w="930" w:type="dxa"/>
            <w:vAlign w:val="center"/>
          </w:tcPr>
          <w:p w:rsidR="0080661D" w:rsidRDefault="00F60277">
            <w:pPr>
              <w:jc w:val="center"/>
            </w:pPr>
            <w:r>
              <w:rPr>
                <w:rFonts w:eastAsiaTheme="minorEastAsia"/>
                <w:color w:val="000000" w:themeColor="text1"/>
                <w:szCs w:val="21"/>
              </w:rPr>
              <w:t>本基金基金经理</w:t>
            </w:r>
          </w:p>
        </w:tc>
        <w:tc>
          <w:tcPr>
            <w:tcW w:w="1210" w:type="dxa"/>
            <w:vAlign w:val="center"/>
          </w:tcPr>
          <w:p w:rsidR="0080661D" w:rsidRDefault="00F60277">
            <w:pPr>
              <w:jc w:val="center"/>
            </w:pPr>
            <w:r>
              <w:rPr>
                <w:rFonts w:eastAsiaTheme="minorEastAsia"/>
                <w:color w:val="000000" w:themeColor="text1"/>
                <w:szCs w:val="21"/>
              </w:rPr>
              <w:t>2024-06-24</w:t>
            </w:r>
          </w:p>
        </w:tc>
        <w:tc>
          <w:tcPr>
            <w:tcW w:w="1309" w:type="dxa"/>
            <w:vAlign w:val="center"/>
          </w:tcPr>
          <w:p w:rsidR="0080661D" w:rsidRDefault="00F60277">
            <w:pPr>
              <w:jc w:val="center"/>
            </w:pPr>
            <w:r>
              <w:rPr>
                <w:rFonts w:eastAsiaTheme="minorEastAsia"/>
                <w:color w:val="000000" w:themeColor="text1"/>
                <w:szCs w:val="21"/>
              </w:rPr>
              <w:t>-</w:t>
            </w:r>
          </w:p>
        </w:tc>
        <w:tc>
          <w:tcPr>
            <w:tcW w:w="1254" w:type="dxa"/>
            <w:vAlign w:val="center"/>
          </w:tcPr>
          <w:p w:rsidR="0080661D" w:rsidRDefault="00F60277">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80661D" w:rsidRDefault="00F60277">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80661D" w:rsidRDefault="00F6027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p w:rsidR="0080661D" w:rsidRDefault="00F60277">
      <w:pPr>
        <w:spacing w:line="360" w:lineRule="auto"/>
        <w:ind w:firstLineChars="200" w:firstLine="420"/>
        <w:rPr>
          <w:rFonts w:eastAsiaTheme="minorEastAsia"/>
          <w:color w:val="000000"/>
          <w:szCs w:val="21"/>
        </w:rPr>
      </w:pPr>
      <w:r>
        <w:rPr>
          <w:color w:val="000000"/>
          <w:szCs w:val="21"/>
        </w:rPr>
        <w:lastRenderedPageBreak/>
        <w:t>本产品基金经理杨景喻报告期末已离任私募资产管理计划投资经理。报告期内离任产品情况如下：</w:t>
      </w:r>
    </w:p>
    <w:p w:rsidR="0080661D" w:rsidRDefault="00F60277">
      <w:pPr>
        <w:spacing w:line="360" w:lineRule="auto"/>
        <w:ind w:firstLineChars="200" w:firstLine="420"/>
        <w:rPr>
          <w:rFonts w:eastAsiaTheme="minorEastAsia"/>
          <w:color w:val="000000"/>
          <w:szCs w:val="21"/>
        </w:rPr>
      </w:pPr>
      <w:r>
        <w:rPr>
          <w:color w:val="000000"/>
          <w:szCs w:val="21"/>
        </w:rPr>
        <w:t>1</w:t>
      </w:r>
      <w:r>
        <w:rPr>
          <w:color w:val="000000"/>
          <w:szCs w:val="21"/>
        </w:rPr>
        <w:t>）产品类型：私募资产管理计划；</w:t>
      </w:r>
    </w:p>
    <w:p w:rsidR="0080661D" w:rsidRDefault="00F60277">
      <w:pPr>
        <w:spacing w:line="360" w:lineRule="auto"/>
        <w:ind w:firstLineChars="200" w:firstLine="420"/>
        <w:rPr>
          <w:rFonts w:eastAsiaTheme="minorEastAsia"/>
          <w:color w:val="000000"/>
          <w:szCs w:val="21"/>
        </w:rPr>
      </w:pPr>
      <w:r>
        <w:rPr>
          <w:color w:val="000000"/>
          <w:szCs w:val="21"/>
        </w:rPr>
        <w:t>2</w:t>
      </w:r>
      <w:r>
        <w:rPr>
          <w:color w:val="000000"/>
          <w:szCs w:val="21"/>
        </w:rPr>
        <w:t>）数量：</w:t>
      </w:r>
      <w:r>
        <w:rPr>
          <w:color w:val="000000"/>
          <w:szCs w:val="21"/>
        </w:rPr>
        <w:t>1</w:t>
      </w:r>
      <w:r>
        <w:rPr>
          <w:color w:val="000000"/>
          <w:szCs w:val="21"/>
        </w:rPr>
        <w:t>；</w:t>
      </w:r>
    </w:p>
    <w:p w:rsidR="005C671B" w:rsidRPr="00B27A29" w:rsidRDefault="005C671B" w:rsidP="005C671B">
      <w:pPr>
        <w:spacing w:line="360" w:lineRule="auto"/>
        <w:ind w:firstLineChars="200" w:firstLine="420"/>
        <w:rPr>
          <w:rFonts w:eastAsiaTheme="minorEastAsia"/>
          <w:color w:val="000000"/>
          <w:szCs w:val="21"/>
        </w:rPr>
      </w:pPr>
      <w:r w:rsidRPr="00B27A29">
        <w:rPr>
          <w:color w:val="000000"/>
          <w:szCs w:val="21"/>
        </w:rPr>
        <w:t>3</w:t>
      </w:r>
      <w:r w:rsidRPr="00B27A29">
        <w:rPr>
          <w:color w:val="000000"/>
          <w:szCs w:val="21"/>
        </w:rPr>
        <w:t>）离任时间：</w:t>
      </w:r>
      <w:r w:rsidRPr="00B27A29">
        <w:rPr>
          <w:color w:val="000000"/>
          <w:szCs w:val="21"/>
        </w:rPr>
        <w:t>2024</w:t>
      </w:r>
      <w:r w:rsidRPr="00B27A29">
        <w:rPr>
          <w:color w:val="000000"/>
          <w:szCs w:val="21"/>
        </w:rPr>
        <w:t>年</w:t>
      </w:r>
      <w:r w:rsidRPr="00B27A29">
        <w:rPr>
          <w:color w:val="000000"/>
          <w:szCs w:val="21"/>
        </w:rPr>
        <w:t>8</w:t>
      </w:r>
      <w:r w:rsidRPr="00B27A29">
        <w:rPr>
          <w:color w:val="000000"/>
          <w:szCs w:val="21"/>
        </w:rPr>
        <w:t>月</w:t>
      </w:r>
      <w:r w:rsidRPr="00B27A29">
        <w:rPr>
          <w:color w:val="000000"/>
          <w:szCs w:val="21"/>
        </w:rPr>
        <w:t>15</w:t>
      </w:r>
      <w:r w:rsidRPr="00B27A29">
        <w:rPr>
          <w:color w:val="000000"/>
          <w:szCs w:val="21"/>
        </w:rPr>
        <w:t>日</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变化很大。在季度内的大部分时间，市场各指数都呈单边下跌。二季度的反弹之后，宏观数据在三季度持续弱势，居民消费、企业运行，以及政策支持力度均偏弱，市场缺乏增量资金。但在季度的最后一周，市场的运行得到彻底改变，开始大幅反弹上扬。国家对经济体现出了强力支持的态势，在流动性投放，房地产政策、对资本市场的表态均体现出了极大的支持力度。</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我们的持仓保持均衡，继续重视</w:t>
      </w:r>
      <w:r>
        <w:rPr>
          <w:rFonts w:eastAsiaTheme="minorEastAsia"/>
          <w:color w:val="000000" w:themeColor="text1"/>
          <w:szCs w:val="21"/>
        </w:rPr>
        <w:t>红利和科技行业，同时加仓了部分高质量、具备全球竞争力的上市公司。但在季度最后一周由于仓位提升不够，反弹力度不够。</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对市场的看法应走出熊市思维。在强力的政策支持下，市场短期大幅反弹。但由于宏观经济仍然较弱，我们认为更多实质性的支持政策还在路上。更重要的是，这次多项政策同时出台，缓解了部分对于中长期结构问题的担忧。我们是世界上最有能力和活力的经济体之一，走在正确的市场经济发展道路上，拥有一批世界级的高质量企业，不少仍在快速增长，并具备较低的估值。这些企业是我们未来投资收益的持续来源。</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本报告期摩根整合驱动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:3.10%</w:t>
      </w:r>
      <w:r>
        <w:rPr>
          <w:rFonts w:eastAsiaTheme="minorEastAsia"/>
          <w:color w:val="000000" w:themeColor="text1"/>
          <w:szCs w:val="21"/>
        </w:rPr>
        <w:t>，同期业绩比较基准收益率为</w:t>
      </w:r>
      <w:r>
        <w:rPr>
          <w:rFonts w:eastAsiaTheme="minorEastAsia"/>
          <w:color w:val="000000" w:themeColor="text1"/>
          <w:szCs w:val="21"/>
        </w:rPr>
        <w:t>:9.84%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摩根整合驱动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:2.99%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:9.84%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192,877,162.88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88.44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192,877,162.88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88.44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25,055,495.79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152,897.82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218,085,556.49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2,001,330.00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0.92</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130,386,215.15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25,741,934.92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4,664,863.00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9,119,208.00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19,811,363.61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1,152,248.20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192,877,162.88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88.74</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0661D">
        <w:tc>
          <w:tcPr>
            <w:tcW w:w="817" w:type="dxa"/>
            <w:vAlign w:val="center"/>
          </w:tcPr>
          <w:p w:rsidR="0080661D" w:rsidRDefault="00F60277">
            <w:pPr>
              <w:jc w:val="center"/>
            </w:pPr>
            <w:r>
              <w:rPr>
                <w:rFonts w:eastAsiaTheme="minorEastAsia"/>
                <w:kern w:val="0"/>
                <w:szCs w:val="21"/>
              </w:rPr>
              <w:t>1</w:t>
            </w:r>
          </w:p>
        </w:tc>
        <w:tc>
          <w:tcPr>
            <w:tcW w:w="1276" w:type="dxa"/>
            <w:vAlign w:val="center"/>
          </w:tcPr>
          <w:p w:rsidR="0080661D" w:rsidRDefault="00F60277">
            <w:pPr>
              <w:jc w:val="center"/>
            </w:pPr>
            <w:r>
              <w:rPr>
                <w:rFonts w:eastAsiaTheme="minorEastAsia"/>
                <w:kern w:val="0"/>
                <w:szCs w:val="21"/>
              </w:rPr>
              <w:t>300750</w:t>
            </w:r>
          </w:p>
        </w:tc>
        <w:tc>
          <w:tcPr>
            <w:tcW w:w="1701" w:type="dxa"/>
            <w:vAlign w:val="center"/>
          </w:tcPr>
          <w:p w:rsidR="0080661D" w:rsidRDefault="00F60277">
            <w:pPr>
              <w:jc w:val="center"/>
            </w:pPr>
            <w:r>
              <w:rPr>
                <w:rFonts w:eastAsiaTheme="minorEastAsia"/>
                <w:kern w:val="0"/>
                <w:szCs w:val="21"/>
              </w:rPr>
              <w:t>宁德时代</w:t>
            </w:r>
          </w:p>
        </w:tc>
        <w:tc>
          <w:tcPr>
            <w:tcW w:w="1276" w:type="dxa"/>
            <w:vAlign w:val="center"/>
          </w:tcPr>
          <w:p w:rsidR="0080661D" w:rsidRDefault="00F60277">
            <w:pPr>
              <w:jc w:val="right"/>
            </w:pPr>
            <w:r>
              <w:rPr>
                <w:rFonts w:eastAsiaTheme="minorEastAsia"/>
                <w:kern w:val="0"/>
                <w:szCs w:val="21"/>
              </w:rPr>
              <w:t>48,108.00</w:t>
            </w:r>
          </w:p>
        </w:tc>
        <w:tc>
          <w:tcPr>
            <w:tcW w:w="1842" w:type="dxa"/>
            <w:vAlign w:val="center"/>
          </w:tcPr>
          <w:p w:rsidR="0080661D" w:rsidRDefault="00F60277">
            <w:pPr>
              <w:jc w:val="right"/>
            </w:pPr>
            <w:r>
              <w:rPr>
                <w:rFonts w:eastAsiaTheme="minorEastAsia"/>
                <w:kern w:val="0"/>
                <w:szCs w:val="21"/>
              </w:rPr>
              <w:t>12,117,924.12</w:t>
            </w:r>
          </w:p>
        </w:tc>
        <w:tc>
          <w:tcPr>
            <w:tcW w:w="1616" w:type="dxa"/>
            <w:vAlign w:val="center"/>
          </w:tcPr>
          <w:p w:rsidR="0080661D" w:rsidRDefault="00F60277">
            <w:pPr>
              <w:jc w:val="right"/>
            </w:pPr>
            <w:r>
              <w:rPr>
                <w:rFonts w:eastAsiaTheme="minorEastAsia"/>
                <w:kern w:val="0"/>
                <w:szCs w:val="21"/>
              </w:rPr>
              <w:t>5.58</w:t>
            </w:r>
          </w:p>
        </w:tc>
      </w:tr>
      <w:tr w:rsidR="0080661D">
        <w:tc>
          <w:tcPr>
            <w:tcW w:w="817" w:type="dxa"/>
            <w:vAlign w:val="center"/>
          </w:tcPr>
          <w:p w:rsidR="0080661D" w:rsidRDefault="00F60277">
            <w:pPr>
              <w:jc w:val="center"/>
            </w:pPr>
            <w:r>
              <w:rPr>
                <w:rFonts w:eastAsiaTheme="minorEastAsia"/>
                <w:kern w:val="0"/>
                <w:szCs w:val="21"/>
              </w:rPr>
              <w:t>2</w:t>
            </w:r>
          </w:p>
        </w:tc>
        <w:tc>
          <w:tcPr>
            <w:tcW w:w="1276" w:type="dxa"/>
            <w:vAlign w:val="center"/>
          </w:tcPr>
          <w:p w:rsidR="0080661D" w:rsidRDefault="00F60277">
            <w:pPr>
              <w:jc w:val="center"/>
            </w:pPr>
            <w:r>
              <w:rPr>
                <w:rFonts w:eastAsiaTheme="minorEastAsia"/>
                <w:kern w:val="0"/>
                <w:szCs w:val="21"/>
              </w:rPr>
              <w:t>002594</w:t>
            </w:r>
          </w:p>
        </w:tc>
        <w:tc>
          <w:tcPr>
            <w:tcW w:w="1701" w:type="dxa"/>
            <w:vAlign w:val="center"/>
          </w:tcPr>
          <w:p w:rsidR="0080661D" w:rsidRDefault="00F60277">
            <w:pPr>
              <w:jc w:val="center"/>
            </w:pPr>
            <w:r>
              <w:rPr>
                <w:rFonts w:eastAsiaTheme="minorEastAsia"/>
                <w:kern w:val="0"/>
                <w:szCs w:val="21"/>
              </w:rPr>
              <w:t>比亚迪</w:t>
            </w:r>
          </w:p>
        </w:tc>
        <w:tc>
          <w:tcPr>
            <w:tcW w:w="1276" w:type="dxa"/>
            <w:vAlign w:val="center"/>
          </w:tcPr>
          <w:p w:rsidR="0080661D" w:rsidRDefault="00F60277">
            <w:pPr>
              <w:jc w:val="right"/>
            </w:pPr>
            <w:r>
              <w:rPr>
                <w:rFonts w:eastAsiaTheme="minorEastAsia"/>
                <w:kern w:val="0"/>
                <w:szCs w:val="21"/>
              </w:rPr>
              <w:t>38,300.00</w:t>
            </w:r>
          </w:p>
        </w:tc>
        <w:tc>
          <w:tcPr>
            <w:tcW w:w="1842" w:type="dxa"/>
            <w:vAlign w:val="center"/>
          </w:tcPr>
          <w:p w:rsidR="0080661D" w:rsidRDefault="00F60277">
            <w:pPr>
              <w:jc w:val="right"/>
            </w:pPr>
            <w:r>
              <w:rPr>
                <w:rFonts w:eastAsiaTheme="minorEastAsia"/>
                <w:kern w:val="0"/>
                <w:szCs w:val="21"/>
              </w:rPr>
              <w:t>11,769,973.00</w:t>
            </w:r>
          </w:p>
        </w:tc>
        <w:tc>
          <w:tcPr>
            <w:tcW w:w="1616" w:type="dxa"/>
            <w:vAlign w:val="center"/>
          </w:tcPr>
          <w:p w:rsidR="0080661D" w:rsidRDefault="00F60277">
            <w:pPr>
              <w:jc w:val="right"/>
            </w:pPr>
            <w:r>
              <w:rPr>
                <w:rFonts w:eastAsiaTheme="minorEastAsia"/>
                <w:kern w:val="0"/>
                <w:szCs w:val="21"/>
              </w:rPr>
              <w:t>5.41</w:t>
            </w:r>
          </w:p>
        </w:tc>
      </w:tr>
      <w:tr w:rsidR="0080661D">
        <w:tc>
          <w:tcPr>
            <w:tcW w:w="817" w:type="dxa"/>
            <w:vAlign w:val="center"/>
          </w:tcPr>
          <w:p w:rsidR="0080661D" w:rsidRDefault="00F60277">
            <w:pPr>
              <w:jc w:val="center"/>
            </w:pPr>
            <w:r>
              <w:rPr>
                <w:rFonts w:eastAsiaTheme="minorEastAsia"/>
                <w:kern w:val="0"/>
                <w:szCs w:val="21"/>
              </w:rPr>
              <w:t>3</w:t>
            </w:r>
          </w:p>
        </w:tc>
        <w:tc>
          <w:tcPr>
            <w:tcW w:w="1276" w:type="dxa"/>
            <w:vAlign w:val="center"/>
          </w:tcPr>
          <w:p w:rsidR="0080661D" w:rsidRDefault="00F60277">
            <w:pPr>
              <w:jc w:val="center"/>
            </w:pPr>
            <w:r>
              <w:rPr>
                <w:rFonts w:eastAsiaTheme="minorEastAsia"/>
                <w:kern w:val="0"/>
                <w:szCs w:val="21"/>
              </w:rPr>
              <w:t>002475</w:t>
            </w:r>
          </w:p>
        </w:tc>
        <w:tc>
          <w:tcPr>
            <w:tcW w:w="1701" w:type="dxa"/>
            <w:vAlign w:val="center"/>
          </w:tcPr>
          <w:p w:rsidR="0080661D" w:rsidRDefault="00F60277">
            <w:pPr>
              <w:jc w:val="center"/>
            </w:pPr>
            <w:r>
              <w:rPr>
                <w:rFonts w:eastAsiaTheme="minorEastAsia"/>
                <w:kern w:val="0"/>
                <w:szCs w:val="21"/>
              </w:rPr>
              <w:t>立讯精密</w:t>
            </w:r>
          </w:p>
        </w:tc>
        <w:tc>
          <w:tcPr>
            <w:tcW w:w="1276" w:type="dxa"/>
            <w:vAlign w:val="center"/>
          </w:tcPr>
          <w:p w:rsidR="0080661D" w:rsidRDefault="00F60277">
            <w:pPr>
              <w:jc w:val="right"/>
            </w:pPr>
            <w:r>
              <w:rPr>
                <w:rFonts w:eastAsiaTheme="minorEastAsia"/>
                <w:kern w:val="0"/>
                <w:szCs w:val="21"/>
              </w:rPr>
              <w:t>232,788.00</w:t>
            </w:r>
          </w:p>
        </w:tc>
        <w:tc>
          <w:tcPr>
            <w:tcW w:w="1842" w:type="dxa"/>
            <w:vAlign w:val="center"/>
          </w:tcPr>
          <w:p w:rsidR="0080661D" w:rsidRDefault="00F60277">
            <w:pPr>
              <w:jc w:val="right"/>
            </w:pPr>
            <w:r>
              <w:rPr>
                <w:rFonts w:eastAsiaTheme="minorEastAsia"/>
                <w:kern w:val="0"/>
                <w:szCs w:val="21"/>
              </w:rPr>
              <w:t>10,116,966.48</w:t>
            </w:r>
          </w:p>
        </w:tc>
        <w:tc>
          <w:tcPr>
            <w:tcW w:w="1616" w:type="dxa"/>
            <w:vAlign w:val="center"/>
          </w:tcPr>
          <w:p w:rsidR="0080661D" w:rsidRDefault="00F60277">
            <w:pPr>
              <w:jc w:val="right"/>
            </w:pPr>
            <w:r>
              <w:rPr>
                <w:rFonts w:eastAsiaTheme="minorEastAsia"/>
                <w:kern w:val="0"/>
                <w:szCs w:val="21"/>
              </w:rPr>
              <w:t>4.65</w:t>
            </w:r>
          </w:p>
        </w:tc>
      </w:tr>
      <w:tr w:rsidR="0080661D">
        <w:tc>
          <w:tcPr>
            <w:tcW w:w="817" w:type="dxa"/>
            <w:vAlign w:val="center"/>
          </w:tcPr>
          <w:p w:rsidR="0080661D" w:rsidRDefault="00F60277">
            <w:pPr>
              <w:jc w:val="center"/>
            </w:pPr>
            <w:r>
              <w:rPr>
                <w:rFonts w:eastAsiaTheme="minorEastAsia"/>
                <w:kern w:val="0"/>
                <w:szCs w:val="21"/>
              </w:rPr>
              <w:t>4</w:t>
            </w:r>
          </w:p>
        </w:tc>
        <w:tc>
          <w:tcPr>
            <w:tcW w:w="1276" w:type="dxa"/>
            <w:vAlign w:val="center"/>
          </w:tcPr>
          <w:p w:rsidR="0080661D" w:rsidRDefault="00F60277">
            <w:pPr>
              <w:jc w:val="center"/>
            </w:pPr>
            <w:r>
              <w:rPr>
                <w:rFonts w:eastAsiaTheme="minorEastAsia"/>
                <w:kern w:val="0"/>
                <w:szCs w:val="21"/>
              </w:rPr>
              <w:t>300308</w:t>
            </w:r>
          </w:p>
        </w:tc>
        <w:tc>
          <w:tcPr>
            <w:tcW w:w="1701" w:type="dxa"/>
            <w:vAlign w:val="center"/>
          </w:tcPr>
          <w:p w:rsidR="0080661D" w:rsidRDefault="00F60277">
            <w:pPr>
              <w:jc w:val="center"/>
            </w:pPr>
            <w:r>
              <w:rPr>
                <w:rFonts w:eastAsiaTheme="minorEastAsia"/>
                <w:kern w:val="0"/>
                <w:szCs w:val="21"/>
              </w:rPr>
              <w:t>中际旭创</w:t>
            </w:r>
          </w:p>
        </w:tc>
        <w:tc>
          <w:tcPr>
            <w:tcW w:w="1276" w:type="dxa"/>
            <w:vAlign w:val="center"/>
          </w:tcPr>
          <w:p w:rsidR="0080661D" w:rsidRDefault="00F60277">
            <w:pPr>
              <w:jc w:val="right"/>
            </w:pPr>
            <w:r>
              <w:rPr>
                <w:rFonts w:eastAsiaTheme="minorEastAsia"/>
                <w:kern w:val="0"/>
                <w:szCs w:val="21"/>
              </w:rPr>
              <w:t>48,497.00</w:t>
            </w:r>
          </w:p>
        </w:tc>
        <w:tc>
          <w:tcPr>
            <w:tcW w:w="1842" w:type="dxa"/>
            <w:vAlign w:val="center"/>
          </w:tcPr>
          <w:p w:rsidR="0080661D" w:rsidRDefault="00F60277">
            <w:pPr>
              <w:jc w:val="right"/>
            </w:pPr>
            <w:r>
              <w:rPr>
                <w:rFonts w:eastAsiaTheme="minorEastAsia"/>
                <w:kern w:val="0"/>
                <w:szCs w:val="21"/>
              </w:rPr>
              <w:t>7,510,245.42</w:t>
            </w:r>
          </w:p>
        </w:tc>
        <w:tc>
          <w:tcPr>
            <w:tcW w:w="1616" w:type="dxa"/>
            <w:vAlign w:val="center"/>
          </w:tcPr>
          <w:p w:rsidR="0080661D" w:rsidRDefault="00F60277">
            <w:pPr>
              <w:jc w:val="right"/>
            </w:pPr>
            <w:r>
              <w:rPr>
                <w:rFonts w:eastAsiaTheme="minorEastAsia"/>
                <w:kern w:val="0"/>
                <w:szCs w:val="21"/>
              </w:rPr>
              <w:t>3.46</w:t>
            </w:r>
          </w:p>
        </w:tc>
      </w:tr>
      <w:tr w:rsidR="0080661D">
        <w:tc>
          <w:tcPr>
            <w:tcW w:w="817" w:type="dxa"/>
            <w:vAlign w:val="center"/>
          </w:tcPr>
          <w:p w:rsidR="0080661D" w:rsidRDefault="00F60277">
            <w:pPr>
              <w:jc w:val="center"/>
            </w:pPr>
            <w:r>
              <w:rPr>
                <w:rFonts w:eastAsiaTheme="minorEastAsia"/>
                <w:kern w:val="0"/>
                <w:szCs w:val="21"/>
              </w:rPr>
              <w:t>5</w:t>
            </w:r>
          </w:p>
        </w:tc>
        <w:tc>
          <w:tcPr>
            <w:tcW w:w="1276" w:type="dxa"/>
            <w:vAlign w:val="center"/>
          </w:tcPr>
          <w:p w:rsidR="0080661D" w:rsidRDefault="00F60277">
            <w:pPr>
              <w:jc w:val="center"/>
            </w:pPr>
            <w:r>
              <w:rPr>
                <w:rFonts w:eastAsiaTheme="minorEastAsia"/>
                <w:kern w:val="0"/>
                <w:szCs w:val="21"/>
              </w:rPr>
              <w:t>300502</w:t>
            </w:r>
          </w:p>
        </w:tc>
        <w:tc>
          <w:tcPr>
            <w:tcW w:w="1701" w:type="dxa"/>
            <w:vAlign w:val="center"/>
          </w:tcPr>
          <w:p w:rsidR="0080661D" w:rsidRDefault="00F60277">
            <w:pPr>
              <w:jc w:val="center"/>
            </w:pPr>
            <w:r>
              <w:rPr>
                <w:rFonts w:eastAsiaTheme="minorEastAsia"/>
                <w:kern w:val="0"/>
                <w:szCs w:val="21"/>
              </w:rPr>
              <w:t>新易盛</w:t>
            </w:r>
          </w:p>
        </w:tc>
        <w:tc>
          <w:tcPr>
            <w:tcW w:w="1276" w:type="dxa"/>
            <w:vAlign w:val="center"/>
          </w:tcPr>
          <w:p w:rsidR="0080661D" w:rsidRDefault="00F60277">
            <w:pPr>
              <w:jc w:val="right"/>
            </w:pPr>
            <w:r>
              <w:rPr>
                <w:rFonts w:eastAsiaTheme="minorEastAsia"/>
                <w:kern w:val="0"/>
                <w:szCs w:val="21"/>
              </w:rPr>
              <w:t>55,564.00</w:t>
            </w:r>
          </w:p>
        </w:tc>
        <w:tc>
          <w:tcPr>
            <w:tcW w:w="1842" w:type="dxa"/>
            <w:vAlign w:val="center"/>
          </w:tcPr>
          <w:p w:rsidR="0080661D" w:rsidRDefault="00F60277">
            <w:pPr>
              <w:jc w:val="right"/>
            </w:pPr>
            <w:r>
              <w:rPr>
                <w:rFonts w:eastAsiaTheme="minorEastAsia"/>
                <w:kern w:val="0"/>
                <w:szCs w:val="21"/>
              </w:rPr>
              <w:t>7,221,653.08</w:t>
            </w:r>
          </w:p>
        </w:tc>
        <w:tc>
          <w:tcPr>
            <w:tcW w:w="1616" w:type="dxa"/>
            <w:vAlign w:val="center"/>
          </w:tcPr>
          <w:p w:rsidR="0080661D" w:rsidRDefault="00F60277">
            <w:pPr>
              <w:jc w:val="right"/>
            </w:pPr>
            <w:r>
              <w:rPr>
                <w:rFonts w:eastAsiaTheme="minorEastAsia"/>
                <w:kern w:val="0"/>
                <w:szCs w:val="21"/>
              </w:rPr>
              <w:t>3.32</w:t>
            </w:r>
          </w:p>
        </w:tc>
      </w:tr>
      <w:tr w:rsidR="0080661D">
        <w:tc>
          <w:tcPr>
            <w:tcW w:w="817" w:type="dxa"/>
            <w:vAlign w:val="center"/>
          </w:tcPr>
          <w:p w:rsidR="0080661D" w:rsidRDefault="00F60277">
            <w:pPr>
              <w:jc w:val="center"/>
            </w:pPr>
            <w:r>
              <w:rPr>
                <w:rFonts w:eastAsiaTheme="minorEastAsia"/>
                <w:kern w:val="0"/>
                <w:szCs w:val="21"/>
              </w:rPr>
              <w:t>6</w:t>
            </w:r>
          </w:p>
        </w:tc>
        <w:tc>
          <w:tcPr>
            <w:tcW w:w="1276" w:type="dxa"/>
            <w:vAlign w:val="center"/>
          </w:tcPr>
          <w:p w:rsidR="0080661D" w:rsidRDefault="00F60277">
            <w:pPr>
              <w:jc w:val="center"/>
            </w:pPr>
            <w:r>
              <w:rPr>
                <w:rFonts w:eastAsiaTheme="minorEastAsia"/>
                <w:kern w:val="0"/>
                <w:szCs w:val="21"/>
              </w:rPr>
              <w:t>600031</w:t>
            </w:r>
          </w:p>
        </w:tc>
        <w:tc>
          <w:tcPr>
            <w:tcW w:w="1701" w:type="dxa"/>
            <w:vAlign w:val="center"/>
          </w:tcPr>
          <w:p w:rsidR="0080661D" w:rsidRDefault="00F60277">
            <w:pPr>
              <w:jc w:val="center"/>
            </w:pPr>
            <w:r>
              <w:rPr>
                <w:rFonts w:eastAsiaTheme="minorEastAsia"/>
                <w:kern w:val="0"/>
                <w:szCs w:val="21"/>
              </w:rPr>
              <w:t>三一重工</w:t>
            </w:r>
          </w:p>
        </w:tc>
        <w:tc>
          <w:tcPr>
            <w:tcW w:w="1276" w:type="dxa"/>
            <w:vAlign w:val="center"/>
          </w:tcPr>
          <w:p w:rsidR="0080661D" w:rsidRDefault="00F60277">
            <w:pPr>
              <w:jc w:val="right"/>
            </w:pPr>
            <w:r>
              <w:rPr>
                <w:rFonts w:eastAsiaTheme="minorEastAsia"/>
                <w:kern w:val="0"/>
                <w:szCs w:val="21"/>
              </w:rPr>
              <w:t>357,800.00</w:t>
            </w:r>
          </w:p>
        </w:tc>
        <w:tc>
          <w:tcPr>
            <w:tcW w:w="1842" w:type="dxa"/>
            <w:vAlign w:val="center"/>
          </w:tcPr>
          <w:p w:rsidR="0080661D" w:rsidRDefault="00F60277">
            <w:pPr>
              <w:jc w:val="right"/>
            </w:pPr>
            <w:r>
              <w:rPr>
                <w:rFonts w:eastAsiaTheme="minorEastAsia"/>
                <w:kern w:val="0"/>
                <w:szCs w:val="21"/>
              </w:rPr>
              <w:t>6,755,264.00</w:t>
            </w:r>
          </w:p>
        </w:tc>
        <w:tc>
          <w:tcPr>
            <w:tcW w:w="1616" w:type="dxa"/>
            <w:vAlign w:val="center"/>
          </w:tcPr>
          <w:p w:rsidR="0080661D" w:rsidRDefault="00F60277">
            <w:pPr>
              <w:jc w:val="right"/>
            </w:pPr>
            <w:r>
              <w:rPr>
                <w:rFonts w:eastAsiaTheme="minorEastAsia"/>
                <w:kern w:val="0"/>
                <w:szCs w:val="21"/>
              </w:rPr>
              <w:t>3.11</w:t>
            </w:r>
          </w:p>
        </w:tc>
      </w:tr>
      <w:tr w:rsidR="0080661D">
        <w:tc>
          <w:tcPr>
            <w:tcW w:w="817" w:type="dxa"/>
            <w:vAlign w:val="center"/>
          </w:tcPr>
          <w:p w:rsidR="0080661D" w:rsidRDefault="00F60277">
            <w:pPr>
              <w:jc w:val="center"/>
            </w:pPr>
            <w:r>
              <w:rPr>
                <w:rFonts w:eastAsiaTheme="minorEastAsia"/>
                <w:kern w:val="0"/>
                <w:szCs w:val="21"/>
              </w:rPr>
              <w:t>7</w:t>
            </w:r>
          </w:p>
        </w:tc>
        <w:tc>
          <w:tcPr>
            <w:tcW w:w="1276" w:type="dxa"/>
            <w:vAlign w:val="center"/>
          </w:tcPr>
          <w:p w:rsidR="0080661D" w:rsidRDefault="00F60277">
            <w:pPr>
              <w:jc w:val="center"/>
            </w:pPr>
            <w:r>
              <w:rPr>
                <w:rFonts w:eastAsiaTheme="minorEastAsia"/>
                <w:kern w:val="0"/>
                <w:szCs w:val="21"/>
              </w:rPr>
              <w:t>600276</w:t>
            </w:r>
          </w:p>
        </w:tc>
        <w:tc>
          <w:tcPr>
            <w:tcW w:w="1701" w:type="dxa"/>
            <w:vAlign w:val="center"/>
          </w:tcPr>
          <w:p w:rsidR="0080661D" w:rsidRDefault="00F60277">
            <w:pPr>
              <w:jc w:val="center"/>
            </w:pPr>
            <w:r>
              <w:rPr>
                <w:rFonts w:eastAsiaTheme="minorEastAsia"/>
                <w:kern w:val="0"/>
                <w:szCs w:val="21"/>
              </w:rPr>
              <w:t>恒瑞医药</w:t>
            </w:r>
          </w:p>
        </w:tc>
        <w:tc>
          <w:tcPr>
            <w:tcW w:w="1276" w:type="dxa"/>
            <w:vAlign w:val="center"/>
          </w:tcPr>
          <w:p w:rsidR="0080661D" w:rsidRDefault="00F60277">
            <w:pPr>
              <w:jc w:val="right"/>
            </w:pPr>
            <w:r>
              <w:rPr>
                <w:rFonts w:eastAsiaTheme="minorEastAsia"/>
                <w:kern w:val="0"/>
                <w:szCs w:val="21"/>
              </w:rPr>
              <w:t>123,800.00</w:t>
            </w:r>
          </w:p>
        </w:tc>
        <w:tc>
          <w:tcPr>
            <w:tcW w:w="1842" w:type="dxa"/>
            <w:vAlign w:val="center"/>
          </w:tcPr>
          <w:p w:rsidR="0080661D" w:rsidRDefault="00F60277">
            <w:pPr>
              <w:jc w:val="right"/>
            </w:pPr>
            <w:r>
              <w:rPr>
                <w:rFonts w:eastAsiaTheme="minorEastAsia"/>
                <w:kern w:val="0"/>
                <w:szCs w:val="21"/>
              </w:rPr>
              <w:t>6,474,740.00</w:t>
            </w:r>
          </w:p>
        </w:tc>
        <w:tc>
          <w:tcPr>
            <w:tcW w:w="1616" w:type="dxa"/>
            <w:vAlign w:val="center"/>
          </w:tcPr>
          <w:p w:rsidR="0080661D" w:rsidRDefault="00F60277">
            <w:pPr>
              <w:jc w:val="right"/>
            </w:pPr>
            <w:r>
              <w:rPr>
                <w:rFonts w:eastAsiaTheme="minorEastAsia"/>
                <w:kern w:val="0"/>
                <w:szCs w:val="21"/>
              </w:rPr>
              <w:t>2.98</w:t>
            </w:r>
          </w:p>
        </w:tc>
      </w:tr>
      <w:tr w:rsidR="0080661D">
        <w:tc>
          <w:tcPr>
            <w:tcW w:w="817" w:type="dxa"/>
            <w:vAlign w:val="center"/>
          </w:tcPr>
          <w:p w:rsidR="0080661D" w:rsidRDefault="00F60277">
            <w:pPr>
              <w:jc w:val="center"/>
            </w:pPr>
            <w:r>
              <w:rPr>
                <w:rFonts w:eastAsiaTheme="minorEastAsia"/>
                <w:kern w:val="0"/>
                <w:szCs w:val="21"/>
              </w:rPr>
              <w:t>8</w:t>
            </w:r>
          </w:p>
        </w:tc>
        <w:tc>
          <w:tcPr>
            <w:tcW w:w="1276" w:type="dxa"/>
            <w:vAlign w:val="center"/>
          </w:tcPr>
          <w:p w:rsidR="0080661D" w:rsidRDefault="00F60277">
            <w:pPr>
              <w:jc w:val="center"/>
            </w:pPr>
            <w:r>
              <w:rPr>
                <w:rFonts w:eastAsiaTheme="minorEastAsia"/>
                <w:kern w:val="0"/>
                <w:szCs w:val="21"/>
              </w:rPr>
              <w:t>688169</w:t>
            </w:r>
          </w:p>
        </w:tc>
        <w:tc>
          <w:tcPr>
            <w:tcW w:w="1701" w:type="dxa"/>
            <w:vAlign w:val="center"/>
          </w:tcPr>
          <w:p w:rsidR="0080661D" w:rsidRDefault="00F60277">
            <w:pPr>
              <w:jc w:val="center"/>
            </w:pPr>
            <w:r>
              <w:rPr>
                <w:rFonts w:eastAsiaTheme="minorEastAsia"/>
                <w:kern w:val="0"/>
                <w:szCs w:val="21"/>
              </w:rPr>
              <w:t>石头科技</w:t>
            </w:r>
          </w:p>
        </w:tc>
        <w:tc>
          <w:tcPr>
            <w:tcW w:w="1276" w:type="dxa"/>
            <w:vAlign w:val="center"/>
          </w:tcPr>
          <w:p w:rsidR="0080661D" w:rsidRDefault="00F60277">
            <w:pPr>
              <w:jc w:val="right"/>
            </w:pPr>
            <w:r>
              <w:rPr>
                <w:rFonts w:eastAsiaTheme="minorEastAsia"/>
                <w:kern w:val="0"/>
                <w:szCs w:val="21"/>
              </w:rPr>
              <w:t>22,089.00</w:t>
            </w:r>
          </w:p>
        </w:tc>
        <w:tc>
          <w:tcPr>
            <w:tcW w:w="1842" w:type="dxa"/>
            <w:vAlign w:val="center"/>
          </w:tcPr>
          <w:p w:rsidR="0080661D" w:rsidRDefault="00F60277">
            <w:pPr>
              <w:jc w:val="right"/>
            </w:pPr>
            <w:r>
              <w:rPr>
                <w:rFonts w:eastAsiaTheme="minorEastAsia"/>
                <w:kern w:val="0"/>
                <w:szCs w:val="21"/>
              </w:rPr>
              <w:t>6,138,974.88</w:t>
            </w:r>
          </w:p>
        </w:tc>
        <w:tc>
          <w:tcPr>
            <w:tcW w:w="1616" w:type="dxa"/>
            <w:vAlign w:val="center"/>
          </w:tcPr>
          <w:p w:rsidR="0080661D" w:rsidRDefault="00F60277">
            <w:pPr>
              <w:jc w:val="right"/>
            </w:pPr>
            <w:r>
              <w:rPr>
                <w:rFonts w:eastAsiaTheme="minorEastAsia"/>
                <w:kern w:val="0"/>
                <w:szCs w:val="21"/>
              </w:rPr>
              <w:t>2.82</w:t>
            </w:r>
          </w:p>
        </w:tc>
      </w:tr>
      <w:tr w:rsidR="0080661D">
        <w:tc>
          <w:tcPr>
            <w:tcW w:w="817" w:type="dxa"/>
            <w:vAlign w:val="center"/>
          </w:tcPr>
          <w:p w:rsidR="0080661D" w:rsidRDefault="00F60277">
            <w:pPr>
              <w:jc w:val="center"/>
            </w:pPr>
            <w:r>
              <w:rPr>
                <w:rFonts w:eastAsiaTheme="minorEastAsia"/>
                <w:kern w:val="0"/>
                <w:szCs w:val="21"/>
              </w:rPr>
              <w:t>9</w:t>
            </w:r>
          </w:p>
        </w:tc>
        <w:tc>
          <w:tcPr>
            <w:tcW w:w="1276" w:type="dxa"/>
            <w:vAlign w:val="center"/>
          </w:tcPr>
          <w:p w:rsidR="0080661D" w:rsidRDefault="00F60277">
            <w:pPr>
              <w:jc w:val="center"/>
            </w:pPr>
            <w:r>
              <w:rPr>
                <w:rFonts w:eastAsiaTheme="minorEastAsia"/>
                <w:kern w:val="0"/>
                <w:szCs w:val="21"/>
              </w:rPr>
              <w:t>600900</w:t>
            </w:r>
          </w:p>
        </w:tc>
        <w:tc>
          <w:tcPr>
            <w:tcW w:w="1701" w:type="dxa"/>
            <w:vAlign w:val="center"/>
          </w:tcPr>
          <w:p w:rsidR="0080661D" w:rsidRDefault="00F60277">
            <w:pPr>
              <w:jc w:val="center"/>
            </w:pPr>
            <w:r>
              <w:rPr>
                <w:rFonts w:eastAsiaTheme="minorEastAsia"/>
                <w:kern w:val="0"/>
                <w:szCs w:val="21"/>
              </w:rPr>
              <w:t>长江电力</w:t>
            </w:r>
          </w:p>
        </w:tc>
        <w:tc>
          <w:tcPr>
            <w:tcW w:w="1276" w:type="dxa"/>
            <w:vAlign w:val="center"/>
          </w:tcPr>
          <w:p w:rsidR="0080661D" w:rsidRDefault="00F60277">
            <w:pPr>
              <w:jc w:val="right"/>
            </w:pPr>
            <w:r>
              <w:rPr>
                <w:rFonts w:eastAsiaTheme="minorEastAsia"/>
                <w:kern w:val="0"/>
                <w:szCs w:val="21"/>
              </w:rPr>
              <w:t>203,800.00</w:t>
            </w:r>
          </w:p>
        </w:tc>
        <w:tc>
          <w:tcPr>
            <w:tcW w:w="1842" w:type="dxa"/>
            <w:vAlign w:val="center"/>
          </w:tcPr>
          <w:p w:rsidR="0080661D" w:rsidRDefault="00F60277">
            <w:pPr>
              <w:jc w:val="right"/>
            </w:pPr>
            <w:r>
              <w:rPr>
                <w:rFonts w:eastAsiaTheme="minorEastAsia"/>
                <w:kern w:val="0"/>
                <w:szCs w:val="21"/>
              </w:rPr>
              <w:t>6,124,190.00</w:t>
            </w:r>
          </w:p>
        </w:tc>
        <w:tc>
          <w:tcPr>
            <w:tcW w:w="1616" w:type="dxa"/>
            <w:vAlign w:val="center"/>
          </w:tcPr>
          <w:p w:rsidR="0080661D" w:rsidRDefault="00F60277">
            <w:pPr>
              <w:jc w:val="right"/>
            </w:pPr>
            <w:r>
              <w:rPr>
                <w:rFonts w:eastAsiaTheme="minorEastAsia"/>
                <w:kern w:val="0"/>
                <w:szCs w:val="21"/>
              </w:rPr>
              <w:t>2.82</w:t>
            </w:r>
          </w:p>
        </w:tc>
      </w:tr>
      <w:tr w:rsidR="0080661D">
        <w:tc>
          <w:tcPr>
            <w:tcW w:w="817" w:type="dxa"/>
            <w:vAlign w:val="center"/>
          </w:tcPr>
          <w:p w:rsidR="0080661D" w:rsidRDefault="00F60277">
            <w:pPr>
              <w:jc w:val="center"/>
            </w:pPr>
            <w:r>
              <w:rPr>
                <w:rFonts w:eastAsiaTheme="minorEastAsia"/>
                <w:kern w:val="0"/>
                <w:szCs w:val="21"/>
              </w:rPr>
              <w:t>10</w:t>
            </w:r>
          </w:p>
        </w:tc>
        <w:tc>
          <w:tcPr>
            <w:tcW w:w="1276" w:type="dxa"/>
            <w:vAlign w:val="center"/>
          </w:tcPr>
          <w:p w:rsidR="0080661D" w:rsidRDefault="00F60277">
            <w:pPr>
              <w:jc w:val="center"/>
            </w:pPr>
            <w:r>
              <w:rPr>
                <w:rFonts w:eastAsiaTheme="minorEastAsia"/>
                <w:kern w:val="0"/>
                <w:szCs w:val="21"/>
              </w:rPr>
              <w:t>600000</w:t>
            </w:r>
          </w:p>
        </w:tc>
        <w:tc>
          <w:tcPr>
            <w:tcW w:w="1701" w:type="dxa"/>
            <w:vAlign w:val="center"/>
          </w:tcPr>
          <w:p w:rsidR="0080661D" w:rsidRDefault="00F60277">
            <w:pPr>
              <w:jc w:val="center"/>
            </w:pPr>
            <w:r>
              <w:rPr>
                <w:rFonts w:eastAsiaTheme="minorEastAsia"/>
                <w:kern w:val="0"/>
                <w:szCs w:val="21"/>
              </w:rPr>
              <w:t>浦发银行</w:t>
            </w:r>
          </w:p>
        </w:tc>
        <w:tc>
          <w:tcPr>
            <w:tcW w:w="1276" w:type="dxa"/>
            <w:vAlign w:val="center"/>
          </w:tcPr>
          <w:p w:rsidR="0080661D" w:rsidRDefault="00F60277">
            <w:pPr>
              <w:jc w:val="right"/>
            </w:pPr>
            <w:r>
              <w:rPr>
                <w:rFonts w:eastAsiaTheme="minorEastAsia"/>
                <w:kern w:val="0"/>
                <w:szCs w:val="21"/>
              </w:rPr>
              <w:t>585,400.00</w:t>
            </w:r>
          </w:p>
        </w:tc>
        <w:tc>
          <w:tcPr>
            <w:tcW w:w="1842" w:type="dxa"/>
            <w:vAlign w:val="center"/>
          </w:tcPr>
          <w:p w:rsidR="0080661D" w:rsidRDefault="00F60277">
            <w:pPr>
              <w:jc w:val="right"/>
            </w:pPr>
            <w:r>
              <w:rPr>
                <w:rFonts w:eastAsiaTheme="minorEastAsia"/>
                <w:kern w:val="0"/>
                <w:szCs w:val="21"/>
              </w:rPr>
              <w:t>5,930,102.00</w:t>
            </w:r>
          </w:p>
        </w:tc>
        <w:tc>
          <w:tcPr>
            <w:tcW w:w="1616" w:type="dxa"/>
            <w:vAlign w:val="center"/>
          </w:tcPr>
          <w:p w:rsidR="0080661D" w:rsidRDefault="00F60277">
            <w:pPr>
              <w:jc w:val="right"/>
            </w:pPr>
            <w:r>
              <w:rPr>
                <w:rFonts w:eastAsiaTheme="minorEastAsia"/>
                <w:kern w:val="0"/>
                <w:szCs w:val="21"/>
              </w:rPr>
              <w:t>2.73</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农业银行股份有限公司在报告编制日前一年内曾受到国家外汇管理局北京市分局、国家金融监督管理总局的处罚。本基金对上述主体所发行证券的投资决策程序符合相关法律法规、基金合同及公司投资制度的要求。</w:t>
      </w:r>
    </w:p>
    <w:p w:rsidR="0080661D" w:rsidRDefault="00F60277">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100,482.56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52,415.26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152,897.82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536,897,438.73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1,258,524.37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2,511,205.30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1,484,596.18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9,636,863.16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1,646,132.03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529,771,780.87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1,096,988.52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416,059.62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w:t>
            </w:r>
            <w:r w:rsidRPr="00B27A29">
              <w:rPr>
                <w:color w:val="000000" w:themeColor="text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416,059.62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《摩根整合驱动灵活配置混合型证券投资基金基金合同》；</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《摩根整合驱动灵活配置混合型证券投资基金托管协议》；</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80661D" w:rsidRDefault="00F6027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6027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60277">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6027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摩根整合驱动灵活配置混合型证券投资基金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61D"/>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277"/>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B5444-0672-4E7A-A8E1-1C4EEF10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1141</Words>
  <Characters>6505</Characters>
  <Application>Microsoft Office Word</Application>
  <DocSecurity>0</DocSecurity>
  <Lines>54</Lines>
  <Paragraphs>15</Paragraphs>
  <ScaleCrop>false</ScaleCrop>
  <Company>TRT. Ltd. Co.</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2024-10-24T05:44:00Z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