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上投摩根动态多因子策略灵活配置混合型证券投资基金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年第</w:t>
      </w:r>
      <w:r w:rsidRPr="00FF6B9A">
        <w:rPr>
          <w:rFonts w:eastAsiaTheme="minorEastAsia"/>
          <w:b/>
          <w:color w:val="000000" w:themeColor="text1"/>
          <w:sz w:val="36"/>
          <w:szCs w:val="36"/>
        </w:rPr>
        <w:t>3</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w:t>
      </w:r>
      <w:r w:rsidRPr="00FF6B9A">
        <w:rPr>
          <w:rFonts w:eastAsiaTheme="minorEastAsia"/>
          <w:b/>
          <w:color w:val="000000" w:themeColor="text1"/>
          <w:sz w:val="36"/>
          <w:szCs w:val="36"/>
        </w:rPr>
        <w:t>9</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报告送出日期：二〇二二年十月二十六日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25</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上投摩根动态多因子混合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001219</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001219</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2015</w:t>
            </w:r>
            <w:r w:rsidRPr="00FF6B9A">
              <w:rPr>
                <w:rFonts w:eastAsiaTheme="minorEastAsia"/>
                <w:color w:val="000000" w:themeColor="text1"/>
                <w:kern w:val="0"/>
              </w:rPr>
              <w:t>年</w:t>
            </w:r>
            <w:r w:rsidRPr="00FF6B9A">
              <w:rPr>
                <w:rFonts w:eastAsiaTheme="minorEastAsia"/>
                <w:color w:val="000000" w:themeColor="text1"/>
                <w:kern w:val="0"/>
              </w:rPr>
              <w:t>6</w:t>
            </w:r>
            <w:r w:rsidRPr="00FF6B9A">
              <w:rPr>
                <w:rFonts w:eastAsiaTheme="minorEastAsia"/>
                <w:color w:val="000000" w:themeColor="text1"/>
                <w:kern w:val="0"/>
              </w:rPr>
              <w:t>月</w:t>
            </w:r>
            <w:r w:rsidRPr="00FF6B9A">
              <w:rPr>
                <w:rFonts w:eastAsiaTheme="minorEastAsia"/>
                <w:color w:val="000000" w:themeColor="text1"/>
                <w:kern w:val="0"/>
              </w:rPr>
              <w:t>2</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111,266,000.49</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在严格控制风险的基础上，采用量化投资对基金资产进行积极管理，力争获取超越业绩基准的投资收益。</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4C4C75" w:rsidRDefault="0000682B">
            <w:pPr>
              <w:adjustRightInd w:val="0"/>
              <w:spacing w:before="29" w:line="360" w:lineRule="auto"/>
              <w:ind w:left="17"/>
              <w:rPr>
                <w:rFonts w:eastAsiaTheme="minorEastAsia"/>
                <w:color w:val="000000" w:themeColor="text1"/>
              </w:rPr>
            </w:pPr>
            <w:r>
              <w:rPr>
                <w:rFonts w:eastAsiaTheme="minorEastAsia"/>
                <w:color w:val="000000" w:themeColor="text1"/>
                <w:kern w:val="0"/>
              </w:rPr>
              <w:t>本基金采用数量化选股模型驱动的选股策略进行个股选择，并结合适当的资产配置策略搭建基金投资组合。</w:t>
            </w:r>
          </w:p>
          <w:p w:rsidR="004C4C75" w:rsidRDefault="0000682B">
            <w:pPr>
              <w:adjustRightInd w:val="0"/>
              <w:spacing w:before="29" w:line="360" w:lineRule="auto"/>
              <w:ind w:left="17"/>
              <w:rPr>
                <w:rFonts w:eastAsiaTheme="minorEastAsia"/>
                <w:color w:val="000000" w:themeColor="text1"/>
              </w:rPr>
            </w:pPr>
            <w:r>
              <w:rPr>
                <w:rFonts w:eastAsiaTheme="minorEastAsia"/>
                <w:color w:val="000000" w:themeColor="text1"/>
                <w:kern w:val="0"/>
              </w:rPr>
              <w:t>在资产配置过程中，本基金将从多角度综合评估各个行业的投资价值，对基金资产在行业间分配进行安排，同时将采用多种数量化的投资方法控制净值大幅回撤风险，改善</w:t>
            </w:r>
            <w:r>
              <w:rPr>
                <w:rFonts w:eastAsiaTheme="minorEastAsia"/>
                <w:color w:val="000000" w:themeColor="text1"/>
                <w:kern w:val="0"/>
              </w:rPr>
              <w:lastRenderedPageBreak/>
              <w:t>投资组合的风险收益特征。</w:t>
            </w:r>
          </w:p>
          <w:p w:rsidR="004C4C75" w:rsidRDefault="0000682B">
            <w:pPr>
              <w:adjustRightInd w:val="0"/>
              <w:spacing w:before="29" w:line="360" w:lineRule="auto"/>
              <w:ind w:left="17"/>
              <w:rPr>
                <w:rFonts w:eastAsiaTheme="minorEastAsia"/>
                <w:color w:val="000000" w:themeColor="text1"/>
              </w:rPr>
            </w:pPr>
            <w:r>
              <w:rPr>
                <w:rFonts w:eastAsiaTheme="minorEastAsia"/>
                <w:color w:val="000000" w:themeColor="text1"/>
                <w:kern w:val="0"/>
              </w:rPr>
              <w:t>在股票投资过程中，本基金将保持通过动态多因子模型选股构建股票投资组合的投资策略，强调投资纪律、降低随意性投资带来的风险，力争实现基金资产的长期稳定增值。</w:t>
            </w:r>
          </w:p>
          <w:p w:rsidR="004C4C75" w:rsidRDefault="0000682B">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4C4C75" w:rsidRDefault="0000682B">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GDP</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增速、固定资产投资增速、净出口增速、通胀率、货币供应、利率等宏观指标的变化趋势，结合股票、债券等各类资产风险收益特征，确定合适的资产配置比例，动态优化投资组合。在资产配置过程中，本基金</w:t>
            </w:r>
            <w:r>
              <w:rPr>
                <w:rFonts w:eastAsiaTheme="minorEastAsia"/>
                <w:color w:val="000000" w:themeColor="text1"/>
                <w:kern w:val="0"/>
              </w:rPr>
              <w:t>将采用多种数量化的投资方法控制净值大幅回撤的风险，改善投资组合的风险收益特性。</w:t>
            </w:r>
          </w:p>
          <w:p w:rsidR="004C4C75" w:rsidRDefault="0000682B">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4C4C75" w:rsidRDefault="0000682B">
            <w:pPr>
              <w:adjustRightInd w:val="0"/>
              <w:spacing w:before="29" w:line="360" w:lineRule="auto"/>
              <w:ind w:left="17"/>
              <w:rPr>
                <w:rFonts w:eastAsiaTheme="minorEastAsia"/>
                <w:color w:val="000000" w:themeColor="text1"/>
              </w:rPr>
            </w:pPr>
            <w:r>
              <w:rPr>
                <w:rFonts w:eastAsiaTheme="minorEastAsia"/>
                <w:color w:val="000000" w:themeColor="text1"/>
                <w:kern w:val="0"/>
              </w:rPr>
              <w:t>通过基金管理人开发的动态多因子模型进行股票选择并据此构建股票投资组合。动态多因子模型在实际运行过程中将定期或不定期地进行修正，优化股票投资组合。</w:t>
            </w:r>
          </w:p>
          <w:p w:rsidR="004C4C75" w:rsidRDefault="0000682B">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、固定收益类投资策略</w:t>
            </w:r>
          </w:p>
          <w:p w:rsidR="004C4C75" w:rsidRDefault="0000682B">
            <w:pPr>
              <w:adjustRightInd w:val="0"/>
              <w:spacing w:before="29" w:line="360" w:lineRule="auto"/>
              <w:ind w:left="17"/>
              <w:rPr>
                <w:rFonts w:eastAsiaTheme="minorEastAsia"/>
                <w:color w:val="000000" w:themeColor="text1"/>
              </w:rPr>
            </w:pPr>
            <w:r>
              <w:rPr>
                <w:rFonts w:eastAsiaTheme="minorEastAsia"/>
                <w:color w:val="000000" w:themeColor="text1"/>
                <w:kern w:val="0"/>
              </w:rPr>
              <w:t>对于固定收益类资产的选择，本基金将以价值分析为主线，在综合研究的基础上实施积极主动的组合管理，并主要通过类属配置与债券选择两个层次进行投资管理。</w:t>
            </w:r>
          </w:p>
          <w:p w:rsidR="004C4C75" w:rsidRDefault="0000682B">
            <w:pPr>
              <w:adjustRightInd w:val="0"/>
              <w:spacing w:before="29" w:line="360" w:lineRule="auto"/>
              <w:ind w:left="17"/>
              <w:rPr>
                <w:rFonts w:eastAsiaTheme="minorEastAsia"/>
                <w:color w:val="000000" w:themeColor="text1"/>
              </w:rPr>
            </w:pPr>
            <w:r>
              <w:rPr>
                <w:rFonts w:eastAsiaTheme="minorEastAsia"/>
                <w:color w:val="000000" w:themeColor="text1"/>
                <w:kern w:val="0"/>
              </w:rPr>
              <w:t>在类属配置层次，结合对宏观经济、市场利率、债券供求等因素的综合分析，根据交易所市场与银行间市场类属资产的风险收益特征，定期对投资组合类属资产进行优化配置和调整，确定类属资产的最优权重。</w:t>
            </w:r>
          </w:p>
          <w:p w:rsidR="004C4C75" w:rsidRDefault="0000682B">
            <w:pPr>
              <w:adjustRightInd w:val="0"/>
              <w:spacing w:before="29" w:line="360" w:lineRule="auto"/>
              <w:ind w:left="17"/>
              <w:rPr>
                <w:rFonts w:eastAsiaTheme="minorEastAsia"/>
                <w:color w:val="000000" w:themeColor="text1"/>
              </w:rPr>
            </w:pPr>
            <w:r>
              <w:rPr>
                <w:rFonts w:eastAsiaTheme="minorEastAsia"/>
                <w:color w:val="000000" w:themeColor="text1"/>
                <w:kern w:val="0"/>
              </w:rPr>
              <w:t>在券种选择上，本基金以中长期利率趋势分析为基础，结合经济趋势、货币政策及不同债券品种的收益率水平、流</w:t>
            </w:r>
            <w:r>
              <w:rPr>
                <w:rFonts w:eastAsiaTheme="minorEastAsia"/>
                <w:color w:val="000000" w:themeColor="text1"/>
                <w:kern w:val="0"/>
              </w:rPr>
              <w:lastRenderedPageBreak/>
              <w:t>动性和信用风险等因素，重点选择那些流动性较好、风险水平合理、到期收益率与信用质量相对较高的债券品种。</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w:t>
            </w:r>
            <w:r w:rsidRPr="00FF6B9A">
              <w:rPr>
                <w:rFonts w:eastAsiaTheme="minorEastAsia"/>
                <w:color w:val="000000" w:themeColor="text1"/>
                <w:kern w:val="0"/>
              </w:rPr>
              <w:t>、其他投资策略：包括可转换债券投资策略、中小企业私募债投资策略、股指期货投资策略、资产支持证券投资策略、股票期权投资策略、存托凭证投资策略。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沪深</w:t>
            </w:r>
            <w:r w:rsidRPr="00FF6B9A">
              <w:rPr>
                <w:rFonts w:eastAsiaTheme="minorEastAsia"/>
                <w:color w:val="000000" w:themeColor="text1"/>
                <w:kern w:val="0"/>
              </w:rPr>
              <w:t>300</w:t>
            </w:r>
            <w:r w:rsidRPr="00FF6B9A">
              <w:rPr>
                <w:rFonts w:eastAsiaTheme="minorEastAsia"/>
                <w:color w:val="000000" w:themeColor="text1"/>
                <w:kern w:val="0"/>
              </w:rPr>
              <w:t>指数收益率</w:t>
            </w:r>
            <w:r w:rsidRPr="00FF6B9A">
              <w:rPr>
                <w:rFonts w:eastAsiaTheme="minorEastAsia"/>
                <w:color w:val="000000" w:themeColor="text1"/>
                <w:kern w:val="0"/>
              </w:rPr>
              <w:t>×60%+</w:t>
            </w:r>
            <w:r w:rsidRPr="00FF6B9A">
              <w:rPr>
                <w:rFonts w:eastAsiaTheme="minorEastAsia"/>
                <w:color w:val="000000" w:themeColor="text1"/>
                <w:kern w:val="0"/>
              </w:rPr>
              <w:t>中债总指数收益率</w:t>
            </w:r>
            <w:r w:rsidRPr="00FF6B9A">
              <w:rPr>
                <w:rFonts w:eastAsiaTheme="minorEastAsia"/>
                <w:color w:val="000000" w:themeColor="text1"/>
                <w:kern w:val="0"/>
              </w:rPr>
              <w:t>×40%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4C4C75" w:rsidRDefault="0000682B">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本基金属于混合型基金产品，预期风险和收益水平高于债券型基金和货币市场基金，低于股票型基金，属于较高风险收益水平的基金产品。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00682B" w:rsidRPr="00FF6B9A" w:rsidTr="0000682B">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00682B" w:rsidRPr="00FF6B9A" w:rsidTr="0000682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5,876,616.75</w:t>
            </w:r>
          </w:p>
        </w:tc>
      </w:tr>
      <w:tr w:rsidR="0000682B" w:rsidRPr="00FF6B9A" w:rsidTr="0000682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-12,742,450.94</w:t>
            </w:r>
          </w:p>
        </w:tc>
      </w:tr>
      <w:tr w:rsidR="0000682B" w:rsidRPr="00FF6B9A" w:rsidTr="0000682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-0.1134</w:t>
            </w:r>
          </w:p>
        </w:tc>
      </w:tr>
      <w:tr w:rsidR="0000682B" w:rsidRPr="00FF6B9A" w:rsidTr="0000682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101,536,810.96</w:t>
            </w:r>
          </w:p>
        </w:tc>
      </w:tr>
      <w:tr w:rsidR="0000682B" w:rsidRPr="00FF6B9A" w:rsidTr="0000682B">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0.9126</w:t>
            </w:r>
          </w:p>
        </w:tc>
      </w:tr>
    </w:tbl>
    <w:p w:rsidR="004C4C75" w:rsidRDefault="0000682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注：本期已实现收益指基金本期利息收入、投资收益、其他收入（不含公允价值变动收益）扣除相关费用后的余额，本期利润为本期已实现收益加上本期公允价值变动收益。</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4C4C75">
        <w:tc>
          <w:tcPr>
            <w:tcW w:w="1395" w:type="dxa"/>
            <w:vAlign w:val="center"/>
          </w:tcPr>
          <w:p w:rsidR="004C4C75" w:rsidRDefault="0000682B">
            <w:pPr>
              <w:jc w:val="left"/>
            </w:pPr>
            <w:r>
              <w:rPr>
                <w:rFonts w:eastAsiaTheme="minorEastAsia"/>
                <w:color w:val="000000" w:themeColor="text1"/>
                <w:kern w:val="0"/>
              </w:rPr>
              <w:t>过去三个月</w:t>
            </w:r>
          </w:p>
        </w:tc>
        <w:tc>
          <w:tcPr>
            <w:tcW w:w="1092" w:type="dxa"/>
            <w:vAlign w:val="center"/>
          </w:tcPr>
          <w:p w:rsidR="004C4C75" w:rsidRDefault="0000682B">
            <w:pPr>
              <w:jc w:val="center"/>
            </w:pPr>
            <w:r>
              <w:rPr>
                <w:rFonts w:eastAsiaTheme="minorEastAsia"/>
                <w:color w:val="000000" w:themeColor="text1"/>
                <w:kern w:val="0"/>
              </w:rPr>
              <w:t>-11.17%</w:t>
            </w:r>
          </w:p>
        </w:tc>
        <w:tc>
          <w:tcPr>
            <w:tcW w:w="1161" w:type="dxa"/>
            <w:vAlign w:val="center"/>
          </w:tcPr>
          <w:p w:rsidR="004C4C75" w:rsidRDefault="0000682B">
            <w:pPr>
              <w:jc w:val="center"/>
            </w:pPr>
            <w:r>
              <w:rPr>
                <w:rFonts w:eastAsiaTheme="minorEastAsia"/>
                <w:color w:val="000000" w:themeColor="text1"/>
                <w:kern w:val="0"/>
              </w:rPr>
              <w:t>1.33%</w:t>
            </w:r>
          </w:p>
        </w:tc>
        <w:tc>
          <w:tcPr>
            <w:tcW w:w="1181" w:type="dxa"/>
            <w:vAlign w:val="center"/>
          </w:tcPr>
          <w:p w:rsidR="004C4C75" w:rsidRDefault="0000682B">
            <w:pPr>
              <w:jc w:val="center"/>
            </w:pPr>
            <w:r>
              <w:rPr>
                <w:rFonts w:eastAsiaTheme="minorEastAsia"/>
                <w:color w:val="000000" w:themeColor="text1"/>
                <w:kern w:val="0"/>
              </w:rPr>
              <w:t>-8.76%</w:t>
            </w:r>
          </w:p>
        </w:tc>
        <w:tc>
          <w:tcPr>
            <w:tcW w:w="1188" w:type="dxa"/>
            <w:vAlign w:val="center"/>
          </w:tcPr>
          <w:p w:rsidR="004C4C75" w:rsidRDefault="0000682B">
            <w:pPr>
              <w:jc w:val="center"/>
            </w:pPr>
            <w:r>
              <w:rPr>
                <w:rFonts w:eastAsiaTheme="minorEastAsia"/>
                <w:color w:val="000000" w:themeColor="text1"/>
                <w:kern w:val="0"/>
              </w:rPr>
              <w:t>0.53%</w:t>
            </w:r>
          </w:p>
        </w:tc>
        <w:tc>
          <w:tcPr>
            <w:tcW w:w="1199" w:type="dxa"/>
            <w:vAlign w:val="center"/>
          </w:tcPr>
          <w:p w:rsidR="004C4C75" w:rsidRDefault="0000682B">
            <w:pPr>
              <w:jc w:val="center"/>
            </w:pPr>
            <w:r>
              <w:rPr>
                <w:rFonts w:eastAsiaTheme="minorEastAsia"/>
                <w:color w:val="000000" w:themeColor="text1"/>
                <w:kern w:val="0"/>
              </w:rPr>
              <w:t>-2.41%</w:t>
            </w:r>
          </w:p>
        </w:tc>
        <w:tc>
          <w:tcPr>
            <w:tcW w:w="1204" w:type="dxa"/>
            <w:vAlign w:val="center"/>
          </w:tcPr>
          <w:p w:rsidR="004C4C75" w:rsidRDefault="0000682B">
            <w:pPr>
              <w:jc w:val="center"/>
            </w:pPr>
            <w:r>
              <w:rPr>
                <w:rFonts w:eastAsiaTheme="minorEastAsia"/>
                <w:color w:val="000000" w:themeColor="text1"/>
                <w:kern w:val="0"/>
              </w:rPr>
              <w:t>0.80%</w:t>
            </w:r>
          </w:p>
        </w:tc>
      </w:tr>
      <w:tr w:rsidR="004C4C75">
        <w:tc>
          <w:tcPr>
            <w:tcW w:w="1395" w:type="dxa"/>
            <w:vAlign w:val="center"/>
          </w:tcPr>
          <w:p w:rsidR="004C4C75" w:rsidRDefault="0000682B">
            <w:pPr>
              <w:jc w:val="left"/>
            </w:pPr>
            <w:r>
              <w:rPr>
                <w:rFonts w:eastAsiaTheme="minorEastAsia"/>
                <w:color w:val="000000" w:themeColor="text1"/>
                <w:kern w:val="0"/>
              </w:rPr>
              <w:t>过去六个月</w:t>
            </w:r>
          </w:p>
        </w:tc>
        <w:tc>
          <w:tcPr>
            <w:tcW w:w="1092" w:type="dxa"/>
            <w:vAlign w:val="center"/>
          </w:tcPr>
          <w:p w:rsidR="004C4C75" w:rsidRDefault="0000682B">
            <w:pPr>
              <w:jc w:val="center"/>
            </w:pPr>
            <w:r>
              <w:rPr>
                <w:rFonts w:eastAsiaTheme="minorEastAsia"/>
                <w:color w:val="000000" w:themeColor="text1"/>
                <w:kern w:val="0"/>
              </w:rPr>
              <w:t>-8.75%</w:t>
            </w:r>
          </w:p>
        </w:tc>
        <w:tc>
          <w:tcPr>
            <w:tcW w:w="1161" w:type="dxa"/>
            <w:vAlign w:val="center"/>
          </w:tcPr>
          <w:p w:rsidR="004C4C75" w:rsidRDefault="0000682B">
            <w:pPr>
              <w:jc w:val="center"/>
            </w:pPr>
            <w:r>
              <w:rPr>
                <w:rFonts w:eastAsiaTheme="minorEastAsia"/>
                <w:color w:val="000000" w:themeColor="text1"/>
                <w:kern w:val="0"/>
              </w:rPr>
              <w:t>1.52%</w:t>
            </w:r>
          </w:p>
        </w:tc>
        <w:tc>
          <w:tcPr>
            <w:tcW w:w="1181" w:type="dxa"/>
            <w:vAlign w:val="center"/>
          </w:tcPr>
          <w:p w:rsidR="004C4C75" w:rsidRDefault="0000682B">
            <w:pPr>
              <w:jc w:val="center"/>
            </w:pPr>
            <w:r>
              <w:rPr>
                <w:rFonts w:eastAsiaTheme="minorEastAsia"/>
                <w:color w:val="000000" w:themeColor="text1"/>
                <w:kern w:val="0"/>
              </w:rPr>
              <w:t>-5.59%</w:t>
            </w:r>
          </w:p>
        </w:tc>
        <w:tc>
          <w:tcPr>
            <w:tcW w:w="1188" w:type="dxa"/>
            <w:vAlign w:val="center"/>
          </w:tcPr>
          <w:p w:rsidR="004C4C75" w:rsidRDefault="0000682B">
            <w:pPr>
              <w:jc w:val="center"/>
            </w:pPr>
            <w:r>
              <w:rPr>
                <w:rFonts w:eastAsiaTheme="minorEastAsia"/>
                <w:color w:val="000000" w:themeColor="text1"/>
                <w:kern w:val="0"/>
              </w:rPr>
              <w:t>0.71%</w:t>
            </w:r>
          </w:p>
        </w:tc>
        <w:tc>
          <w:tcPr>
            <w:tcW w:w="1199" w:type="dxa"/>
            <w:vAlign w:val="center"/>
          </w:tcPr>
          <w:p w:rsidR="004C4C75" w:rsidRDefault="0000682B">
            <w:pPr>
              <w:jc w:val="center"/>
            </w:pPr>
            <w:r>
              <w:rPr>
                <w:rFonts w:eastAsiaTheme="minorEastAsia"/>
                <w:color w:val="000000" w:themeColor="text1"/>
                <w:kern w:val="0"/>
              </w:rPr>
              <w:t>-3.16%</w:t>
            </w:r>
          </w:p>
        </w:tc>
        <w:tc>
          <w:tcPr>
            <w:tcW w:w="1204" w:type="dxa"/>
            <w:vAlign w:val="center"/>
          </w:tcPr>
          <w:p w:rsidR="004C4C75" w:rsidRDefault="0000682B">
            <w:pPr>
              <w:jc w:val="center"/>
            </w:pPr>
            <w:r>
              <w:rPr>
                <w:rFonts w:eastAsiaTheme="minorEastAsia"/>
                <w:color w:val="000000" w:themeColor="text1"/>
                <w:kern w:val="0"/>
              </w:rPr>
              <w:t>0.81%</w:t>
            </w:r>
          </w:p>
        </w:tc>
      </w:tr>
      <w:tr w:rsidR="004C4C75">
        <w:tc>
          <w:tcPr>
            <w:tcW w:w="1395" w:type="dxa"/>
            <w:vAlign w:val="center"/>
          </w:tcPr>
          <w:p w:rsidR="004C4C75" w:rsidRDefault="0000682B">
            <w:pPr>
              <w:jc w:val="left"/>
            </w:pPr>
            <w:r>
              <w:rPr>
                <w:rFonts w:eastAsiaTheme="minorEastAsia"/>
                <w:color w:val="000000" w:themeColor="text1"/>
                <w:kern w:val="0"/>
              </w:rPr>
              <w:t>过去一年</w:t>
            </w:r>
          </w:p>
        </w:tc>
        <w:tc>
          <w:tcPr>
            <w:tcW w:w="1092" w:type="dxa"/>
            <w:vAlign w:val="center"/>
          </w:tcPr>
          <w:p w:rsidR="004C4C75" w:rsidRDefault="0000682B">
            <w:pPr>
              <w:jc w:val="center"/>
            </w:pPr>
            <w:r>
              <w:rPr>
                <w:rFonts w:eastAsiaTheme="minorEastAsia"/>
                <w:color w:val="000000" w:themeColor="text1"/>
                <w:kern w:val="0"/>
              </w:rPr>
              <w:t>-18.23%</w:t>
            </w:r>
          </w:p>
        </w:tc>
        <w:tc>
          <w:tcPr>
            <w:tcW w:w="1161" w:type="dxa"/>
            <w:vAlign w:val="center"/>
          </w:tcPr>
          <w:p w:rsidR="004C4C75" w:rsidRDefault="0000682B">
            <w:pPr>
              <w:jc w:val="center"/>
            </w:pPr>
            <w:r>
              <w:rPr>
                <w:rFonts w:eastAsiaTheme="minorEastAsia"/>
                <w:color w:val="000000" w:themeColor="text1"/>
                <w:kern w:val="0"/>
              </w:rPr>
              <w:t>1.35%</w:t>
            </w:r>
          </w:p>
        </w:tc>
        <w:tc>
          <w:tcPr>
            <w:tcW w:w="1181" w:type="dxa"/>
            <w:vAlign w:val="center"/>
          </w:tcPr>
          <w:p w:rsidR="004C4C75" w:rsidRDefault="0000682B">
            <w:pPr>
              <w:jc w:val="center"/>
            </w:pPr>
            <w:r>
              <w:rPr>
                <w:rFonts w:eastAsiaTheme="minorEastAsia"/>
                <w:color w:val="000000" w:themeColor="text1"/>
                <w:kern w:val="0"/>
              </w:rPr>
              <w:t>-12.55%</w:t>
            </w:r>
          </w:p>
        </w:tc>
        <w:tc>
          <w:tcPr>
            <w:tcW w:w="1188" w:type="dxa"/>
            <w:vAlign w:val="center"/>
          </w:tcPr>
          <w:p w:rsidR="004C4C75" w:rsidRDefault="0000682B">
            <w:pPr>
              <w:jc w:val="center"/>
            </w:pPr>
            <w:r>
              <w:rPr>
                <w:rFonts w:eastAsiaTheme="minorEastAsia"/>
                <w:color w:val="000000" w:themeColor="text1"/>
                <w:kern w:val="0"/>
              </w:rPr>
              <w:t>0.71%</w:t>
            </w:r>
          </w:p>
        </w:tc>
        <w:tc>
          <w:tcPr>
            <w:tcW w:w="1199" w:type="dxa"/>
            <w:vAlign w:val="center"/>
          </w:tcPr>
          <w:p w:rsidR="004C4C75" w:rsidRDefault="0000682B">
            <w:pPr>
              <w:jc w:val="center"/>
            </w:pPr>
            <w:r>
              <w:rPr>
                <w:rFonts w:eastAsiaTheme="minorEastAsia"/>
                <w:color w:val="000000" w:themeColor="text1"/>
                <w:kern w:val="0"/>
              </w:rPr>
              <w:t>-5.68%</w:t>
            </w:r>
          </w:p>
        </w:tc>
        <w:tc>
          <w:tcPr>
            <w:tcW w:w="1204" w:type="dxa"/>
            <w:vAlign w:val="center"/>
          </w:tcPr>
          <w:p w:rsidR="004C4C75" w:rsidRDefault="0000682B">
            <w:pPr>
              <w:jc w:val="center"/>
            </w:pPr>
            <w:r>
              <w:rPr>
                <w:rFonts w:eastAsiaTheme="minorEastAsia"/>
                <w:color w:val="000000" w:themeColor="text1"/>
                <w:kern w:val="0"/>
              </w:rPr>
              <w:t>0.64%</w:t>
            </w:r>
          </w:p>
        </w:tc>
      </w:tr>
      <w:tr w:rsidR="004C4C75">
        <w:tc>
          <w:tcPr>
            <w:tcW w:w="1395" w:type="dxa"/>
            <w:vAlign w:val="center"/>
          </w:tcPr>
          <w:p w:rsidR="004C4C75" w:rsidRDefault="0000682B">
            <w:pPr>
              <w:jc w:val="left"/>
            </w:pPr>
            <w:r>
              <w:rPr>
                <w:rFonts w:eastAsiaTheme="minorEastAsia"/>
                <w:color w:val="000000" w:themeColor="text1"/>
                <w:kern w:val="0"/>
              </w:rPr>
              <w:t>过去三年</w:t>
            </w:r>
          </w:p>
        </w:tc>
        <w:tc>
          <w:tcPr>
            <w:tcW w:w="1092" w:type="dxa"/>
            <w:vAlign w:val="center"/>
          </w:tcPr>
          <w:p w:rsidR="004C4C75" w:rsidRDefault="0000682B">
            <w:pPr>
              <w:jc w:val="center"/>
            </w:pPr>
            <w:r>
              <w:rPr>
                <w:rFonts w:eastAsiaTheme="minorEastAsia"/>
                <w:color w:val="000000" w:themeColor="text1"/>
                <w:kern w:val="0"/>
              </w:rPr>
              <w:t>21.52%</w:t>
            </w:r>
          </w:p>
        </w:tc>
        <w:tc>
          <w:tcPr>
            <w:tcW w:w="1161" w:type="dxa"/>
            <w:vAlign w:val="center"/>
          </w:tcPr>
          <w:p w:rsidR="004C4C75" w:rsidRDefault="0000682B">
            <w:pPr>
              <w:jc w:val="center"/>
            </w:pPr>
            <w:r>
              <w:rPr>
                <w:rFonts w:eastAsiaTheme="minorEastAsia"/>
                <w:color w:val="000000" w:themeColor="text1"/>
                <w:kern w:val="0"/>
              </w:rPr>
              <w:t>1.26%</w:t>
            </w:r>
          </w:p>
        </w:tc>
        <w:tc>
          <w:tcPr>
            <w:tcW w:w="1181" w:type="dxa"/>
            <w:vAlign w:val="center"/>
          </w:tcPr>
          <w:p w:rsidR="004C4C75" w:rsidRDefault="0000682B">
            <w:pPr>
              <w:jc w:val="center"/>
            </w:pPr>
            <w:r>
              <w:rPr>
                <w:rFonts w:eastAsiaTheme="minorEastAsia"/>
                <w:color w:val="000000" w:themeColor="text1"/>
                <w:kern w:val="0"/>
              </w:rPr>
              <w:t>1.28%</w:t>
            </w:r>
          </w:p>
        </w:tc>
        <w:tc>
          <w:tcPr>
            <w:tcW w:w="1188" w:type="dxa"/>
            <w:vAlign w:val="center"/>
          </w:tcPr>
          <w:p w:rsidR="004C4C75" w:rsidRDefault="0000682B">
            <w:pPr>
              <w:jc w:val="center"/>
            </w:pPr>
            <w:r>
              <w:rPr>
                <w:rFonts w:eastAsiaTheme="minorEastAsia"/>
                <w:color w:val="000000" w:themeColor="text1"/>
                <w:kern w:val="0"/>
              </w:rPr>
              <w:t>0.75%</w:t>
            </w:r>
          </w:p>
        </w:tc>
        <w:tc>
          <w:tcPr>
            <w:tcW w:w="1199" w:type="dxa"/>
            <w:vAlign w:val="center"/>
          </w:tcPr>
          <w:p w:rsidR="004C4C75" w:rsidRDefault="0000682B">
            <w:pPr>
              <w:jc w:val="center"/>
            </w:pPr>
            <w:r>
              <w:rPr>
                <w:rFonts w:eastAsiaTheme="minorEastAsia"/>
                <w:color w:val="000000" w:themeColor="text1"/>
                <w:kern w:val="0"/>
              </w:rPr>
              <w:t>20.24%</w:t>
            </w:r>
          </w:p>
        </w:tc>
        <w:tc>
          <w:tcPr>
            <w:tcW w:w="1204" w:type="dxa"/>
            <w:vAlign w:val="center"/>
          </w:tcPr>
          <w:p w:rsidR="004C4C75" w:rsidRDefault="0000682B">
            <w:pPr>
              <w:jc w:val="center"/>
            </w:pPr>
            <w:r>
              <w:rPr>
                <w:rFonts w:eastAsiaTheme="minorEastAsia"/>
                <w:color w:val="000000" w:themeColor="text1"/>
                <w:kern w:val="0"/>
              </w:rPr>
              <w:t>0.51%</w:t>
            </w:r>
          </w:p>
        </w:tc>
      </w:tr>
      <w:tr w:rsidR="004C4C75">
        <w:tc>
          <w:tcPr>
            <w:tcW w:w="1395" w:type="dxa"/>
            <w:vAlign w:val="center"/>
          </w:tcPr>
          <w:p w:rsidR="004C4C75" w:rsidRDefault="0000682B">
            <w:pPr>
              <w:jc w:val="left"/>
            </w:pPr>
            <w:r>
              <w:rPr>
                <w:rFonts w:eastAsiaTheme="minorEastAsia"/>
                <w:color w:val="000000" w:themeColor="text1"/>
                <w:kern w:val="0"/>
              </w:rPr>
              <w:t>过去五年</w:t>
            </w:r>
          </w:p>
        </w:tc>
        <w:tc>
          <w:tcPr>
            <w:tcW w:w="1092" w:type="dxa"/>
            <w:vAlign w:val="center"/>
          </w:tcPr>
          <w:p w:rsidR="004C4C75" w:rsidRDefault="0000682B">
            <w:pPr>
              <w:jc w:val="center"/>
            </w:pPr>
            <w:r>
              <w:rPr>
                <w:rFonts w:eastAsiaTheme="minorEastAsia"/>
                <w:color w:val="000000" w:themeColor="text1"/>
                <w:kern w:val="0"/>
              </w:rPr>
              <w:t>13.37%</w:t>
            </w:r>
          </w:p>
        </w:tc>
        <w:tc>
          <w:tcPr>
            <w:tcW w:w="1161" w:type="dxa"/>
            <w:vAlign w:val="center"/>
          </w:tcPr>
          <w:p w:rsidR="004C4C75" w:rsidRDefault="0000682B">
            <w:pPr>
              <w:jc w:val="center"/>
            </w:pPr>
            <w:r>
              <w:rPr>
                <w:rFonts w:eastAsiaTheme="minorEastAsia"/>
                <w:color w:val="000000" w:themeColor="text1"/>
                <w:kern w:val="0"/>
              </w:rPr>
              <w:t>1.26%</w:t>
            </w:r>
          </w:p>
        </w:tc>
        <w:tc>
          <w:tcPr>
            <w:tcW w:w="1181" w:type="dxa"/>
            <w:vAlign w:val="center"/>
          </w:tcPr>
          <w:p w:rsidR="004C4C75" w:rsidRDefault="0000682B">
            <w:pPr>
              <w:jc w:val="center"/>
            </w:pPr>
            <w:r>
              <w:rPr>
                <w:rFonts w:eastAsiaTheme="minorEastAsia"/>
                <w:color w:val="000000" w:themeColor="text1"/>
                <w:kern w:val="0"/>
              </w:rPr>
              <w:t>2.97%</w:t>
            </w:r>
          </w:p>
        </w:tc>
        <w:tc>
          <w:tcPr>
            <w:tcW w:w="1188" w:type="dxa"/>
            <w:vAlign w:val="center"/>
          </w:tcPr>
          <w:p w:rsidR="004C4C75" w:rsidRDefault="0000682B">
            <w:pPr>
              <w:jc w:val="center"/>
            </w:pPr>
            <w:r>
              <w:rPr>
                <w:rFonts w:eastAsiaTheme="minorEastAsia"/>
                <w:color w:val="000000" w:themeColor="text1"/>
                <w:kern w:val="0"/>
              </w:rPr>
              <w:t>0.76%</w:t>
            </w:r>
          </w:p>
        </w:tc>
        <w:tc>
          <w:tcPr>
            <w:tcW w:w="1199" w:type="dxa"/>
            <w:vAlign w:val="center"/>
          </w:tcPr>
          <w:p w:rsidR="004C4C75" w:rsidRDefault="0000682B">
            <w:pPr>
              <w:jc w:val="center"/>
            </w:pPr>
            <w:r>
              <w:rPr>
                <w:rFonts w:eastAsiaTheme="minorEastAsia"/>
                <w:color w:val="000000" w:themeColor="text1"/>
                <w:kern w:val="0"/>
              </w:rPr>
              <w:t>10.40%</w:t>
            </w:r>
          </w:p>
        </w:tc>
        <w:tc>
          <w:tcPr>
            <w:tcW w:w="1204" w:type="dxa"/>
            <w:vAlign w:val="center"/>
          </w:tcPr>
          <w:p w:rsidR="004C4C75" w:rsidRDefault="0000682B">
            <w:pPr>
              <w:jc w:val="center"/>
            </w:pPr>
            <w:r>
              <w:rPr>
                <w:rFonts w:eastAsiaTheme="minorEastAsia"/>
                <w:color w:val="000000" w:themeColor="text1"/>
                <w:kern w:val="0"/>
              </w:rPr>
              <w:t>0.50%</w:t>
            </w:r>
          </w:p>
        </w:tc>
      </w:tr>
      <w:tr w:rsidR="004C4C75">
        <w:tc>
          <w:tcPr>
            <w:tcW w:w="1395" w:type="dxa"/>
            <w:vAlign w:val="center"/>
          </w:tcPr>
          <w:p w:rsidR="004C4C75" w:rsidRDefault="0000682B">
            <w:pPr>
              <w:jc w:val="left"/>
            </w:pPr>
            <w:r>
              <w:rPr>
                <w:rFonts w:eastAsiaTheme="minorEastAsia"/>
                <w:color w:val="000000" w:themeColor="text1"/>
                <w:kern w:val="0"/>
              </w:rPr>
              <w:t>自基金合同生效起至今</w:t>
            </w:r>
          </w:p>
        </w:tc>
        <w:tc>
          <w:tcPr>
            <w:tcW w:w="1092" w:type="dxa"/>
            <w:vAlign w:val="center"/>
          </w:tcPr>
          <w:p w:rsidR="004C4C75" w:rsidRDefault="0000682B">
            <w:pPr>
              <w:jc w:val="center"/>
            </w:pPr>
            <w:r>
              <w:rPr>
                <w:rFonts w:eastAsiaTheme="minorEastAsia"/>
                <w:color w:val="000000" w:themeColor="text1"/>
                <w:kern w:val="0"/>
              </w:rPr>
              <w:t>-8.74%</w:t>
            </w:r>
          </w:p>
        </w:tc>
        <w:tc>
          <w:tcPr>
            <w:tcW w:w="1161" w:type="dxa"/>
            <w:vAlign w:val="center"/>
          </w:tcPr>
          <w:p w:rsidR="004C4C75" w:rsidRDefault="0000682B">
            <w:pPr>
              <w:jc w:val="center"/>
            </w:pPr>
            <w:r>
              <w:rPr>
                <w:rFonts w:eastAsiaTheme="minorEastAsia"/>
                <w:color w:val="000000" w:themeColor="text1"/>
                <w:kern w:val="0"/>
              </w:rPr>
              <w:t>1.41%</w:t>
            </w:r>
          </w:p>
        </w:tc>
        <w:tc>
          <w:tcPr>
            <w:tcW w:w="1181" w:type="dxa"/>
            <w:vAlign w:val="center"/>
          </w:tcPr>
          <w:p w:rsidR="004C4C75" w:rsidRDefault="0000682B">
            <w:pPr>
              <w:jc w:val="center"/>
            </w:pPr>
            <w:r>
              <w:rPr>
                <w:rFonts w:eastAsiaTheme="minorEastAsia"/>
                <w:color w:val="000000" w:themeColor="text1"/>
                <w:kern w:val="0"/>
              </w:rPr>
              <w:t>-11.99%</w:t>
            </w:r>
          </w:p>
        </w:tc>
        <w:tc>
          <w:tcPr>
            <w:tcW w:w="1188" w:type="dxa"/>
            <w:vAlign w:val="center"/>
          </w:tcPr>
          <w:p w:rsidR="004C4C75" w:rsidRDefault="0000682B">
            <w:pPr>
              <w:jc w:val="center"/>
            </w:pPr>
            <w:r>
              <w:rPr>
                <w:rFonts w:eastAsiaTheme="minorEastAsia"/>
                <w:color w:val="000000" w:themeColor="text1"/>
                <w:kern w:val="0"/>
              </w:rPr>
              <w:t>0.85%</w:t>
            </w:r>
          </w:p>
        </w:tc>
        <w:tc>
          <w:tcPr>
            <w:tcW w:w="1199" w:type="dxa"/>
            <w:vAlign w:val="center"/>
          </w:tcPr>
          <w:p w:rsidR="004C4C75" w:rsidRDefault="0000682B">
            <w:pPr>
              <w:jc w:val="center"/>
            </w:pPr>
            <w:r>
              <w:rPr>
                <w:rFonts w:eastAsiaTheme="minorEastAsia"/>
                <w:color w:val="000000" w:themeColor="text1"/>
                <w:kern w:val="0"/>
              </w:rPr>
              <w:t>3.25%</w:t>
            </w:r>
          </w:p>
        </w:tc>
        <w:tc>
          <w:tcPr>
            <w:tcW w:w="1204" w:type="dxa"/>
            <w:vAlign w:val="center"/>
          </w:tcPr>
          <w:p w:rsidR="004C4C75" w:rsidRDefault="0000682B">
            <w:pPr>
              <w:jc w:val="center"/>
            </w:pPr>
            <w:r>
              <w:rPr>
                <w:rFonts w:eastAsiaTheme="minorEastAsia"/>
                <w:color w:val="000000" w:themeColor="text1"/>
                <w:kern w:val="0"/>
              </w:rPr>
              <w:t>0.56%</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上投摩根动态多因子策略灵活配置混合型证券投资基金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(2015</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2</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2022</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4C4C75" w:rsidRDefault="0000682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w:t>
      </w:r>
      <w:r>
        <w:rPr>
          <w:rFonts w:eastAsiaTheme="minorEastAsia"/>
          <w:color w:val="000000" w:themeColor="text1"/>
        </w:rPr>
        <w:t>2</w:t>
      </w:r>
      <w:r>
        <w:rPr>
          <w:rFonts w:eastAsiaTheme="minorEastAsia"/>
          <w:color w:val="000000" w:themeColor="text1"/>
        </w:rPr>
        <w:t>日，</w:t>
      </w:r>
      <w:r>
        <w:rPr>
          <w:rFonts w:eastAsiaTheme="minorEastAsia"/>
          <w:color w:val="000000" w:themeColor="text1"/>
        </w:rPr>
        <w:t xml:space="preserve"> </w:t>
      </w:r>
      <w:r>
        <w:rPr>
          <w:rFonts w:eastAsiaTheme="minorEastAsia"/>
          <w:color w:val="000000" w:themeColor="text1"/>
        </w:rPr>
        <w:t>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4C4C75">
        <w:tc>
          <w:tcPr>
            <w:tcW w:w="851" w:type="dxa"/>
            <w:vAlign w:val="center"/>
          </w:tcPr>
          <w:p w:rsidR="004C4C75" w:rsidRDefault="0000682B">
            <w:pPr>
              <w:jc w:val="center"/>
            </w:pPr>
            <w:r>
              <w:rPr>
                <w:rFonts w:eastAsiaTheme="minorEastAsia"/>
                <w:color w:val="000000" w:themeColor="text1"/>
              </w:rPr>
              <w:t>胡迪</w:t>
            </w:r>
          </w:p>
        </w:tc>
        <w:tc>
          <w:tcPr>
            <w:tcW w:w="850" w:type="dxa"/>
            <w:vAlign w:val="center"/>
          </w:tcPr>
          <w:p w:rsidR="004C4C75" w:rsidRDefault="0000682B">
            <w:pPr>
              <w:jc w:val="center"/>
            </w:pPr>
            <w:r>
              <w:rPr>
                <w:rFonts w:eastAsiaTheme="minorEastAsia"/>
                <w:color w:val="000000" w:themeColor="text1"/>
              </w:rPr>
              <w:t>本基金基金经理、指数及量化投资部总监</w:t>
            </w:r>
          </w:p>
        </w:tc>
        <w:tc>
          <w:tcPr>
            <w:tcW w:w="1560" w:type="dxa"/>
            <w:vAlign w:val="center"/>
          </w:tcPr>
          <w:p w:rsidR="004C4C75" w:rsidRDefault="0000682B">
            <w:pPr>
              <w:jc w:val="center"/>
            </w:pPr>
            <w:r>
              <w:rPr>
                <w:rFonts w:eastAsiaTheme="minorEastAsia"/>
                <w:color w:val="000000" w:themeColor="text1"/>
              </w:rPr>
              <w:t>2021-01-07</w:t>
            </w:r>
          </w:p>
        </w:tc>
        <w:tc>
          <w:tcPr>
            <w:tcW w:w="1559" w:type="dxa"/>
            <w:vAlign w:val="center"/>
          </w:tcPr>
          <w:p w:rsidR="004C4C75" w:rsidRDefault="0000682B">
            <w:pPr>
              <w:jc w:val="center"/>
            </w:pPr>
            <w:r>
              <w:rPr>
                <w:rFonts w:eastAsiaTheme="minorEastAsia"/>
                <w:color w:val="000000" w:themeColor="text1"/>
              </w:rPr>
              <w:t>-</w:t>
            </w:r>
          </w:p>
        </w:tc>
        <w:tc>
          <w:tcPr>
            <w:tcW w:w="1417" w:type="dxa"/>
            <w:vAlign w:val="center"/>
          </w:tcPr>
          <w:p w:rsidR="004C4C75" w:rsidRDefault="0000682B">
            <w:pPr>
              <w:jc w:val="center"/>
            </w:pPr>
            <w:r>
              <w:rPr>
                <w:rFonts w:eastAsiaTheme="minorEastAsia"/>
                <w:color w:val="000000" w:themeColor="text1"/>
              </w:rPr>
              <w:t>15</w:t>
            </w:r>
            <w:r>
              <w:rPr>
                <w:rFonts w:eastAsiaTheme="minorEastAsia"/>
                <w:color w:val="000000" w:themeColor="text1"/>
              </w:rPr>
              <w:t>年</w:t>
            </w:r>
          </w:p>
        </w:tc>
        <w:tc>
          <w:tcPr>
            <w:tcW w:w="2694" w:type="dxa"/>
            <w:vAlign w:val="center"/>
          </w:tcPr>
          <w:p w:rsidR="004C4C75" w:rsidRDefault="0000682B">
            <w:r>
              <w:rPr>
                <w:rFonts w:eastAsiaTheme="minorEastAsia"/>
                <w:color w:val="000000" w:themeColor="text1"/>
              </w:rPr>
              <w:t>胡迪女士，</w:t>
            </w:r>
            <w:r>
              <w:rPr>
                <w:rFonts w:eastAsiaTheme="minorEastAsia"/>
                <w:color w:val="000000" w:themeColor="text1"/>
              </w:rPr>
              <w:t>CFA</w:t>
            </w:r>
            <w:r>
              <w:rPr>
                <w:rFonts w:eastAsiaTheme="minorEastAsia"/>
                <w:color w:val="000000" w:themeColor="text1"/>
              </w:rPr>
              <w:t>，</w:t>
            </w:r>
            <w:r>
              <w:rPr>
                <w:rFonts w:eastAsiaTheme="minorEastAsia"/>
                <w:color w:val="000000" w:themeColor="text1"/>
              </w:rPr>
              <w:t>FRM</w:t>
            </w:r>
            <w:r>
              <w:rPr>
                <w:rFonts w:eastAsiaTheme="minorEastAsia"/>
                <w:color w:val="000000" w:themeColor="text1"/>
              </w:rPr>
              <w:t>，美国哥伦比亚大学金融工程硕士，现任指数及量化投资部总监。胡迪女士自</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月在纽约美林证券担任全球资产管理部高级经理；自</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2012</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月在纽约标准普尔担任量化投资主管；自</w:t>
            </w:r>
            <w:r>
              <w:rPr>
                <w:rFonts w:eastAsiaTheme="minorEastAsia"/>
                <w:color w:val="000000" w:themeColor="text1"/>
              </w:rPr>
              <w:t>2012</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月在中国国际金融股份有限公司担任资产管理部执行总经理；自</w:t>
            </w:r>
            <w:r>
              <w:rPr>
                <w:rFonts w:eastAsiaTheme="minorEastAsia"/>
                <w:color w:val="000000" w:themeColor="text1"/>
              </w:rPr>
              <w:t>2020</w:t>
            </w:r>
            <w:r>
              <w:rPr>
                <w:rFonts w:eastAsiaTheme="minorEastAsia"/>
                <w:color w:val="000000" w:themeColor="text1"/>
              </w:rPr>
              <w:lastRenderedPageBreak/>
              <w:t>年</w:t>
            </w:r>
            <w:r>
              <w:rPr>
                <w:rFonts w:eastAsiaTheme="minorEastAsia"/>
                <w:color w:val="000000" w:themeColor="text1"/>
              </w:rPr>
              <w:t>5</w:t>
            </w:r>
            <w:r>
              <w:rPr>
                <w:rFonts w:eastAsiaTheme="minorEastAsia"/>
                <w:color w:val="000000" w:themeColor="text1"/>
              </w:rPr>
              <w:t>月加入上投摩根基金管理有限公司，现任指数及量化投资部总监。自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月起同时担任上投摩根量化多因子灵活配置混合型证券投资基金、上投摩根动态多因子策略灵活配置混合型证券投资基金、</w:t>
            </w:r>
            <w:r>
              <w:rPr>
                <w:rFonts w:eastAsiaTheme="minorEastAsia"/>
                <w:color w:val="000000" w:themeColor="text1"/>
              </w:rPr>
              <w:t>上投摩根中证消费服务领先指数证券投资基金、上投摩根</w:t>
            </w:r>
            <w:r>
              <w:rPr>
                <w:rFonts w:eastAsiaTheme="minorEastAsia"/>
                <w:color w:val="000000" w:themeColor="text1"/>
              </w:rPr>
              <w:t>MSCI</w:t>
            </w:r>
            <w:r>
              <w:rPr>
                <w:rFonts w:eastAsiaTheme="minorEastAsia"/>
                <w:color w:val="000000" w:themeColor="text1"/>
              </w:rPr>
              <w:t>中国</w:t>
            </w:r>
            <w:r>
              <w:rPr>
                <w:rFonts w:eastAsiaTheme="minorEastAsia"/>
                <w:color w:val="000000" w:themeColor="text1"/>
              </w:rPr>
              <w:t>A</w:t>
            </w:r>
            <w:r>
              <w:rPr>
                <w:rFonts w:eastAsiaTheme="minorEastAsia"/>
                <w:color w:val="000000" w:themeColor="text1"/>
              </w:rPr>
              <w:t>股交易型开放式指数证券投资基金、上投摩根</w:t>
            </w:r>
            <w:r>
              <w:rPr>
                <w:rFonts w:eastAsiaTheme="minorEastAsia"/>
                <w:color w:val="000000" w:themeColor="text1"/>
              </w:rPr>
              <w:t>MSCI</w:t>
            </w:r>
            <w:r>
              <w:rPr>
                <w:rFonts w:eastAsiaTheme="minorEastAsia"/>
                <w:color w:val="000000" w:themeColor="text1"/>
              </w:rPr>
              <w:t>中国</w:t>
            </w:r>
            <w:r>
              <w:rPr>
                <w:rFonts w:eastAsiaTheme="minorEastAsia"/>
                <w:color w:val="000000" w:themeColor="text1"/>
              </w:rPr>
              <w:t>A</w:t>
            </w:r>
            <w:r>
              <w:rPr>
                <w:rFonts w:eastAsiaTheme="minorEastAsia"/>
                <w:color w:val="000000" w:themeColor="text1"/>
              </w:rPr>
              <w:t>股交易型开放式指数证券投资基金联接基金、上投摩根标普港股通低波红利指数型证券投资基金基金经理，自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月同时担任上投摩根优选多因子股票型证券投资基金基金经理，自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月起同时担任上投摩根富时发达市场</w:t>
            </w:r>
            <w:r>
              <w:rPr>
                <w:rFonts w:eastAsiaTheme="minorEastAsia"/>
                <w:color w:val="000000" w:themeColor="text1"/>
              </w:rPr>
              <w:t>REITs</w:t>
            </w:r>
            <w:r>
              <w:rPr>
                <w:rFonts w:eastAsiaTheme="minorEastAsia"/>
                <w:color w:val="000000" w:themeColor="text1"/>
              </w:rPr>
              <w:t>指数型证券投资基金（</w:t>
            </w:r>
            <w:r>
              <w:rPr>
                <w:rFonts w:eastAsiaTheme="minorEastAsia"/>
                <w:color w:val="000000" w:themeColor="text1"/>
              </w:rPr>
              <w:t>QDII)</w:t>
            </w:r>
            <w:r>
              <w:rPr>
                <w:rFonts w:eastAsiaTheme="minorEastAsia"/>
                <w:color w:val="000000" w:themeColor="text1"/>
              </w:rPr>
              <w:t>、上投摩根中证沪港深科技</w:t>
            </w:r>
            <w:r>
              <w:rPr>
                <w:rFonts w:eastAsiaTheme="minorEastAsia"/>
                <w:color w:val="000000" w:themeColor="text1"/>
              </w:rPr>
              <w:t>100</w:t>
            </w:r>
            <w:r>
              <w:rPr>
                <w:rFonts w:eastAsiaTheme="minorEastAsia"/>
                <w:color w:val="000000" w:themeColor="text1"/>
              </w:rPr>
              <w:t>交易型开放式指数证券投资基金基金经理，自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月起同时担任上投摩根恒生科技交易型开放式指</w:t>
            </w:r>
            <w:r>
              <w:rPr>
                <w:rFonts w:eastAsiaTheme="minorEastAsia"/>
                <w:color w:val="000000" w:themeColor="text1"/>
              </w:rPr>
              <w:t>数证券投资基金（</w:t>
            </w:r>
            <w:r>
              <w:rPr>
                <w:rFonts w:eastAsiaTheme="minorEastAsia"/>
                <w:color w:val="000000" w:themeColor="text1"/>
              </w:rPr>
              <w:t>QDII</w:t>
            </w:r>
            <w:r>
              <w:rPr>
                <w:rFonts w:eastAsiaTheme="minorEastAsia"/>
                <w:color w:val="000000" w:themeColor="text1"/>
              </w:rPr>
              <w:t>）基金经理。自</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月起同时担任上投摩根中证创新药产业交易型开放式指数证券投资基金基金经理。</w:t>
            </w:r>
          </w:p>
        </w:tc>
      </w:tr>
    </w:tbl>
    <w:p w:rsidR="004C4C75" w:rsidRDefault="0000682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动态多因子策略灵活配置混合型证券投资基金基金合同》的规定。基金经理对个股和投资组合的比例遵循了投资决策委员会的授权限制，基金投资比例符合基金合同和法律法规的</w:t>
      </w:r>
      <w:r w:rsidRPr="00FF6B9A">
        <w:rPr>
          <w:rFonts w:eastAsiaTheme="minorEastAsia"/>
          <w:color w:val="000000" w:themeColor="text1"/>
        </w:rPr>
        <w:lastRenderedPageBreak/>
        <w:t>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2022</w:t>
      </w:r>
      <w:r>
        <w:rPr>
          <w:rFonts w:eastAsiaTheme="minorEastAsia"/>
          <w:color w:val="000000" w:themeColor="text1"/>
        </w:rPr>
        <w:t>年三季度内外部不确定性均抬升，</w:t>
      </w:r>
      <w:r>
        <w:rPr>
          <w:rFonts w:eastAsiaTheme="minorEastAsia"/>
          <w:color w:val="000000" w:themeColor="text1"/>
        </w:rPr>
        <w:t>A</w:t>
      </w:r>
      <w:r>
        <w:rPr>
          <w:rFonts w:eastAsiaTheme="minorEastAsia"/>
          <w:color w:val="000000" w:themeColor="text1"/>
        </w:rPr>
        <w:t>股短期内再度受挫，各宽基指数跌幅均超过</w:t>
      </w:r>
      <w:r>
        <w:rPr>
          <w:rFonts w:eastAsiaTheme="minorEastAsia"/>
          <w:color w:val="000000" w:themeColor="text1"/>
        </w:rPr>
        <w:t>10%</w:t>
      </w:r>
      <w:r>
        <w:rPr>
          <w:rFonts w:eastAsiaTheme="minorEastAsia"/>
          <w:color w:val="000000" w:themeColor="text1"/>
        </w:rPr>
        <w:t>，且</w:t>
      </w:r>
      <w:r>
        <w:rPr>
          <w:rFonts w:eastAsiaTheme="minorEastAsia"/>
          <w:color w:val="000000" w:themeColor="text1"/>
        </w:rPr>
        <w:t>9</w:t>
      </w:r>
      <w:r>
        <w:rPr>
          <w:rFonts w:eastAsiaTheme="minorEastAsia"/>
          <w:color w:val="000000" w:themeColor="text1"/>
        </w:rPr>
        <w:t>月起成交显著收缩。外因方面，国际形式阴云密布，美联储加快加息，俄乌冲突再度升级，欧洲能源危机等均显著压制市场情绪。内因上，疫情反复，国内经济修复出现波折等因素则直接导致市场中枢下行。分行业看，除煤炭受益于国内供应紧缺、石油受益于海外能源危机，其余行业都出现了不同幅度的下跌。新能源、电子为代表的高成长行业受国内外政治经济形势预期影响较大，跌幅较深，甚至部分企业业绩超预期也不足以支撑其股价。</w:t>
      </w:r>
      <w:r>
        <w:rPr>
          <w:rFonts w:eastAsiaTheme="minorEastAsia"/>
          <w:color w:val="000000" w:themeColor="text1"/>
        </w:rPr>
        <w:lastRenderedPageBreak/>
        <w:t>从风格上来看，实际上估值和成长波</w:t>
      </w:r>
      <w:r>
        <w:rPr>
          <w:rFonts w:eastAsiaTheme="minorEastAsia"/>
          <w:color w:val="000000" w:themeColor="text1"/>
        </w:rPr>
        <w:t>动均加大，但情绪低迷环境下市场低估值提供的安全边际仍使其稍胜成长一筹。债券市场，</w:t>
      </w:r>
      <w:r>
        <w:rPr>
          <w:rFonts w:eastAsiaTheme="minorEastAsia"/>
          <w:color w:val="000000" w:themeColor="text1"/>
        </w:rPr>
        <w:t>8</w:t>
      </w:r>
      <w:r>
        <w:rPr>
          <w:rFonts w:eastAsiaTheme="minorEastAsia"/>
          <w:color w:val="000000" w:themeColor="text1"/>
        </w:rPr>
        <w:t>月份，</w:t>
      </w:r>
      <w:r>
        <w:rPr>
          <w:rFonts w:eastAsiaTheme="minorEastAsia"/>
          <w:color w:val="000000" w:themeColor="text1"/>
        </w:rPr>
        <w:t>1</w:t>
      </w:r>
      <w:r>
        <w:rPr>
          <w:rFonts w:eastAsiaTheme="minorEastAsia"/>
          <w:color w:val="000000" w:themeColor="text1"/>
        </w:rPr>
        <w:t>年期</w:t>
      </w:r>
      <w:r>
        <w:rPr>
          <w:rFonts w:eastAsiaTheme="minorEastAsia"/>
          <w:color w:val="000000" w:themeColor="text1"/>
        </w:rPr>
        <w:t>LPR</w:t>
      </w:r>
      <w:r>
        <w:rPr>
          <w:rFonts w:eastAsiaTheme="minorEastAsia"/>
          <w:color w:val="000000" w:themeColor="text1"/>
        </w:rPr>
        <w:t>调降</w:t>
      </w:r>
      <w:r>
        <w:rPr>
          <w:rFonts w:eastAsiaTheme="minorEastAsia"/>
          <w:color w:val="000000" w:themeColor="text1"/>
        </w:rPr>
        <w:t>5bp</w:t>
      </w:r>
      <w:r>
        <w:rPr>
          <w:rFonts w:eastAsiaTheme="minorEastAsia"/>
          <w:color w:val="000000" w:themeColor="text1"/>
        </w:rPr>
        <w:t>，</w:t>
      </w:r>
      <w:r>
        <w:rPr>
          <w:rFonts w:eastAsiaTheme="minorEastAsia"/>
          <w:color w:val="000000" w:themeColor="text1"/>
        </w:rPr>
        <w:t>5</w:t>
      </w:r>
      <w:r>
        <w:rPr>
          <w:rFonts w:eastAsiaTheme="minorEastAsia"/>
          <w:color w:val="000000" w:themeColor="text1"/>
        </w:rPr>
        <w:t>年期</w:t>
      </w:r>
      <w:r>
        <w:rPr>
          <w:rFonts w:eastAsiaTheme="minorEastAsia"/>
          <w:color w:val="000000" w:themeColor="text1"/>
        </w:rPr>
        <w:t>LPR</w:t>
      </w:r>
      <w:r>
        <w:rPr>
          <w:rFonts w:eastAsiaTheme="minorEastAsia"/>
          <w:color w:val="000000" w:themeColor="text1"/>
        </w:rPr>
        <w:t>调降</w:t>
      </w:r>
      <w:r>
        <w:rPr>
          <w:rFonts w:eastAsiaTheme="minorEastAsia"/>
          <w:color w:val="000000" w:themeColor="text1"/>
        </w:rPr>
        <w:t>15bp</w:t>
      </w:r>
      <w:r>
        <w:rPr>
          <w:rFonts w:eastAsiaTheme="minorEastAsia"/>
          <w:color w:val="000000" w:themeColor="text1"/>
        </w:rPr>
        <w:t>；</w:t>
      </w:r>
      <w:r>
        <w:rPr>
          <w:rFonts w:eastAsiaTheme="minorEastAsia"/>
          <w:color w:val="000000" w:themeColor="text1"/>
        </w:rPr>
        <w:t>8</w:t>
      </w:r>
      <w:r>
        <w:rPr>
          <w:rFonts w:eastAsiaTheme="minorEastAsia"/>
          <w:color w:val="000000" w:themeColor="text1"/>
        </w:rPr>
        <w:t>月，</w:t>
      </w:r>
      <w:r>
        <w:rPr>
          <w:rFonts w:eastAsiaTheme="minorEastAsia"/>
          <w:color w:val="000000" w:themeColor="text1"/>
        </w:rPr>
        <w:t>MLF</w:t>
      </w:r>
      <w:r>
        <w:rPr>
          <w:rFonts w:eastAsiaTheme="minorEastAsia"/>
          <w:color w:val="000000" w:themeColor="text1"/>
        </w:rPr>
        <w:t>调降</w:t>
      </w:r>
      <w:r>
        <w:rPr>
          <w:rFonts w:eastAsiaTheme="minorEastAsia"/>
          <w:color w:val="000000" w:themeColor="text1"/>
        </w:rPr>
        <w:t>10bp</w:t>
      </w:r>
      <w:r>
        <w:rPr>
          <w:rFonts w:eastAsiaTheme="minorEastAsia"/>
          <w:color w:val="000000" w:themeColor="text1"/>
        </w:rPr>
        <w:t>。受此影响，三季度债券利率整体下行，推动市场上行。在此期间，美联储</w:t>
      </w:r>
      <w:r>
        <w:rPr>
          <w:rFonts w:eastAsiaTheme="minorEastAsia"/>
          <w:color w:val="000000" w:themeColor="text1"/>
        </w:rPr>
        <w:t>7</w:t>
      </w:r>
      <w:r>
        <w:rPr>
          <w:rFonts w:eastAsiaTheme="minorEastAsia"/>
          <w:color w:val="000000" w:themeColor="text1"/>
        </w:rPr>
        <w:t>月与</w:t>
      </w:r>
      <w:r>
        <w:rPr>
          <w:rFonts w:eastAsiaTheme="minorEastAsia"/>
          <w:color w:val="000000" w:themeColor="text1"/>
        </w:rPr>
        <w:t>9</w:t>
      </w:r>
      <w:r>
        <w:rPr>
          <w:rFonts w:eastAsiaTheme="minorEastAsia"/>
          <w:color w:val="000000" w:themeColor="text1"/>
        </w:rPr>
        <w:t>月分别加息</w:t>
      </w:r>
      <w:r>
        <w:rPr>
          <w:rFonts w:eastAsiaTheme="minorEastAsia"/>
          <w:color w:val="000000" w:themeColor="text1"/>
        </w:rPr>
        <w:t>75bp</w:t>
      </w:r>
      <w:r>
        <w:rPr>
          <w:rFonts w:eastAsiaTheme="minorEastAsia"/>
          <w:color w:val="000000" w:themeColor="text1"/>
        </w:rPr>
        <w:t>，导致人民币兑美元发生持续贬值，也给未来货币政策的实施带来更大的挑战。</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目前大环境承压背景下，国内各部门政策维稳力度加大。具体看政策线索有：</w:t>
      </w:r>
      <w:r w:rsidRPr="00FF6B9A">
        <w:rPr>
          <w:rFonts w:eastAsiaTheme="minorEastAsia"/>
          <w:color w:val="000000" w:themeColor="text1"/>
        </w:rPr>
        <w:t>1.</w:t>
      </w:r>
      <w:r w:rsidRPr="00FF6B9A">
        <w:rPr>
          <w:rFonts w:eastAsiaTheme="minorEastAsia"/>
          <w:color w:val="000000" w:themeColor="text1"/>
        </w:rPr>
        <w:t>货币政策坚持</w:t>
      </w:r>
      <w:r w:rsidRPr="00FF6B9A">
        <w:rPr>
          <w:rFonts w:eastAsiaTheme="minorEastAsia"/>
          <w:color w:val="000000" w:themeColor="text1"/>
        </w:rPr>
        <w:t>“</w:t>
      </w:r>
      <w:r w:rsidRPr="00FF6B9A">
        <w:rPr>
          <w:rFonts w:eastAsiaTheme="minorEastAsia"/>
          <w:color w:val="000000" w:themeColor="text1"/>
        </w:rPr>
        <w:t>以我为主</w:t>
      </w:r>
      <w:r w:rsidRPr="00FF6B9A">
        <w:rPr>
          <w:rFonts w:eastAsiaTheme="minorEastAsia"/>
          <w:color w:val="000000" w:themeColor="text1"/>
        </w:rPr>
        <w:t>”</w:t>
      </w:r>
      <w:r w:rsidRPr="00FF6B9A">
        <w:rPr>
          <w:rFonts w:eastAsiaTheme="minorEastAsia"/>
          <w:color w:val="000000" w:themeColor="text1"/>
        </w:rPr>
        <w:t>，对内延续宽松维持流动性合理充裕，对外积极进行汇率管理稳定预期；</w:t>
      </w:r>
      <w:r w:rsidRPr="00FF6B9A">
        <w:rPr>
          <w:rFonts w:eastAsiaTheme="minorEastAsia"/>
          <w:color w:val="000000" w:themeColor="text1"/>
        </w:rPr>
        <w:t>2.</w:t>
      </w:r>
      <w:r w:rsidRPr="00FF6B9A">
        <w:rPr>
          <w:rFonts w:eastAsiaTheme="minorEastAsia"/>
          <w:color w:val="000000" w:themeColor="text1"/>
        </w:rPr>
        <w:t>房地产</w:t>
      </w:r>
      <w:r w:rsidRPr="00FF6B9A">
        <w:rPr>
          <w:rFonts w:eastAsiaTheme="minorEastAsia"/>
          <w:color w:val="000000" w:themeColor="text1"/>
        </w:rPr>
        <w:t>“</w:t>
      </w:r>
      <w:r w:rsidRPr="00FF6B9A">
        <w:rPr>
          <w:rFonts w:eastAsiaTheme="minorEastAsia"/>
          <w:color w:val="000000" w:themeColor="text1"/>
        </w:rPr>
        <w:t>保交楼</w:t>
      </w:r>
      <w:r w:rsidRPr="00FF6B9A">
        <w:rPr>
          <w:rFonts w:eastAsiaTheme="minorEastAsia"/>
          <w:color w:val="000000" w:themeColor="text1"/>
        </w:rPr>
        <w:t>”</w:t>
      </w:r>
      <w:r w:rsidRPr="00FF6B9A">
        <w:rPr>
          <w:rFonts w:eastAsiaTheme="minorEastAsia"/>
          <w:color w:val="000000" w:themeColor="text1"/>
        </w:rPr>
        <w:t>积极推进，地方</w:t>
      </w:r>
      <w:r w:rsidRPr="00FF6B9A">
        <w:rPr>
          <w:rFonts w:eastAsiaTheme="minorEastAsia"/>
          <w:color w:val="000000" w:themeColor="text1"/>
        </w:rPr>
        <w:t>“</w:t>
      </w:r>
      <w:r w:rsidRPr="00FF6B9A">
        <w:rPr>
          <w:rFonts w:eastAsiaTheme="minorEastAsia"/>
          <w:color w:val="000000" w:themeColor="text1"/>
        </w:rPr>
        <w:t>一城一策</w:t>
      </w:r>
      <w:r w:rsidRPr="00FF6B9A">
        <w:rPr>
          <w:rFonts w:eastAsiaTheme="minorEastAsia"/>
          <w:color w:val="000000" w:themeColor="text1"/>
        </w:rPr>
        <w:t>”</w:t>
      </w:r>
      <w:r w:rsidRPr="00FF6B9A">
        <w:rPr>
          <w:rFonts w:eastAsiaTheme="minorEastAsia"/>
          <w:color w:val="000000" w:themeColor="text1"/>
        </w:rPr>
        <w:t>扩围至核心二线城市；</w:t>
      </w:r>
      <w:r w:rsidRPr="00FF6B9A">
        <w:rPr>
          <w:rFonts w:eastAsiaTheme="minorEastAsia"/>
          <w:color w:val="000000" w:themeColor="text1"/>
        </w:rPr>
        <w:t>3.</w:t>
      </w:r>
      <w:r w:rsidRPr="00FF6B9A">
        <w:rPr>
          <w:rFonts w:eastAsiaTheme="minorEastAsia"/>
          <w:color w:val="000000" w:themeColor="text1"/>
        </w:rPr>
        <w:t>基建维稳信号再度强化。持续推进的稳增长力度，结合三季度宏观（货币利率、</w:t>
      </w:r>
      <w:r w:rsidRPr="00FF6B9A">
        <w:rPr>
          <w:rFonts w:eastAsiaTheme="minorEastAsia"/>
          <w:color w:val="000000" w:themeColor="text1"/>
        </w:rPr>
        <w:t>M2-</w:t>
      </w:r>
      <w:r w:rsidRPr="00FF6B9A">
        <w:rPr>
          <w:rFonts w:eastAsiaTheme="minorEastAsia"/>
          <w:color w:val="000000" w:themeColor="text1"/>
        </w:rPr>
        <w:t>社融）和微观</w:t>
      </w:r>
      <w:r w:rsidRPr="00FF6B9A">
        <w:rPr>
          <w:rFonts w:eastAsiaTheme="minorEastAsia"/>
          <w:color w:val="000000" w:themeColor="text1"/>
        </w:rPr>
        <w:t>(</w:t>
      </w:r>
      <w:r w:rsidRPr="00FF6B9A">
        <w:rPr>
          <w:rFonts w:eastAsiaTheme="minorEastAsia"/>
          <w:color w:val="000000" w:themeColor="text1"/>
        </w:rPr>
        <w:t>交易热度与仓位分化</w:t>
      </w:r>
      <w:r w:rsidRPr="00FF6B9A">
        <w:rPr>
          <w:rFonts w:eastAsiaTheme="minorEastAsia"/>
          <w:color w:val="000000" w:themeColor="text1"/>
        </w:rPr>
        <w:t>)</w:t>
      </w:r>
      <w:r w:rsidRPr="00FF6B9A">
        <w:rPr>
          <w:rFonts w:eastAsiaTheme="minorEastAsia"/>
          <w:color w:val="000000" w:themeColor="text1"/>
        </w:rPr>
        <w:t>指标均触及了历史极值，极值意味着收敛，说明预期已经发生边际变化，短期市场理应不再悲观。在这个前提下，安全边际较高且业绩平稳能够匹配估值的核心资产是万金油似的布局选择，跌幅较多，容易产生正向预期差的新兴产业接力方向（如机器人等）其弹性也值得期待。债券市场，我国现仍处于利率下行通道，受各地疫情脉冲式影响，经济增长预期略显悲观，这导致长期利率无反弹基础。另外，美联储从年初以来不断大幅加息，受制于汇率影响，未来我们实施货币政策的空间会不断受到挤压。因此，从当前情况展望未来，利率可能处于低位震荡的状态，打破僵局仍需静待宏观调控政策的落地发力。在具体投资策略上，我们仍将以金融资产的收益风险性价比分析为基础，通过量化模型在风险可控的基础上，持有预期有望创造长期稳定收益的投资组合。</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本报告期上投摩根动态多因子混合份额净值增长率为</w:t>
      </w:r>
      <w:r w:rsidRPr="00FF6B9A">
        <w:rPr>
          <w:rFonts w:eastAsiaTheme="minorEastAsia"/>
          <w:color w:val="000000" w:themeColor="text1"/>
        </w:rPr>
        <w:t>:-11.17%</w:t>
      </w:r>
      <w:r w:rsidRPr="00FF6B9A">
        <w:rPr>
          <w:rFonts w:eastAsiaTheme="minorEastAsia"/>
          <w:color w:val="000000" w:themeColor="text1"/>
        </w:rPr>
        <w:t>，同期业绩比较基准收益率为</w:t>
      </w:r>
      <w:r w:rsidRPr="00FF6B9A">
        <w:rPr>
          <w:rFonts w:eastAsiaTheme="minorEastAsia"/>
          <w:color w:val="000000" w:themeColor="text1"/>
        </w:rPr>
        <w:t>:-8.76%</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92,176,455.00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90.17</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92,176,455.00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90.17</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10,007,272.72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9.79</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44,955.13</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0.04</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102,228,682.85</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10,143,327.00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9.99</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56,494,663.00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55.64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6,564,062.00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6.46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9,720,885.00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9.57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6,288,762.00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6.19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2,964,756.00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92,176,455.00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90.78</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4C4C75">
        <w:tc>
          <w:tcPr>
            <w:tcW w:w="817" w:type="dxa"/>
            <w:vAlign w:val="center"/>
          </w:tcPr>
          <w:p w:rsidR="004C4C75" w:rsidRDefault="0000682B">
            <w:pPr>
              <w:jc w:val="center"/>
            </w:pPr>
            <w:r>
              <w:rPr>
                <w:rFonts w:eastAsiaTheme="minorEastAsia"/>
                <w:kern w:val="0"/>
                <w:sz w:val="24"/>
                <w:szCs w:val="24"/>
              </w:rPr>
              <w:t>1</w:t>
            </w:r>
          </w:p>
        </w:tc>
        <w:tc>
          <w:tcPr>
            <w:tcW w:w="1276" w:type="dxa"/>
            <w:vAlign w:val="center"/>
          </w:tcPr>
          <w:p w:rsidR="004C4C75" w:rsidRDefault="0000682B">
            <w:pPr>
              <w:jc w:val="center"/>
            </w:pPr>
            <w:r>
              <w:rPr>
                <w:rFonts w:eastAsiaTheme="minorEastAsia"/>
                <w:kern w:val="0"/>
                <w:sz w:val="24"/>
                <w:szCs w:val="24"/>
              </w:rPr>
              <w:t>600233</w:t>
            </w:r>
          </w:p>
        </w:tc>
        <w:tc>
          <w:tcPr>
            <w:tcW w:w="1701" w:type="dxa"/>
            <w:vAlign w:val="center"/>
          </w:tcPr>
          <w:p w:rsidR="004C4C75" w:rsidRDefault="0000682B">
            <w:pPr>
              <w:jc w:val="center"/>
            </w:pPr>
            <w:r>
              <w:rPr>
                <w:rFonts w:eastAsiaTheme="minorEastAsia"/>
                <w:kern w:val="0"/>
                <w:sz w:val="24"/>
                <w:szCs w:val="24"/>
              </w:rPr>
              <w:t>圆通速递</w:t>
            </w:r>
          </w:p>
        </w:tc>
        <w:tc>
          <w:tcPr>
            <w:tcW w:w="1276" w:type="dxa"/>
            <w:vAlign w:val="center"/>
          </w:tcPr>
          <w:p w:rsidR="004C4C75" w:rsidRDefault="0000682B">
            <w:pPr>
              <w:jc w:val="right"/>
            </w:pPr>
            <w:r>
              <w:rPr>
                <w:rFonts w:eastAsiaTheme="minorEastAsia"/>
                <w:kern w:val="0"/>
                <w:sz w:val="24"/>
                <w:szCs w:val="24"/>
              </w:rPr>
              <w:t>181,900.00</w:t>
            </w:r>
          </w:p>
        </w:tc>
        <w:tc>
          <w:tcPr>
            <w:tcW w:w="1842" w:type="dxa"/>
            <w:vAlign w:val="center"/>
          </w:tcPr>
          <w:p w:rsidR="004C4C75" w:rsidRDefault="0000682B">
            <w:pPr>
              <w:jc w:val="right"/>
            </w:pPr>
            <w:r>
              <w:rPr>
                <w:rFonts w:eastAsiaTheme="minorEastAsia"/>
                <w:kern w:val="0"/>
                <w:sz w:val="24"/>
                <w:szCs w:val="24"/>
              </w:rPr>
              <w:t>3,774,425.00</w:t>
            </w:r>
          </w:p>
        </w:tc>
        <w:tc>
          <w:tcPr>
            <w:tcW w:w="1616" w:type="dxa"/>
            <w:vAlign w:val="center"/>
          </w:tcPr>
          <w:p w:rsidR="004C4C75" w:rsidRDefault="0000682B">
            <w:pPr>
              <w:jc w:val="right"/>
            </w:pPr>
            <w:r>
              <w:rPr>
                <w:rFonts w:eastAsiaTheme="minorEastAsia"/>
                <w:kern w:val="0"/>
                <w:sz w:val="24"/>
                <w:szCs w:val="24"/>
              </w:rPr>
              <w:t>3.72</w:t>
            </w:r>
          </w:p>
        </w:tc>
      </w:tr>
      <w:tr w:rsidR="004C4C75">
        <w:tc>
          <w:tcPr>
            <w:tcW w:w="817" w:type="dxa"/>
            <w:vAlign w:val="center"/>
          </w:tcPr>
          <w:p w:rsidR="004C4C75" w:rsidRDefault="0000682B">
            <w:pPr>
              <w:jc w:val="center"/>
            </w:pPr>
            <w:r>
              <w:rPr>
                <w:rFonts w:eastAsiaTheme="minorEastAsia"/>
                <w:kern w:val="0"/>
                <w:sz w:val="24"/>
                <w:szCs w:val="24"/>
              </w:rPr>
              <w:t>2</w:t>
            </w:r>
          </w:p>
        </w:tc>
        <w:tc>
          <w:tcPr>
            <w:tcW w:w="1276" w:type="dxa"/>
            <w:vAlign w:val="center"/>
          </w:tcPr>
          <w:p w:rsidR="004C4C75" w:rsidRDefault="0000682B">
            <w:pPr>
              <w:jc w:val="center"/>
            </w:pPr>
            <w:r>
              <w:rPr>
                <w:rFonts w:eastAsiaTheme="minorEastAsia"/>
                <w:kern w:val="0"/>
                <w:sz w:val="24"/>
                <w:szCs w:val="24"/>
              </w:rPr>
              <w:t>301035</w:t>
            </w:r>
          </w:p>
        </w:tc>
        <w:tc>
          <w:tcPr>
            <w:tcW w:w="1701" w:type="dxa"/>
            <w:vAlign w:val="center"/>
          </w:tcPr>
          <w:p w:rsidR="004C4C75" w:rsidRDefault="0000682B">
            <w:pPr>
              <w:jc w:val="center"/>
            </w:pPr>
            <w:r>
              <w:rPr>
                <w:rFonts w:eastAsiaTheme="minorEastAsia"/>
                <w:kern w:val="0"/>
                <w:sz w:val="24"/>
                <w:szCs w:val="24"/>
              </w:rPr>
              <w:t>润丰股份</w:t>
            </w:r>
          </w:p>
        </w:tc>
        <w:tc>
          <w:tcPr>
            <w:tcW w:w="1276" w:type="dxa"/>
            <w:vAlign w:val="center"/>
          </w:tcPr>
          <w:p w:rsidR="004C4C75" w:rsidRDefault="0000682B">
            <w:pPr>
              <w:jc w:val="right"/>
            </w:pPr>
            <w:r>
              <w:rPr>
                <w:rFonts w:eastAsiaTheme="minorEastAsia"/>
                <w:kern w:val="0"/>
                <w:sz w:val="24"/>
                <w:szCs w:val="24"/>
              </w:rPr>
              <w:t>36,100.00</w:t>
            </w:r>
          </w:p>
        </w:tc>
        <w:tc>
          <w:tcPr>
            <w:tcW w:w="1842" w:type="dxa"/>
            <w:vAlign w:val="center"/>
          </w:tcPr>
          <w:p w:rsidR="004C4C75" w:rsidRDefault="0000682B">
            <w:pPr>
              <w:jc w:val="right"/>
            </w:pPr>
            <w:r>
              <w:rPr>
                <w:rFonts w:eastAsiaTheme="minorEastAsia"/>
                <w:kern w:val="0"/>
                <w:sz w:val="24"/>
                <w:szCs w:val="24"/>
              </w:rPr>
              <w:t>3,709,997.00</w:t>
            </w:r>
          </w:p>
        </w:tc>
        <w:tc>
          <w:tcPr>
            <w:tcW w:w="1616" w:type="dxa"/>
            <w:vAlign w:val="center"/>
          </w:tcPr>
          <w:p w:rsidR="004C4C75" w:rsidRDefault="0000682B">
            <w:pPr>
              <w:jc w:val="right"/>
            </w:pPr>
            <w:r>
              <w:rPr>
                <w:rFonts w:eastAsiaTheme="minorEastAsia"/>
                <w:kern w:val="0"/>
                <w:sz w:val="24"/>
                <w:szCs w:val="24"/>
              </w:rPr>
              <w:t>3.65</w:t>
            </w:r>
          </w:p>
        </w:tc>
      </w:tr>
      <w:tr w:rsidR="004C4C75">
        <w:tc>
          <w:tcPr>
            <w:tcW w:w="817" w:type="dxa"/>
            <w:vAlign w:val="center"/>
          </w:tcPr>
          <w:p w:rsidR="004C4C75" w:rsidRDefault="0000682B">
            <w:pPr>
              <w:jc w:val="center"/>
            </w:pPr>
            <w:r>
              <w:rPr>
                <w:rFonts w:eastAsiaTheme="minorEastAsia"/>
                <w:kern w:val="0"/>
                <w:sz w:val="24"/>
                <w:szCs w:val="24"/>
              </w:rPr>
              <w:t>3</w:t>
            </w:r>
          </w:p>
        </w:tc>
        <w:tc>
          <w:tcPr>
            <w:tcW w:w="1276" w:type="dxa"/>
            <w:vAlign w:val="center"/>
          </w:tcPr>
          <w:p w:rsidR="004C4C75" w:rsidRDefault="0000682B">
            <w:pPr>
              <w:jc w:val="center"/>
            </w:pPr>
            <w:r>
              <w:rPr>
                <w:rFonts w:eastAsiaTheme="minorEastAsia"/>
                <w:kern w:val="0"/>
                <w:sz w:val="24"/>
                <w:szCs w:val="24"/>
              </w:rPr>
              <w:t>688329</w:t>
            </w:r>
          </w:p>
        </w:tc>
        <w:tc>
          <w:tcPr>
            <w:tcW w:w="1701" w:type="dxa"/>
            <w:vAlign w:val="center"/>
          </w:tcPr>
          <w:p w:rsidR="004C4C75" w:rsidRDefault="0000682B">
            <w:pPr>
              <w:jc w:val="center"/>
            </w:pPr>
            <w:r>
              <w:rPr>
                <w:rFonts w:eastAsiaTheme="minorEastAsia"/>
                <w:kern w:val="0"/>
                <w:sz w:val="24"/>
                <w:szCs w:val="24"/>
              </w:rPr>
              <w:t>艾隆科技</w:t>
            </w:r>
          </w:p>
        </w:tc>
        <w:tc>
          <w:tcPr>
            <w:tcW w:w="1276" w:type="dxa"/>
            <w:vAlign w:val="center"/>
          </w:tcPr>
          <w:p w:rsidR="004C4C75" w:rsidRDefault="0000682B">
            <w:pPr>
              <w:jc w:val="right"/>
            </w:pPr>
            <w:r>
              <w:rPr>
                <w:rFonts w:eastAsiaTheme="minorEastAsia"/>
                <w:kern w:val="0"/>
                <w:sz w:val="24"/>
                <w:szCs w:val="24"/>
              </w:rPr>
              <w:t>96,700.00</w:t>
            </w:r>
          </w:p>
        </w:tc>
        <w:tc>
          <w:tcPr>
            <w:tcW w:w="1842" w:type="dxa"/>
            <w:vAlign w:val="center"/>
          </w:tcPr>
          <w:p w:rsidR="004C4C75" w:rsidRDefault="0000682B">
            <w:pPr>
              <w:jc w:val="right"/>
            </w:pPr>
            <w:r>
              <w:rPr>
                <w:rFonts w:eastAsiaTheme="minorEastAsia"/>
                <w:kern w:val="0"/>
                <w:sz w:val="24"/>
                <w:szCs w:val="24"/>
              </w:rPr>
              <w:t>3,672,666.00</w:t>
            </w:r>
          </w:p>
        </w:tc>
        <w:tc>
          <w:tcPr>
            <w:tcW w:w="1616" w:type="dxa"/>
            <w:vAlign w:val="center"/>
          </w:tcPr>
          <w:p w:rsidR="004C4C75" w:rsidRDefault="0000682B">
            <w:pPr>
              <w:jc w:val="right"/>
            </w:pPr>
            <w:r>
              <w:rPr>
                <w:rFonts w:eastAsiaTheme="minorEastAsia"/>
                <w:kern w:val="0"/>
                <w:sz w:val="24"/>
                <w:szCs w:val="24"/>
              </w:rPr>
              <w:t>3.62</w:t>
            </w:r>
          </w:p>
        </w:tc>
      </w:tr>
      <w:tr w:rsidR="004C4C75">
        <w:tc>
          <w:tcPr>
            <w:tcW w:w="817" w:type="dxa"/>
            <w:vAlign w:val="center"/>
          </w:tcPr>
          <w:p w:rsidR="004C4C75" w:rsidRDefault="0000682B">
            <w:pPr>
              <w:jc w:val="center"/>
            </w:pPr>
            <w:r>
              <w:rPr>
                <w:rFonts w:eastAsiaTheme="minorEastAsia"/>
                <w:kern w:val="0"/>
                <w:sz w:val="24"/>
                <w:szCs w:val="24"/>
              </w:rPr>
              <w:t>4</w:t>
            </w:r>
          </w:p>
        </w:tc>
        <w:tc>
          <w:tcPr>
            <w:tcW w:w="1276" w:type="dxa"/>
            <w:vAlign w:val="center"/>
          </w:tcPr>
          <w:p w:rsidR="004C4C75" w:rsidRDefault="0000682B">
            <w:pPr>
              <w:jc w:val="center"/>
            </w:pPr>
            <w:r>
              <w:rPr>
                <w:rFonts w:eastAsiaTheme="minorEastAsia"/>
                <w:kern w:val="0"/>
                <w:sz w:val="24"/>
                <w:szCs w:val="24"/>
              </w:rPr>
              <w:t>003033</w:t>
            </w:r>
          </w:p>
        </w:tc>
        <w:tc>
          <w:tcPr>
            <w:tcW w:w="1701" w:type="dxa"/>
            <w:vAlign w:val="center"/>
          </w:tcPr>
          <w:p w:rsidR="004C4C75" w:rsidRDefault="0000682B">
            <w:pPr>
              <w:jc w:val="center"/>
            </w:pPr>
            <w:r>
              <w:rPr>
                <w:rFonts w:eastAsiaTheme="minorEastAsia"/>
                <w:kern w:val="0"/>
                <w:sz w:val="24"/>
                <w:szCs w:val="24"/>
              </w:rPr>
              <w:t>征和工业</w:t>
            </w:r>
          </w:p>
        </w:tc>
        <w:tc>
          <w:tcPr>
            <w:tcW w:w="1276" w:type="dxa"/>
            <w:vAlign w:val="center"/>
          </w:tcPr>
          <w:p w:rsidR="004C4C75" w:rsidRDefault="0000682B">
            <w:pPr>
              <w:jc w:val="right"/>
            </w:pPr>
            <w:r>
              <w:rPr>
                <w:rFonts w:eastAsiaTheme="minorEastAsia"/>
                <w:kern w:val="0"/>
                <w:sz w:val="24"/>
                <w:szCs w:val="24"/>
              </w:rPr>
              <w:t>102,100.00</w:t>
            </w:r>
          </w:p>
        </w:tc>
        <w:tc>
          <w:tcPr>
            <w:tcW w:w="1842" w:type="dxa"/>
            <w:vAlign w:val="center"/>
          </w:tcPr>
          <w:p w:rsidR="004C4C75" w:rsidRDefault="0000682B">
            <w:pPr>
              <w:jc w:val="right"/>
            </w:pPr>
            <w:r>
              <w:rPr>
                <w:rFonts w:eastAsiaTheme="minorEastAsia"/>
                <w:kern w:val="0"/>
                <w:sz w:val="24"/>
                <w:szCs w:val="24"/>
              </w:rPr>
              <w:t>3,655,180.00</w:t>
            </w:r>
          </w:p>
        </w:tc>
        <w:tc>
          <w:tcPr>
            <w:tcW w:w="1616" w:type="dxa"/>
            <w:vAlign w:val="center"/>
          </w:tcPr>
          <w:p w:rsidR="004C4C75" w:rsidRDefault="0000682B">
            <w:pPr>
              <w:jc w:val="right"/>
            </w:pPr>
            <w:r>
              <w:rPr>
                <w:rFonts w:eastAsiaTheme="minorEastAsia"/>
                <w:kern w:val="0"/>
                <w:sz w:val="24"/>
                <w:szCs w:val="24"/>
              </w:rPr>
              <w:t>3.60</w:t>
            </w:r>
          </w:p>
        </w:tc>
      </w:tr>
      <w:tr w:rsidR="004C4C75">
        <w:tc>
          <w:tcPr>
            <w:tcW w:w="817" w:type="dxa"/>
            <w:vAlign w:val="center"/>
          </w:tcPr>
          <w:p w:rsidR="004C4C75" w:rsidRDefault="0000682B">
            <w:pPr>
              <w:jc w:val="center"/>
            </w:pPr>
            <w:r>
              <w:rPr>
                <w:rFonts w:eastAsiaTheme="minorEastAsia"/>
                <w:kern w:val="0"/>
                <w:sz w:val="24"/>
                <w:szCs w:val="24"/>
              </w:rPr>
              <w:t>5</w:t>
            </w:r>
          </w:p>
        </w:tc>
        <w:tc>
          <w:tcPr>
            <w:tcW w:w="1276" w:type="dxa"/>
            <w:vAlign w:val="center"/>
          </w:tcPr>
          <w:p w:rsidR="004C4C75" w:rsidRDefault="0000682B">
            <w:pPr>
              <w:jc w:val="center"/>
            </w:pPr>
            <w:r>
              <w:rPr>
                <w:rFonts w:eastAsiaTheme="minorEastAsia"/>
                <w:kern w:val="0"/>
                <w:sz w:val="24"/>
                <w:szCs w:val="24"/>
              </w:rPr>
              <w:t>600938</w:t>
            </w:r>
          </w:p>
        </w:tc>
        <w:tc>
          <w:tcPr>
            <w:tcW w:w="1701" w:type="dxa"/>
            <w:vAlign w:val="center"/>
          </w:tcPr>
          <w:p w:rsidR="004C4C75" w:rsidRDefault="0000682B">
            <w:pPr>
              <w:jc w:val="center"/>
            </w:pPr>
            <w:r>
              <w:rPr>
                <w:rFonts w:eastAsiaTheme="minorEastAsia"/>
                <w:kern w:val="0"/>
                <w:sz w:val="24"/>
                <w:szCs w:val="24"/>
              </w:rPr>
              <w:t>中国海油</w:t>
            </w:r>
          </w:p>
        </w:tc>
        <w:tc>
          <w:tcPr>
            <w:tcW w:w="1276" w:type="dxa"/>
            <w:vAlign w:val="center"/>
          </w:tcPr>
          <w:p w:rsidR="004C4C75" w:rsidRDefault="0000682B">
            <w:pPr>
              <w:jc w:val="right"/>
            </w:pPr>
            <w:r>
              <w:rPr>
                <w:rFonts w:eastAsiaTheme="minorEastAsia"/>
                <w:kern w:val="0"/>
                <w:sz w:val="24"/>
                <w:szCs w:val="24"/>
              </w:rPr>
              <w:t>219,900.00</w:t>
            </w:r>
          </w:p>
        </w:tc>
        <w:tc>
          <w:tcPr>
            <w:tcW w:w="1842" w:type="dxa"/>
            <w:vAlign w:val="center"/>
          </w:tcPr>
          <w:p w:rsidR="004C4C75" w:rsidRDefault="0000682B">
            <w:pPr>
              <w:jc w:val="right"/>
            </w:pPr>
            <w:r>
              <w:rPr>
                <w:rFonts w:eastAsiaTheme="minorEastAsia"/>
                <w:kern w:val="0"/>
                <w:sz w:val="24"/>
                <w:szCs w:val="24"/>
              </w:rPr>
              <w:t>3,481,017.00</w:t>
            </w:r>
          </w:p>
        </w:tc>
        <w:tc>
          <w:tcPr>
            <w:tcW w:w="1616" w:type="dxa"/>
            <w:vAlign w:val="center"/>
          </w:tcPr>
          <w:p w:rsidR="004C4C75" w:rsidRDefault="0000682B">
            <w:pPr>
              <w:jc w:val="right"/>
            </w:pPr>
            <w:r>
              <w:rPr>
                <w:rFonts w:eastAsiaTheme="minorEastAsia"/>
                <w:kern w:val="0"/>
                <w:sz w:val="24"/>
                <w:szCs w:val="24"/>
              </w:rPr>
              <w:t>3.43</w:t>
            </w:r>
          </w:p>
        </w:tc>
      </w:tr>
      <w:tr w:rsidR="004C4C75">
        <w:tc>
          <w:tcPr>
            <w:tcW w:w="817" w:type="dxa"/>
            <w:vAlign w:val="center"/>
          </w:tcPr>
          <w:p w:rsidR="004C4C75" w:rsidRDefault="0000682B">
            <w:pPr>
              <w:jc w:val="center"/>
            </w:pPr>
            <w:r>
              <w:rPr>
                <w:rFonts w:eastAsiaTheme="minorEastAsia"/>
                <w:kern w:val="0"/>
                <w:sz w:val="24"/>
                <w:szCs w:val="24"/>
              </w:rPr>
              <w:t>6</w:t>
            </w:r>
          </w:p>
        </w:tc>
        <w:tc>
          <w:tcPr>
            <w:tcW w:w="1276" w:type="dxa"/>
            <w:vAlign w:val="center"/>
          </w:tcPr>
          <w:p w:rsidR="004C4C75" w:rsidRDefault="0000682B">
            <w:pPr>
              <w:jc w:val="center"/>
            </w:pPr>
            <w:r>
              <w:rPr>
                <w:rFonts w:eastAsiaTheme="minorEastAsia"/>
                <w:kern w:val="0"/>
                <w:sz w:val="24"/>
                <w:szCs w:val="24"/>
              </w:rPr>
              <w:t>600873</w:t>
            </w:r>
          </w:p>
        </w:tc>
        <w:tc>
          <w:tcPr>
            <w:tcW w:w="1701" w:type="dxa"/>
            <w:vAlign w:val="center"/>
          </w:tcPr>
          <w:p w:rsidR="004C4C75" w:rsidRDefault="0000682B">
            <w:pPr>
              <w:jc w:val="center"/>
            </w:pPr>
            <w:r>
              <w:rPr>
                <w:rFonts w:eastAsiaTheme="minorEastAsia"/>
                <w:kern w:val="0"/>
                <w:sz w:val="24"/>
                <w:szCs w:val="24"/>
              </w:rPr>
              <w:t>梅花生物</w:t>
            </w:r>
          </w:p>
        </w:tc>
        <w:tc>
          <w:tcPr>
            <w:tcW w:w="1276" w:type="dxa"/>
            <w:vAlign w:val="center"/>
          </w:tcPr>
          <w:p w:rsidR="004C4C75" w:rsidRDefault="0000682B">
            <w:pPr>
              <w:jc w:val="right"/>
            </w:pPr>
            <w:r>
              <w:rPr>
                <w:rFonts w:eastAsiaTheme="minorEastAsia"/>
                <w:kern w:val="0"/>
                <w:sz w:val="24"/>
                <w:szCs w:val="24"/>
              </w:rPr>
              <w:t>341,500.00</w:t>
            </w:r>
          </w:p>
        </w:tc>
        <w:tc>
          <w:tcPr>
            <w:tcW w:w="1842" w:type="dxa"/>
            <w:vAlign w:val="center"/>
          </w:tcPr>
          <w:p w:rsidR="004C4C75" w:rsidRDefault="0000682B">
            <w:pPr>
              <w:jc w:val="right"/>
            </w:pPr>
            <w:r>
              <w:rPr>
                <w:rFonts w:eastAsiaTheme="minorEastAsia"/>
                <w:kern w:val="0"/>
                <w:sz w:val="24"/>
                <w:szCs w:val="24"/>
              </w:rPr>
              <w:t>3,459,395.00</w:t>
            </w:r>
          </w:p>
        </w:tc>
        <w:tc>
          <w:tcPr>
            <w:tcW w:w="1616" w:type="dxa"/>
            <w:vAlign w:val="center"/>
          </w:tcPr>
          <w:p w:rsidR="004C4C75" w:rsidRDefault="0000682B">
            <w:pPr>
              <w:jc w:val="right"/>
            </w:pPr>
            <w:r>
              <w:rPr>
                <w:rFonts w:eastAsiaTheme="minorEastAsia"/>
                <w:kern w:val="0"/>
                <w:sz w:val="24"/>
                <w:szCs w:val="24"/>
              </w:rPr>
              <w:t>3.41</w:t>
            </w:r>
          </w:p>
        </w:tc>
      </w:tr>
      <w:tr w:rsidR="004C4C75">
        <w:tc>
          <w:tcPr>
            <w:tcW w:w="817" w:type="dxa"/>
            <w:vAlign w:val="center"/>
          </w:tcPr>
          <w:p w:rsidR="004C4C75" w:rsidRDefault="0000682B">
            <w:pPr>
              <w:jc w:val="center"/>
            </w:pPr>
            <w:r>
              <w:rPr>
                <w:rFonts w:eastAsiaTheme="minorEastAsia"/>
                <w:kern w:val="0"/>
                <w:sz w:val="24"/>
                <w:szCs w:val="24"/>
              </w:rPr>
              <w:t>7</w:t>
            </w:r>
          </w:p>
        </w:tc>
        <w:tc>
          <w:tcPr>
            <w:tcW w:w="1276" w:type="dxa"/>
            <w:vAlign w:val="center"/>
          </w:tcPr>
          <w:p w:rsidR="004C4C75" w:rsidRDefault="0000682B">
            <w:pPr>
              <w:jc w:val="center"/>
            </w:pPr>
            <w:r>
              <w:rPr>
                <w:rFonts w:eastAsiaTheme="minorEastAsia"/>
                <w:kern w:val="0"/>
                <w:sz w:val="24"/>
                <w:szCs w:val="24"/>
              </w:rPr>
              <w:t>600395</w:t>
            </w:r>
          </w:p>
        </w:tc>
        <w:tc>
          <w:tcPr>
            <w:tcW w:w="1701" w:type="dxa"/>
            <w:vAlign w:val="center"/>
          </w:tcPr>
          <w:p w:rsidR="004C4C75" w:rsidRDefault="0000682B">
            <w:pPr>
              <w:jc w:val="center"/>
            </w:pPr>
            <w:r>
              <w:rPr>
                <w:rFonts w:eastAsiaTheme="minorEastAsia"/>
                <w:kern w:val="0"/>
                <w:sz w:val="24"/>
                <w:szCs w:val="24"/>
              </w:rPr>
              <w:t>盘江股份</w:t>
            </w:r>
          </w:p>
        </w:tc>
        <w:tc>
          <w:tcPr>
            <w:tcW w:w="1276" w:type="dxa"/>
            <w:vAlign w:val="center"/>
          </w:tcPr>
          <w:p w:rsidR="004C4C75" w:rsidRDefault="0000682B">
            <w:pPr>
              <w:jc w:val="right"/>
            </w:pPr>
            <w:r>
              <w:rPr>
                <w:rFonts w:eastAsiaTheme="minorEastAsia"/>
                <w:kern w:val="0"/>
                <w:sz w:val="24"/>
                <w:szCs w:val="24"/>
              </w:rPr>
              <w:t>397,000.00</w:t>
            </w:r>
          </w:p>
        </w:tc>
        <w:tc>
          <w:tcPr>
            <w:tcW w:w="1842" w:type="dxa"/>
            <w:vAlign w:val="center"/>
          </w:tcPr>
          <w:p w:rsidR="004C4C75" w:rsidRDefault="0000682B">
            <w:pPr>
              <w:jc w:val="right"/>
            </w:pPr>
            <w:r>
              <w:rPr>
                <w:rFonts w:eastAsiaTheme="minorEastAsia"/>
                <w:kern w:val="0"/>
                <w:sz w:val="24"/>
                <w:szCs w:val="24"/>
              </w:rPr>
              <w:t>3,366,560.00</w:t>
            </w:r>
          </w:p>
        </w:tc>
        <w:tc>
          <w:tcPr>
            <w:tcW w:w="1616" w:type="dxa"/>
            <w:vAlign w:val="center"/>
          </w:tcPr>
          <w:p w:rsidR="004C4C75" w:rsidRDefault="0000682B">
            <w:pPr>
              <w:jc w:val="right"/>
            </w:pPr>
            <w:r>
              <w:rPr>
                <w:rFonts w:eastAsiaTheme="minorEastAsia"/>
                <w:kern w:val="0"/>
                <w:sz w:val="24"/>
                <w:szCs w:val="24"/>
              </w:rPr>
              <w:t>3.32</w:t>
            </w:r>
          </w:p>
        </w:tc>
      </w:tr>
      <w:tr w:rsidR="004C4C75">
        <w:tc>
          <w:tcPr>
            <w:tcW w:w="817" w:type="dxa"/>
            <w:vAlign w:val="center"/>
          </w:tcPr>
          <w:p w:rsidR="004C4C75" w:rsidRDefault="0000682B">
            <w:pPr>
              <w:jc w:val="center"/>
            </w:pPr>
            <w:r>
              <w:rPr>
                <w:rFonts w:eastAsiaTheme="minorEastAsia"/>
                <w:kern w:val="0"/>
                <w:sz w:val="24"/>
                <w:szCs w:val="24"/>
              </w:rPr>
              <w:t>8</w:t>
            </w:r>
          </w:p>
        </w:tc>
        <w:tc>
          <w:tcPr>
            <w:tcW w:w="1276" w:type="dxa"/>
            <w:vAlign w:val="center"/>
          </w:tcPr>
          <w:p w:rsidR="004C4C75" w:rsidRDefault="0000682B">
            <w:pPr>
              <w:jc w:val="center"/>
            </w:pPr>
            <w:r>
              <w:rPr>
                <w:rFonts w:eastAsiaTheme="minorEastAsia"/>
                <w:kern w:val="0"/>
                <w:sz w:val="24"/>
                <w:szCs w:val="24"/>
              </w:rPr>
              <w:t>603992</w:t>
            </w:r>
          </w:p>
        </w:tc>
        <w:tc>
          <w:tcPr>
            <w:tcW w:w="1701" w:type="dxa"/>
            <w:vAlign w:val="center"/>
          </w:tcPr>
          <w:p w:rsidR="004C4C75" w:rsidRDefault="0000682B">
            <w:pPr>
              <w:jc w:val="center"/>
            </w:pPr>
            <w:r>
              <w:rPr>
                <w:rFonts w:eastAsiaTheme="minorEastAsia"/>
                <w:kern w:val="0"/>
                <w:sz w:val="24"/>
                <w:szCs w:val="24"/>
              </w:rPr>
              <w:t>松霖科技</w:t>
            </w:r>
          </w:p>
        </w:tc>
        <w:tc>
          <w:tcPr>
            <w:tcW w:w="1276" w:type="dxa"/>
            <w:vAlign w:val="center"/>
          </w:tcPr>
          <w:p w:rsidR="004C4C75" w:rsidRDefault="0000682B">
            <w:pPr>
              <w:jc w:val="right"/>
            </w:pPr>
            <w:r>
              <w:rPr>
                <w:rFonts w:eastAsiaTheme="minorEastAsia"/>
                <w:kern w:val="0"/>
                <w:sz w:val="24"/>
                <w:szCs w:val="24"/>
              </w:rPr>
              <w:t>249,900.00</w:t>
            </w:r>
          </w:p>
        </w:tc>
        <w:tc>
          <w:tcPr>
            <w:tcW w:w="1842" w:type="dxa"/>
            <w:vAlign w:val="center"/>
          </w:tcPr>
          <w:p w:rsidR="004C4C75" w:rsidRDefault="0000682B">
            <w:pPr>
              <w:jc w:val="right"/>
            </w:pPr>
            <w:r>
              <w:rPr>
                <w:rFonts w:eastAsiaTheme="minorEastAsia"/>
                <w:kern w:val="0"/>
                <w:sz w:val="24"/>
                <w:szCs w:val="24"/>
              </w:rPr>
              <w:t>3,361,155.00</w:t>
            </w:r>
          </w:p>
        </w:tc>
        <w:tc>
          <w:tcPr>
            <w:tcW w:w="1616" w:type="dxa"/>
            <w:vAlign w:val="center"/>
          </w:tcPr>
          <w:p w:rsidR="004C4C75" w:rsidRDefault="0000682B">
            <w:pPr>
              <w:jc w:val="right"/>
            </w:pPr>
            <w:r>
              <w:rPr>
                <w:rFonts w:eastAsiaTheme="minorEastAsia"/>
                <w:kern w:val="0"/>
                <w:sz w:val="24"/>
                <w:szCs w:val="24"/>
              </w:rPr>
              <w:t>3.31</w:t>
            </w:r>
          </w:p>
        </w:tc>
      </w:tr>
      <w:tr w:rsidR="004C4C75">
        <w:tc>
          <w:tcPr>
            <w:tcW w:w="817" w:type="dxa"/>
            <w:vAlign w:val="center"/>
          </w:tcPr>
          <w:p w:rsidR="004C4C75" w:rsidRDefault="0000682B">
            <w:pPr>
              <w:jc w:val="center"/>
            </w:pPr>
            <w:r>
              <w:rPr>
                <w:rFonts w:eastAsiaTheme="minorEastAsia"/>
                <w:kern w:val="0"/>
                <w:sz w:val="24"/>
                <w:szCs w:val="24"/>
              </w:rPr>
              <w:t>9</w:t>
            </w:r>
          </w:p>
        </w:tc>
        <w:tc>
          <w:tcPr>
            <w:tcW w:w="1276" w:type="dxa"/>
            <w:vAlign w:val="center"/>
          </w:tcPr>
          <w:p w:rsidR="004C4C75" w:rsidRDefault="0000682B">
            <w:pPr>
              <w:jc w:val="center"/>
            </w:pPr>
            <w:r>
              <w:rPr>
                <w:rFonts w:eastAsiaTheme="minorEastAsia"/>
                <w:kern w:val="0"/>
                <w:sz w:val="24"/>
                <w:szCs w:val="24"/>
              </w:rPr>
              <w:t>601117</w:t>
            </w:r>
          </w:p>
        </w:tc>
        <w:tc>
          <w:tcPr>
            <w:tcW w:w="1701" w:type="dxa"/>
            <w:vAlign w:val="center"/>
          </w:tcPr>
          <w:p w:rsidR="004C4C75" w:rsidRDefault="0000682B">
            <w:pPr>
              <w:jc w:val="center"/>
            </w:pPr>
            <w:r>
              <w:rPr>
                <w:rFonts w:eastAsiaTheme="minorEastAsia"/>
                <w:kern w:val="0"/>
                <w:sz w:val="24"/>
                <w:szCs w:val="24"/>
              </w:rPr>
              <w:t>中国化学</w:t>
            </w:r>
          </w:p>
        </w:tc>
        <w:tc>
          <w:tcPr>
            <w:tcW w:w="1276" w:type="dxa"/>
            <w:vAlign w:val="center"/>
          </w:tcPr>
          <w:p w:rsidR="004C4C75" w:rsidRDefault="0000682B">
            <w:pPr>
              <w:jc w:val="right"/>
            </w:pPr>
            <w:r>
              <w:rPr>
                <w:rFonts w:eastAsiaTheme="minorEastAsia"/>
                <w:kern w:val="0"/>
                <w:sz w:val="24"/>
                <w:szCs w:val="24"/>
              </w:rPr>
              <w:t>414,200.00</w:t>
            </w:r>
          </w:p>
        </w:tc>
        <w:tc>
          <w:tcPr>
            <w:tcW w:w="1842" w:type="dxa"/>
            <w:vAlign w:val="center"/>
          </w:tcPr>
          <w:p w:rsidR="004C4C75" w:rsidRDefault="0000682B">
            <w:pPr>
              <w:jc w:val="right"/>
            </w:pPr>
            <w:r>
              <w:rPr>
                <w:rFonts w:eastAsiaTheme="minorEastAsia"/>
                <w:kern w:val="0"/>
                <w:sz w:val="24"/>
                <w:szCs w:val="24"/>
              </w:rPr>
              <w:t>3,317,742.00</w:t>
            </w:r>
          </w:p>
        </w:tc>
        <w:tc>
          <w:tcPr>
            <w:tcW w:w="1616" w:type="dxa"/>
            <w:vAlign w:val="center"/>
          </w:tcPr>
          <w:p w:rsidR="004C4C75" w:rsidRDefault="0000682B">
            <w:pPr>
              <w:jc w:val="right"/>
            </w:pPr>
            <w:r>
              <w:rPr>
                <w:rFonts w:eastAsiaTheme="minorEastAsia"/>
                <w:kern w:val="0"/>
                <w:sz w:val="24"/>
                <w:szCs w:val="24"/>
              </w:rPr>
              <w:t>3.27</w:t>
            </w:r>
          </w:p>
        </w:tc>
      </w:tr>
      <w:tr w:rsidR="004C4C75">
        <w:tc>
          <w:tcPr>
            <w:tcW w:w="817" w:type="dxa"/>
            <w:vAlign w:val="center"/>
          </w:tcPr>
          <w:p w:rsidR="004C4C75" w:rsidRDefault="0000682B">
            <w:pPr>
              <w:jc w:val="center"/>
            </w:pPr>
            <w:r>
              <w:rPr>
                <w:rFonts w:eastAsiaTheme="minorEastAsia"/>
                <w:kern w:val="0"/>
                <w:sz w:val="24"/>
                <w:szCs w:val="24"/>
              </w:rPr>
              <w:t>10</w:t>
            </w:r>
          </w:p>
        </w:tc>
        <w:tc>
          <w:tcPr>
            <w:tcW w:w="1276" w:type="dxa"/>
            <w:vAlign w:val="center"/>
          </w:tcPr>
          <w:p w:rsidR="004C4C75" w:rsidRDefault="0000682B">
            <w:pPr>
              <w:jc w:val="center"/>
            </w:pPr>
            <w:r>
              <w:rPr>
                <w:rFonts w:eastAsiaTheme="minorEastAsia"/>
                <w:kern w:val="0"/>
                <w:sz w:val="24"/>
                <w:szCs w:val="24"/>
              </w:rPr>
              <w:t>600777</w:t>
            </w:r>
          </w:p>
        </w:tc>
        <w:tc>
          <w:tcPr>
            <w:tcW w:w="1701" w:type="dxa"/>
            <w:vAlign w:val="center"/>
          </w:tcPr>
          <w:p w:rsidR="004C4C75" w:rsidRDefault="0000682B">
            <w:pPr>
              <w:jc w:val="center"/>
            </w:pPr>
            <w:r>
              <w:rPr>
                <w:rFonts w:eastAsiaTheme="minorEastAsia"/>
                <w:kern w:val="0"/>
                <w:sz w:val="24"/>
                <w:szCs w:val="24"/>
              </w:rPr>
              <w:t>新潮能源</w:t>
            </w:r>
          </w:p>
        </w:tc>
        <w:tc>
          <w:tcPr>
            <w:tcW w:w="1276" w:type="dxa"/>
            <w:vAlign w:val="center"/>
          </w:tcPr>
          <w:p w:rsidR="004C4C75" w:rsidRDefault="0000682B">
            <w:pPr>
              <w:jc w:val="right"/>
            </w:pPr>
            <w:r>
              <w:rPr>
                <w:rFonts w:eastAsiaTheme="minorEastAsia"/>
                <w:kern w:val="0"/>
                <w:sz w:val="24"/>
                <w:szCs w:val="24"/>
              </w:rPr>
              <w:t>1,318,300.00</w:t>
            </w:r>
          </w:p>
        </w:tc>
        <w:tc>
          <w:tcPr>
            <w:tcW w:w="1842" w:type="dxa"/>
            <w:vAlign w:val="center"/>
          </w:tcPr>
          <w:p w:rsidR="004C4C75" w:rsidRDefault="0000682B">
            <w:pPr>
              <w:jc w:val="right"/>
            </w:pPr>
            <w:r>
              <w:rPr>
                <w:rFonts w:eastAsiaTheme="minorEastAsia"/>
                <w:kern w:val="0"/>
                <w:sz w:val="24"/>
                <w:szCs w:val="24"/>
              </w:rPr>
              <w:t>3,295,750.00</w:t>
            </w:r>
          </w:p>
        </w:tc>
        <w:tc>
          <w:tcPr>
            <w:tcW w:w="1616" w:type="dxa"/>
            <w:vAlign w:val="center"/>
          </w:tcPr>
          <w:p w:rsidR="004C4C75" w:rsidRDefault="0000682B">
            <w:pPr>
              <w:jc w:val="right"/>
            </w:pPr>
            <w:r>
              <w:rPr>
                <w:rFonts w:eastAsiaTheme="minorEastAsia"/>
                <w:kern w:val="0"/>
                <w:sz w:val="24"/>
                <w:szCs w:val="24"/>
              </w:rPr>
              <w:t>3.25</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本基金投资的前十名证券的发行主体中，山东新潮能源股份有限公司（股票代码</w:t>
      </w:r>
      <w:r w:rsidRPr="00FF6B9A">
        <w:rPr>
          <w:rFonts w:eastAsiaTheme="minorEastAsia"/>
          <w:color w:val="000000" w:themeColor="text1"/>
          <w:sz w:val="24"/>
          <w:szCs w:val="24"/>
        </w:rPr>
        <w:t>600777</w:t>
      </w:r>
      <w:r w:rsidRPr="00FF6B9A">
        <w:rPr>
          <w:rFonts w:eastAsiaTheme="minorEastAsia"/>
          <w:color w:val="000000" w:themeColor="text1"/>
          <w:sz w:val="24"/>
          <w:szCs w:val="24"/>
        </w:rPr>
        <w:t>）在报告编制日前一年内曾受到中国证券监督管理委员会、上海证券交易所的处罚。</w:t>
      </w:r>
    </w:p>
    <w:p w:rsidR="004C4C75" w:rsidRDefault="0000682B">
      <w:pPr>
        <w:spacing w:line="360" w:lineRule="auto"/>
        <w:rPr>
          <w:rFonts w:eastAsiaTheme="minorEastAsia"/>
          <w:color w:val="000000" w:themeColor="text1"/>
          <w:sz w:val="24"/>
          <w:szCs w:val="24"/>
        </w:rPr>
      </w:pPr>
      <w:r>
        <w:rPr>
          <w:rFonts w:eastAsiaTheme="minorEastAsia"/>
          <w:color w:val="000000" w:themeColor="text1"/>
          <w:sz w:val="24"/>
          <w:szCs w:val="24"/>
        </w:rPr>
        <w:t>本基金对上述主体所发行证券的投资决策程序符合相关法律法规、基金合同及公司投资制度的要求。</w:t>
      </w:r>
    </w:p>
    <w:p w:rsidR="004C4C75" w:rsidRDefault="0000682B">
      <w:pPr>
        <w:spacing w:line="360" w:lineRule="auto"/>
        <w:rPr>
          <w:rFonts w:eastAsiaTheme="minorEastAsia"/>
          <w:color w:val="000000" w:themeColor="text1"/>
          <w:sz w:val="24"/>
          <w:szCs w:val="24"/>
        </w:rPr>
      </w:pPr>
      <w:r>
        <w:rPr>
          <w:rFonts w:eastAsiaTheme="minorEastAsia"/>
          <w:color w:val="000000" w:themeColor="text1"/>
          <w:sz w:val="24"/>
          <w:szCs w:val="24"/>
        </w:rPr>
        <w:t>除上述股票外，本基金投资的其余前十名证券的发行主体本期未出现被监管部门立案调查，或在报告编制日前一年内受到公开谴责、处罚的情形。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41,039.49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3,915.64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44,955.13</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114,601,218.65</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700,258.42</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4,035,476.58</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111,266,000.49</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lastRenderedPageBreak/>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1</w:t>
      </w:r>
      <w:r>
        <w:rPr>
          <w:rFonts w:eastAsiaTheme="minorEastAsia"/>
          <w:color w:val="000000" w:themeColor="text1"/>
        </w:rPr>
        <w:t>、中国证监会准予上投摩根动态多因子策略灵活配置混合型证券投资基金募集注册的文件；</w:t>
      </w:r>
      <w:r>
        <w:rPr>
          <w:rFonts w:eastAsiaTheme="minorEastAsia"/>
          <w:color w:val="000000" w:themeColor="text1"/>
        </w:rPr>
        <w:t xml:space="preserve"> </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、《上投摩根动态多因子策略灵活配置混合型证券投资基金基金合同》；</w:t>
      </w:r>
      <w:r>
        <w:rPr>
          <w:rFonts w:eastAsiaTheme="minorEastAsia"/>
          <w:color w:val="000000" w:themeColor="text1"/>
        </w:rPr>
        <w:t xml:space="preserve"> </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、《上投摩根动态多因子策略灵活配置混合型证券投资基金托管协议》；</w:t>
      </w:r>
      <w:r>
        <w:rPr>
          <w:rFonts w:eastAsiaTheme="minorEastAsia"/>
          <w:color w:val="000000" w:themeColor="text1"/>
        </w:rPr>
        <w:t xml:space="preserve"> </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4</w:t>
      </w:r>
      <w:r>
        <w:rPr>
          <w:rFonts w:eastAsiaTheme="minorEastAsia"/>
          <w:color w:val="000000" w:themeColor="text1"/>
        </w:rPr>
        <w:t>、《上投摩根开放式基金业务规则》；</w:t>
      </w:r>
      <w:r>
        <w:rPr>
          <w:rFonts w:eastAsiaTheme="minorEastAsia"/>
          <w:color w:val="000000" w:themeColor="text1"/>
        </w:rPr>
        <w:t xml:space="preserve"> </w:t>
      </w:r>
    </w:p>
    <w:p w:rsidR="004C4C75" w:rsidRDefault="0000682B">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、基金管理人业务资格批件、营业执照；</w:t>
      </w:r>
      <w:r>
        <w:rPr>
          <w:rFonts w:eastAsiaTheme="minorEastAsia"/>
          <w:color w:val="000000" w:themeColor="text1"/>
        </w:rPr>
        <w:t xml:space="preserve"> </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6</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lastRenderedPageBreak/>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二〇二二年十月二十六日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00682B" w:rsidRPr="0000682B">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00682B">
      <w:rPr>
        <w:rStyle w:val="aff"/>
        <w:noProof/>
      </w:rPr>
      <w:t>15</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上投摩根动态多因子策略灵活配置混合型证券投资基金</w:t>
    </w:r>
    <w:r>
      <w:rPr>
        <w:rFonts w:hint="eastAsia"/>
      </w:rPr>
      <w:t>2022</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682B"/>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4C75"/>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064F24-EE74-456E-B154-32581332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268</cp:revision>
  <dcterms:created xsi:type="dcterms:W3CDTF">2012-10-16T06:07:00Z</dcterms:created>
  <dcterms:modified xsi:type="dcterms:W3CDTF">2022-10-25T05:29:00Z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