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摩根动态多因子策略灵活配置混合型证券投资基金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摩根动态多因子混合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001219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122,173,105.05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在严格控制风险的基础上，采用量化投资对基金资产进行积极管理，力争获取超越业绩基准的投资收益。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本基金采用数量化选股模型驱动的选股策略进行个股选择，并结合适当的资产配置策略搭建基金投资组合。</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在股票投资过程中，本基金将保持通过动态多因子模型选</w:t>
            </w:r>
            <w:r>
              <w:rPr>
                <w:rFonts w:eastAsiaTheme="minorEastAsia"/>
                <w:color w:val="000000" w:themeColor="text1"/>
                <w:kern w:val="0"/>
                <w:szCs w:val="21"/>
              </w:rPr>
              <w:lastRenderedPageBreak/>
              <w:t>股构建股票投资组合的投资策略，强调投资纪律、降低随意性投资带来的风险，力争实现基金资产的长期稳定增值。</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通过基金管理人开发的动态多因子模型进行股票选择并据此构建股票投资组合。动态多因子模型在实际运行过程中将定期或不定期地进行修正，优化股票投资组合。</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7264E" w:rsidRDefault="007302E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001219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121,104,935.59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1,068,169.46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3,024,238.17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-5,375.49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6,204,432.59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30,992.20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0.0619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123,504,781.22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1,084,393.38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1.0198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1.0152</w:t>
            </w:r>
          </w:p>
        </w:tc>
      </w:tr>
    </w:tbl>
    <w:p w:rsidR="00A7264E" w:rsidRDefault="007302E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7264E">
        <w:tc>
          <w:tcPr>
            <w:tcW w:w="1290" w:type="dxa"/>
            <w:vAlign w:val="center"/>
          </w:tcPr>
          <w:p w:rsidR="00A7264E" w:rsidRDefault="007302E4">
            <w:pPr>
              <w:jc w:val="left"/>
            </w:pPr>
            <w:r>
              <w:rPr>
                <w:rFonts w:eastAsiaTheme="minorEastAsia"/>
                <w:color w:val="000000" w:themeColor="text1"/>
                <w:szCs w:val="21"/>
              </w:rPr>
              <w:t>过去三个月</w:t>
            </w:r>
          </w:p>
        </w:tc>
        <w:tc>
          <w:tcPr>
            <w:tcW w:w="1291" w:type="dxa"/>
            <w:vAlign w:val="center"/>
          </w:tcPr>
          <w:p w:rsidR="00A7264E" w:rsidRDefault="007302E4">
            <w:pPr>
              <w:jc w:val="right"/>
            </w:pPr>
            <w:r>
              <w:rPr>
                <w:rFonts w:eastAsiaTheme="minorEastAsia"/>
                <w:color w:val="000000" w:themeColor="text1"/>
                <w:szCs w:val="21"/>
              </w:rPr>
              <w:t>5.57%</w:t>
            </w:r>
          </w:p>
        </w:tc>
        <w:tc>
          <w:tcPr>
            <w:tcW w:w="1291" w:type="dxa"/>
            <w:vAlign w:val="center"/>
          </w:tcPr>
          <w:p w:rsidR="00A7264E" w:rsidRDefault="007302E4">
            <w:pPr>
              <w:jc w:val="right"/>
            </w:pPr>
            <w:r>
              <w:rPr>
                <w:rFonts w:eastAsiaTheme="minorEastAsia"/>
                <w:color w:val="000000" w:themeColor="text1"/>
                <w:szCs w:val="21"/>
              </w:rPr>
              <w:t>0.94%</w:t>
            </w:r>
          </w:p>
        </w:tc>
        <w:tc>
          <w:tcPr>
            <w:tcW w:w="1291" w:type="dxa"/>
            <w:vAlign w:val="center"/>
          </w:tcPr>
          <w:p w:rsidR="00A7264E" w:rsidRDefault="007302E4">
            <w:pPr>
              <w:jc w:val="right"/>
            </w:pPr>
            <w:r>
              <w:rPr>
                <w:rFonts w:eastAsiaTheme="minorEastAsia"/>
                <w:color w:val="000000" w:themeColor="text1"/>
                <w:szCs w:val="21"/>
              </w:rPr>
              <w:t>-2.68%</w:t>
            </w:r>
          </w:p>
        </w:tc>
        <w:tc>
          <w:tcPr>
            <w:tcW w:w="1291" w:type="dxa"/>
            <w:vAlign w:val="center"/>
          </w:tcPr>
          <w:p w:rsidR="00A7264E" w:rsidRDefault="007302E4">
            <w:pPr>
              <w:jc w:val="right"/>
            </w:pPr>
            <w:r>
              <w:rPr>
                <w:rFonts w:eastAsiaTheme="minorEastAsia"/>
                <w:color w:val="000000" w:themeColor="text1"/>
                <w:szCs w:val="21"/>
              </w:rPr>
              <w:t>0.49%</w:t>
            </w:r>
          </w:p>
        </w:tc>
        <w:tc>
          <w:tcPr>
            <w:tcW w:w="1291" w:type="dxa"/>
            <w:vAlign w:val="center"/>
          </w:tcPr>
          <w:p w:rsidR="00A7264E" w:rsidRDefault="007302E4">
            <w:pPr>
              <w:jc w:val="right"/>
            </w:pPr>
            <w:r>
              <w:rPr>
                <w:rFonts w:eastAsiaTheme="minorEastAsia"/>
                <w:color w:val="000000" w:themeColor="text1"/>
                <w:szCs w:val="21"/>
              </w:rPr>
              <w:t>8.25%</w:t>
            </w:r>
          </w:p>
        </w:tc>
        <w:tc>
          <w:tcPr>
            <w:tcW w:w="1291" w:type="dxa"/>
            <w:vAlign w:val="center"/>
          </w:tcPr>
          <w:p w:rsidR="00A7264E" w:rsidRDefault="007302E4">
            <w:pPr>
              <w:jc w:val="right"/>
            </w:pPr>
            <w:r>
              <w:rPr>
                <w:rFonts w:eastAsiaTheme="minorEastAsia"/>
                <w:color w:val="000000" w:themeColor="text1"/>
                <w:szCs w:val="21"/>
              </w:rPr>
              <w:t>0.45%</w:t>
            </w:r>
          </w:p>
        </w:tc>
      </w:tr>
      <w:tr w:rsidR="00A7264E">
        <w:tc>
          <w:tcPr>
            <w:tcW w:w="1290" w:type="dxa"/>
            <w:vAlign w:val="center"/>
          </w:tcPr>
          <w:p w:rsidR="00A7264E" w:rsidRDefault="007302E4">
            <w:pPr>
              <w:jc w:val="left"/>
            </w:pPr>
            <w:r>
              <w:rPr>
                <w:rFonts w:eastAsiaTheme="minorEastAsia"/>
                <w:color w:val="000000" w:themeColor="text1"/>
                <w:szCs w:val="21"/>
              </w:rPr>
              <w:t>过去六个月</w:t>
            </w:r>
          </w:p>
        </w:tc>
        <w:tc>
          <w:tcPr>
            <w:tcW w:w="1291" w:type="dxa"/>
            <w:vAlign w:val="center"/>
          </w:tcPr>
          <w:p w:rsidR="00A7264E" w:rsidRDefault="007302E4">
            <w:pPr>
              <w:jc w:val="right"/>
            </w:pPr>
            <w:r>
              <w:rPr>
                <w:rFonts w:eastAsiaTheme="minorEastAsia"/>
                <w:color w:val="000000" w:themeColor="text1"/>
                <w:szCs w:val="21"/>
              </w:rPr>
              <w:t>16.08%</w:t>
            </w:r>
          </w:p>
        </w:tc>
        <w:tc>
          <w:tcPr>
            <w:tcW w:w="1291" w:type="dxa"/>
            <w:vAlign w:val="center"/>
          </w:tcPr>
          <w:p w:rsidR="00A7264E" w:rsidRDefault="007302E4">
            <w:pPr>
              <w:jc w:val="right"/>
            </w:pPr>
            <w:r>
              <w:rPr>
                <w:rFonts w:eastAsiaTheme="minorEastAsia"/>
                <w:color w:val="000000" w:themeColor="text1"/>
                <w:szCs w:val="21"/>
              </w:rPr>
              <w:t>0.90%</w:t>
            </w:r>
          </w:p>
        </w:tc>
        <w:tc>
          <w:tcPr>
            <w:tcW w:w="1291" w:type="dxa"/>
            <w:vAlign w:val="center"/>
          </w:tcPr>
          <w:p w:rsidR="00A7264E" w:rsidRDefault="007302E4">
            <w:pPr>
              <w:jc w:val="right"/>
            </w:pPr>
            <w:r>
              <w:rPr>
                <w:rFonts w:eastAsiaTheme="minorEastAsia"/>
                <w:color w:val="000000" w:themeColor="text1"/>
                <w:szCs w:val="21"/>
              </w:rPr>
              <w:t>-0.11%</w:t>
            </w:r>
          </w:p>
        </w:tc>
        <w:tc>
          <w:tcPr>
            <w:tcW w:w="1291" w:type="dxa"/>
            <w:vAlign w:val="center"/>
          </w:tcPr>
          <w:p w:rsidR="00A7264E" w:rsidRDefault="007302E4">
            <w:pPr>
              <w:jc w:val="right"/>
            </w:pPr>
            <w:r>
              <w:rPr>
                <w:rFonts w:eastAsiaTheme="minorEastAsia"/>
                <w:color w:val="000000" w:themeColor="text1"/>
                <w:szCs w:val="21"/>
              </w:rPr>
              <w:t>0.50%</w:t>
            </w:r>
          </w:p>
        </w:tc>
        <w:tc>
          <w:tcPr>
            <w:tcW w:w="1291" w:type="dxa"/>
            <w:vAlign w:val="center"/>
          </w:tcPr>
          <w:p w:rsidR="00A7264E" w:rsidRDefault="007302E4">
            <w:pPr>
              <w:jc w:val="right"/>
            </w:pPr>
            <w:r>
              <w:rPr>
                <w:rFonts w:eastAsiaTheme="minorEastAsia"/>
                <w:color w:val="000000" w:themeColor="text1"/>
                <w:szCs w:val="21"/>
              </w:rPr>
              <w:t>16.19%</w:t>
            </w:r>
          </w:p>
        </w:tc>
        <w:tc>
          <w:tcPr>
            <w:tcW w:w="1291" w:type="dxa"/>
            <w:vAlign w:val="center"/>
          </w:tcPr>
          <w:p w:rsidR="00A7264E" w:rsidRDefault="007302E4">
            <w:pPr>
              <w:jc w:val="right"/>
            </w:pPr>
            <w:r>
              <w:rPr>
                <w:rFonts w:eastAsiaTheme="minorEastAsia"/>
                <w:color w:val="000000" w:themeColor="text1"/>
                <w:szCs w:val="21"/>
              </w:rPr>
              <w:t>0.40%</w:t>
            </w:r>
          </w:p>
        </w:tc>
      </w:tr>
      <w:tr w:rsidR="00A7264E">
        <w:tc>
          <w:tcPr>
            <w:tcW w:w="1290" w:type="dxa"/>
            <w:vAlign w:val="center"/>
          </w:tcPr>
          <w:p w:rsidR="00A7264E" w:rsidRDefault="007302E4">
            <w:pPr>
              <w:jc w:val="left"/>
            </w:pPr>
            <w:r>
              <w:rPr>
                <w:rFonts w:eastAsiaTheme="minorEastAsia"/>
                <w:color w:val="000000" w:themeColor="text1"/>
                <w:szCs w:val="21"/>
              </w:rPr>
              <w:t>过去一年</w:t>
            </w:r>
          </w:p>
        </w:tc>
        <w:tc>
          <w:tcPr>
            <w:tcW w:w="1291" w:type="dxa"/>
            <w:vAlign w:val="center"/>
          </w:tcPr>
          <w:p w:rsidR="00A7264E" w:rsidRDefault="007302E4">
            <w:pPr>
              <w:jc w:val="right"/>
            </w:pPr>
            <w:r>
              <w:rPr>
                <w:rFonts w:eastAsiaTheme="minorEastAsia"/>
                <w:color w:val="000000" w:themeColor="text1"/>
                <w:szCs w:val="21"/>
              </w:rPr>
              <w:t>-0.74%</w:t>
            </w:r>
          </w:p>
        </w:tc>
        <w:tc>
          <w:tcPr>
            <w:tcW w:w="1291" w:type="dxa"/>
            <w:vAlign w:val="center"/>
          </w:tcPr>
          <w:p w:rsidR="00A7264E" w:rsidRDefault="007302E4">
            <w:pPr>
              <w:jc w:val="right"/>
            </w:pPr>
            <w:r>
              <w:rPr>
                <w:rFonts w:eastAsiaTheme="minorEastAsia"/>
                <w:color w:val="000000" w:themeColor="text1"/>
                <w:szCs w:val="21"/>
              </w:rPr>
              <w:t>1.11%</w:t>
            </w:r>
          </w:p>
        </w:tc>
        <w:tc>
          <w:tcPr>
            <w:tcW w:w="1291" w:type="dxa"/>
            <w:vAlign w:val="center"/>
          </w:tcPr>
          <w:p w:rsidR="00A7264E" w:rsidRDefault="007302E4">
            <w:pPr>
              <w:jc w:val="right"/>
            </w:pPr>
            <w:r>
              <w:rPr>
                <w:rFonts w:eastAsiaTheme="minorEastAsia"/>
                <w:color w:val="000000" w:themeColor="text1"/>
                <w:szCs w:val="21"/>
              </w:rPr>
              <w:t>-8.06%</w:t>
            </w:r>
          </w:p>
        </w:tc>
        <w:tc>
          <w:tcPr>
            <w:tcW w:w="1291" w:type="dxa"/>
            <w:vAlign w:val="center"/>
          </w:tcPr>
          <w:p w:rsidR="00A7264E" w:rsidRDefault="007302E4">
            <w:pPr>
              <w:jc w:val="right"/>
            </w:pPr>
            <w:r>
              <w:rPr>
                <w:rFonts w:eastAsiaTheme="minorEastAsia"/>
                <w:color w:val="000000" w:themeColor="text1"/>
                <w:szCs w:val="21"/>
              </w:rPr>
              <w:t>0.59%</w:t>
            </w:r>
          </w:p>
        </w:tc>
        <w:tc>
          <w:tcPr>
            <w:tcW w:w="1291" w:type="dxa"/>
            <w:vAlign w:val="center"/>
          </w:tcPr>
          <w:p w:rsidR="00A7264E" w:rsidRDefault="007302E4">
            <w:pPr>
              <w:jc w:val="right"/>
            </w:pPr>
            <w:r>
              <w:rPr>
                <w:rFonts w:eastAsiaTheme="minorEastAsia"/>
                <w:color w:val="000000" w:themeColor="text1"/>
                <w:szCs w:val="21"/>
              </w:rPr>
              <w:t>7.32%</w:t>
            </w:r>
          </w:p>
        </w:tc>
        <w:tc>
          <w:tcPr>
            <w:tcW w:w="1291" w:type="dxa"/>
            <w:vAlign w:val="center"/>
          </w:tcPr>
          <w:p w:rsidR="00A7264E" w:rsidRDefault="007302E4">
            <w:pPr>
              <w:jc w:val="right"/>
            </w:pPr>
            <w:r>
              <w:rPr>
                <w:rFonts w:eastAsiaTheme="minorEastAsia"/>
                <w:color w:val="000000" w:themeColor="text1"/>
                <w:szCs w:val="21"/>
              </w:rPr>
              <w:t>0.52%</w:t>
            </w:r>
          </w:p>
        </w:tc>
      </w:tr>
      <w:tr w:rsidR="00A7264E">
        <w:tc>
          <w:tcPr>
            <w:tcW w:w="1290" w:type="dxa"/>
            <w:vAlign w:val="center"/>
          </w:tcPr>
          <w:p w:rsidR="00A7264E" w:rsidRDefault="007302E4">
            <w:pPr>
              <w:jc w:val="left"/>
            </w:pPr>
            <w:r>
              <w:rPr>
                <w:rFonts w:eastAsiaTheme="minorEastAsia"/>
                <w:color w:val="000000" w:themeColor="text1"/>
                <w:szCs w:val="21"/>
              </w:rPr>
              <w:t>过去三年</w:t>
            </w:r>
          </w:p>
        </w:tc>
        <w:tc>
          <w:tcPr>
            <w:tcW w:w="1291" w:type="dxa"/>
            <w:vAlign w:val="center"/>
          </w:tcPr>
          <w:p w:rsidR="00A7264E" w:rsidRDefault="007302E4">
            <w:pPr>
              <w:jc w:val="right"/>
            </w:pPr>
            <w:r>
              <w:rPr>
                <w:rFonts w:eastAsiaTheme="minorEastAsia"/>
                <w:color w:val="000000" w:themeColor="text1"/>
                <w:szCs w:val="21"/>
              </w:rPr>
              <w:t>5.46%</w:t>
            </w:r>
          </w:p>
        </w:tc>
        <w:tc>
          <w:tcPr>
            <w:tcW w:w="1291" w:type="dxa"/>
            <w:vAlign w:val="center"/>
          </w:tcPr>
          <w:p w:rsidR="00A7264E" w:rsidRDefault="007302E4">
            <w:pPr>
              <w:jc w:val="right"/>
            </w:pPr>
            <w:r>
              <w:rPr>
                <w:rFonts w:eastAsiaTheme="minorEastAsia"/>
                <w:color w:val="000000" w:themeColor="text1"/>
                <w:szCs w:val="21"/>
              </w:rPr>
              <w:t>1.18%</w:t>
            </w:r>
          </w:p>
        </w:tc>
        <w:tc>
          <w:tcPr>
            <w:tcW w:w="1291" w:type="dxa"/>
            <w:vAlign w:val="center"/>
          </w:tcPr>
          <w:p w:rsidR="00A7264E" w:rsidRDefault="007302E4">
            <w:pPr>
              <w:jc w:val="right"/>
            </w:pPr>
            <w:r>
              <w:rPr>
                <w:rFonts w:eastAsiaTheme="minorEastAsia"/>
                <w:color w:val="000000" w:themeColor="text1"/>
                <w:szCs w:val="21"/>
              </w:rPr>
              <w:t>-3.70%</w:t>
            </w:r>
          </w:p>
        </w:tc>
        <w:tc>
          <w:tcPr>
            <w:tcW w:w="1291" w:type="dxa"/>
            <w:vAlign w:val="center"/>
          </w:tcPr>
          <w:p w:rsidR="00A7264E" w:rsidRDefault="007302E4">
            <w:pPr>
              <w:jc w:val="right"/>
            </w:pPr>
            <w:r>
              <w:rPr>
                <w:rFonts w:eastAsiaTheme="minorEastAsia"/>
                <w:color w:val="000000" w:themeColor="text1"/>
                <w:szCs w:val="21"/>
              </w:rPr>
              <w:t>0.71%</w:t>
            </w:r>
          </w:p>
        </w:tc>
        <w:tc>
          <w:tcPr>
            <w:tcW w:w="1291" w:type="dxa"/>
            <w:vAlign w:val="center"/>
          </w:tcPr>
          <w:p w:rsidR="00A7264E" w:rsidRDefault="007302E4">
            <w:pPr>
              <w:jc w:val="right"/>
            </w:pPr>
            <w:r>
              <w:rPr>
                <w:rFonts w:eastAsiaTheme="minorEastAsia"/>
                <w:color w:val="000000" w:themeColor="text1"/>
                <w:szCs w:val="21"/>
              </w:rPr>
              <w:t>9.16%</w:t>
            </w:r>
          </w:p>
        </w:tc>
        <w:tc>
          <w:tcPr>
            <w:tcW w:w="1291" w:type="dxa"/>
            <w:vAlign w:val="center"/>
          </w:tcPr>
          <w:p w:rsidR="00A7264E" w:rsidRDefault="007302E4">
            <w:pPr>
              <w:jc w:val="right"/>
            </w:pPr>
            <w:r>
              <w:rPr>
                <w:rFonts w:eastAsiaTheme="minorEastAsia"/>
                <w:color w:val="000000" w:themeColor="text1"/>
                <w:szCs w:val="21"/>
              </w:rPr>
              <w:t>0.47%</w:t>
            </w:r>
          </w:p>
        </w:tc>
      </w:tr>
      <w:tr w:rsidR="00A7264E">
        <w:tc>
          <w:tcPr>
            <w:tcW w:w="1290" w:type="dxa"/>
            <w:vAlign w:val="center"/>
          </w:tcPr>
          <w:p w:rsidR="00A7264E" w:rsidRDefault="007302E4">
            <w:pPr>
              <w:jc w:val="left"/>
            </w:pPr>
            <w:r>
              <w:rPr>
                <w:rFonts w:eastAsiaTheme="minorEastAsia"/>
                <w:color w:val="000000" w:themeColor="text1"/>
                <w:szCs w:val="21"/>
              </w:rPr>
              <w:t>过去五年</w:t>
            </w:r>
          </w:p>
        </w:tc>
        <w:tc>
          <w:tcPr>
            <w:tcW w:w="1291" w:type="dxa"/>
            <w:vAlign w:val="center"/>
          </w:tcPr>
          <w:p w:rsidR="00A7264E" w:rsidRDefault="007302E4">
            <w:pPr>
              <w:jc w:val="right"/>
            </w:pPr>
            <w:r>
              <w:rPr>
                <w:rFonts w:eastAsiaTheme="minorEastAsia"/>
                <w:color w:val="000000" w:themeColor="text1"/>
                <w:szCs w:val="21"/>
              </w:rPr>
              <w:t>37.44%</w:t>
            </w:r>
          </w:p>
        </w:tc>
        <w:tc>
          <w:tcPr>
            <w:tcW w:w="1291" w:type="dxa"/>
            <w:vAlign w:val="center"/>
          </w:tcPr>
          <w:p w:rsidR="00A7264E" w:rsidRDefault="007302E4">
            <w:pPr>
              <w:jc w:val="right"/>
            </w:pPr>
            <w:r>
              <w:rPr>
                <w:rFonts w:eastAsiaTheme="minorEastAsia"/>
                <w:color w:val="000000" w:themeColor="text1"/>
                <w:szCs w:val="21"/>
              </w:rPr>
              <w:t>1.24%</w:t>
            </w:r>
          </w:p>
        </w:tc>
        <w:tc>
          <w:tcPr>
            <w:tcW w:w="1291" w:type="dxa"/>
            <w:vAlign w:val="center"/>
          </w:tcPr>
          <w:p w:rsidR="00A7264E" w:rsidRDefault="007302E4">
            <w:pPr>
              <w:jc w:val="right"/>
            </w:pPr>
            <w:r>
              <w:rPr>
                <w:rFonts w:eastAsiaTheme="minorEastAsia"/>
                <w:color w:val="000000" w:themeColor="text1"/>
                <w:szCs w:val="21"/>
              </w:rPr>
              <w:t>8.68%</w:t>
            </w:r>
          </w:p>
        </w:tc>
        <w:tc>
          <w:tcPr>
            <w:tcW w:w="1291" w:type="dxa"/>
            <w:vAlign w:val="center"/>
          </w:tcPr>
          <w:p w:rsidR="00A7264E" w:rsidRDefault="007302E4">
            <w:pPr>
              <w:jc w:val="right"/>
            </w:pPr>
            <w:r>
              <w:rPr>
                <w:rFonts w:eastAsiaTheme="minorEastAsia"/>
                <w:color w:val="000000" w:themeColor="text1"/>
                <w:szCs w:val="21"/>
              </w:rPr>
              <w:t>0.76%</w:t>
            </w:r>
          </w:p>
        </w:tc>
        <w:tc>
          <w:tcPr>
            <w:tcW w:w="1291" w:type="dxa"/>
            <w:vAlign w:val="center"/>
          </w:tcPr>
          <w:p w:rsidR="00A7264E" w:rsidRDefault="007302E4">
            <w:pPr>
              <w:jc w:val="right"/>
            </w:pPr>
            <w:r>
              <w:rPr>
                <w:rFonts w:eastAsiaTheme="minorEastAsia"/>
                <w:color w:val="000000" w:themeColor="text1"/>
                <w:szCs w:val="21"/>
              </w:rPr>
              <w:t>28.76%</w:t>
            </w:r>
          </w:p>
        </w:tc>
        <w:tc>
          <w:tcPr>
            <w:tcW w:w="1291" w:type="dxa"/>
            <w:vAlign w:val="center"/>
          </w:tcPr>
          <w:p w:rsidR="00A7264E" w:rsidRDefault="007302E4">
            <w:pPr>
              <w:jc w:val="right"/>
            </w:pPr>
            <w:r>
              <w:rPr>
                <w:rFonts w:eastAsiaTheme="minorEastAsia"/>
                <w:color w:val="000000" w:themeColor="text1"/>
                <w:szCs w:val="21"/>
              </w:rPr>
              <w:t>0.48%</w:t>
            </w:r>
          </w:p>
        </w:tc>
      </w:tr>
      <w:tr w:rsidR="00A7264E">
        <w:tc>
          <w:tcPr>
            <w:tcW w:w="1290" w:type="dxa"/>
            <w:vAlign w:val="center"/>
          </w:tcPr>
          <w:p w:rsidR="00A7264E" w:rsidRDefault="007302E4">
            <w:pPr>
              <w:jc w:val="left"/>
            </w:pPr>
            <w:r>
              <w:rPr>
                <w:rFonts w:eastAsiaTheme="minorEastAsia"/>
                <w:color w:val="000000" w:themeColor="text1"/>
                <w:szCs w:val="21"/>
              </w:rPr>
              <w:t>自基金合同生效起至今</w:t>
            </w:r>
          </w:p>
        </w:tc>
        <w:tc>
          <w:tcPr>
            <w:tcW w:w="1291" w:type="dxa"/>
            <w:vAlign w:val="center"/>
          </w:tcPr>
          <w:p w:rsidR="00A7264E" w:rsidRDefault="007302E4">
            <w:pPr>
              <w:jc w:val="right"/>
            </w:pPr>
            <w:r>
              <w:rPr>
                <w:rFonts w:eastAsiaTheme="minorEastAsia"/>
                <w:color w:val="000000" w:themeColor="text1"/>
                <w:szCs w:val="21"/>
              </w:rPr>
              <w:t>1.98%</w:t>
            </w:r>
          </w:p>
        </w:tc>
        <w:tc>
          <w:tcPr>
            <w:tcW w:w="1291" w:type="dxa"/>
            <w:vAlign w:val="center"/>
          </w:tcPr>
          <w:p w:rsidR="00A7264E" w:rsidRDefault="007302E4">
            <w:pPr>
              <w:jc w:val="right"/>
            </w:pPr>
            <w:r>
              <w:rPr>
                <w:rFonts w:eastAsiaTheme="minorEastAsia"/>
                <w:color w:val="000000" w:themeColor="text1"/>
                <w:szCs w:val="21"/>
              </w:rPr>
              <w:t>1.38%</w:t>
            </w:r>
          </w:p>
        </w:tc>
        <w:tc>
          <w:tcPr>
            <w:tcW w:w="1291" w:type="dxa"/>
            <w:vAlign w:val="center"/>
          </w:tcPr>
          <w:p w:rsidR="00A7264E" w:rsidRDefault="007302E4">
            <w:pPr>
              <w:jc w:val="right"/>
            </w:pPr>
            <w:r>
              <w:rPr>
                <w:rFonts w:eastAsiaTheme="minorEastAsia"/>
                <w:color w:val="000000" w:themeColor="text1"/>
                <w:szCs w:val="21"/>
              </w:rPr>
              <w:t>-11.34%</w:t>
            </w:r>
          </w:p>
        </w:tc>
        <w:tc>
          <w:tcPr>
            <w:tcW w:w="1291" w:type="dxa"/>
            <w:vAlign w:val="center"/>
          </w:tcPr>
          <w:p w:rsidR="00A7264E" w:rsidRDefault="007302E4">
            <w:pPr>
              <w:jc w:val="right"/>
            </w:pPr>
            <w:r>
              <w:rPr>
                <w:rFonts w:eastAsiaTheme="minorEastAsia"/>
                <w:color w:val="000000" w:themeColor="text1"/>
                <w:szCs w:val="21"/>
              </w:rPr>
              <w:t>0.83%</w:t>
            </w:r>
          </w:p>
        </w:tc>
        <w:tc>
          <w:tcPr>
            <w:tcW w:w="1291" w:type="dxa"/>
            <w:vAlign w:val="center"/>
          </w:tcPr>
          <w:p w:rsidR="00A7264E" w:rsidRDefault="007302E4">
            <w:pPr>
              <w:jc w:val="right"/>
            </w:pPr>
            <w:r>
              <w:rPr>
                <w:rFonts w:eastAsiaTheme="minorEastAsia"/>
                <w:color w:val="000000" w:themeColor="text1"/>
                <w:szCs w:val="21"/>
              </w:rPr>
              <w:t>13.32%</w:t>
            </w:r>
          </w:p>
        </w:tc>
        <w:tc>
          <w:tcPr>
            <w:tcW w:w="1291" w:type="dxa"/>
            <w:vAlign w:val="center"/>
          </w:tcPr>
          <w:p w:rsidR="00A7264E" w:rsidRDefault="007302E4">
            <w:pPr>
              <w:jc w:val="right"/>
            </w:pPr>
            <w:r>
              <w:rPr>
                <w:rFonts w:eastAsiaTheme="minorEastAsia"/>
                <w:color w:val="000000" w:themeColor="text1"/>
                <w:szCs w:val="21"/>
              </w:rPr>
              <w:t>0.55%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7264E">
        <w:tc>
          <w:tcPr>
            <w:tcW w:w="1290" w:type="dxa"/>
            <w:vAlign w:val="center"/>
          </w:tcPr>
          <w:p w:rsidR="00A7264E" w:rsidRDefault="007302E4">
            <w:pPr>
              <w:jc w:val="left"/>
            </w:pPr>
            <w:r>
              <w:rPr>
                <w:rFonts w:eastAsiaTheme="minorEastAsia"/>
                <w:color w:val="000000" w:themeColor="text1"/>
                <w:szCs w:val="21"/>
              </w:rPr>
              <w:t>过去三个月</w:t>
            </w:r>
          </w:p>
        </w:tc>
        <w:tc>
          <w:tcPr>
            <w:tcW w:w="1291" w:type="dxa"/>
            <w:vAlign w:val="center"/>
          </w:tcPr>
          <w:p w:rsidR="00A7264E" w:rsidRDefault="007302E4">
            <w:pPr>
              <w:jc w:val="right"/>
            </w:pPr>
            <w:r>
              <w:rPr>
                <w:rFonts w:eastAsiaTheme="minorEastAsia"/>
                <w:color w:val="000000" w:themeColor="text1"/>
                <w:szCs w:val="21"/>
              </w:rPr>
              <w:t>5.43%</w:t>
            </w:r>
          </w:p>
        </w:tc>
        <w:tc>
          <w:tcPr>
            <w:tcW w:w="1291" w:type="dxa"/>
            <w:vAlign w:val="center"/>
          </w:tcPr>
          <w:p w:rsidR="00A7264E" w:rsidRDefault="007302E4">
            <w:pPr>
              <w:jc w:val="right"/>
            </w:pPr>
            <w:r>
              <w:rPr>
                <w:rFonts w:eastAsiaTheme="minorEastAsia"/>
                <w:color w:val="000000" w:themeColor="text1"/>
                <w:szCs w:val="21"/>
              </w:rPr>
              <w:t>0.94%</w:t>
            </w:r>
          </w:p>
        </w:tc>
        <w:tc>
          <w:tcPr>
            <w:tcW w:w="1291" w:type="dxa"/>
            <w:vAlign w:val="center"/>
          </w:tcPr>
          <w:p w:rsidR="00A7264E" w:rsidRDefault="007302E4">
            <w:pPr>
              <w:jc w:val="right"/>
            </w:pPr>
            <w:r>
              <w:rPr>
                <w:rFonts w:eastAsiaTheme="minorEastAsia"/>
                <w:color w:val="000000" w:themeColor="text1"/>
                <w:szCs w:val="21"/>
              </w:rPr>
              <w:t>-2.68%</w:t>
            </w:r>
          </w:p>
        </w:tc>
        <w:tc>
          <w:tcPr>
            <w:tcW w:w="1291" w:type="dxa"/>
            <w:vAlign w:val="center"/>
          </w:tcPr>
          <w:p w:rsidR="00A7264E" w:rsidRDefault="007302E4">
            <w:pPr>
              <w:jc w:val="right"/>
            </w:pPr>
            <w:r>
              <w:rPr>
                <w:rFonts w:eastAsiaTheme="minorEastAsia"/>
                <w:color w:val="000000" w:themeColor="text1"/>
                <w:szCs w:val="21"/>
              </w:rPr>
              <w:t>0.49%</w:t>
            </w:r>
          </w:p>
        </w:tc>
        <w:tc>
          <w:tcPr>
            <w:tcW w:w="1291" w:type="dxa"/>
            <w:vAlign w:val="center"/>
          </w:tcPr>
          <w:p w:rsidR="00A7264E" w:rsidRDefault="007302E4">
            <w:pPr>
              <w:jc w:val="right"/>
            </w:pPr>
            <w:r>
              <w:rPr>
                <w:rFonts w:eastAsiaTheme="minorEastAsia"/>
                <w:color w:val="000000" w:themeColor="text1"/>
                <w:szCs w:val="21"/>
              </w:rPr>
              <w:t>8.11%</w:t>
            </w:r>
          </w:p>
        </w:tc>
        <w:tc>
          <w:tcPr>
            <w:tcW w:w="1291" w:type="dxa"/>
            <w:vAlign w:val="center"/>
          </w:tcPr>
          <w:p w:rsidR="00A7264E" w:rsidRDefault="007302E4">
            <w:pPr>
              <w:jc w:val="right"/>
            </w:pPr>
            <w:r>
              <w:rPr>
                <w:rFonts w:eastAsiaTheme="minorEastAsia"/>
                <w:color w:val="000000" w:themeColor="text1"/>
                <w:szCs w:val="21"/>
              </w:rPr>
              <w:t>0.45%</w:t>
            </w:r>
          </w:p>
        </w:tc>
      </w:tr>
      <w:tr w:rsidR="00A7264E">
        <w:tc>
          <w:tcPr>
            <w:tcW w:w="1290" w:type="dxa"/>
            <w:vAlign w:val="center"/>
          </w:tcPr>
          <w:p w:rsidR="00A7264E" w:rsidRDefault="007302E4">
            <w:pPr>
              <w:jc w:val="left"/>
            </w:pPr>
            <w:r>
              <w:rPr>
                <w:rFonts w:eastAsiaTheme="minorEastAsia"/>
                <w:color w:val="000000" w:themeColor="text1"/>
                <w:szCs w:val="21"/>
              </w:rPr>
              <w:t>过去六个月</w:t>
            </w:r>
          </w:p>
        </w:tc>
        <w:tc>
          <w:tcPr>
            <w:tcW w:w="1291" w:type="dxa"/>
            <w:vAlign w:val="center"/>
          </w:tcPr>
          <w:p w:rsidR="00A7264E" w:rsidRDefault="007302E4">
            <w:pPr>
              <w:jc w:val="right"/>
            </w:pPr>
            <w:r>
              <w:rPr>
                <w:rFonts w:eastAsiaTheme="minorEastAsia"/>
                <w:color w:val="000000" w:themeColor="text1"/>
                <w:szCs w:val="21"/>
              </w:rPr>
              <w:t>15.55%</w:t>
            </w:r>
          </w:p>
        </w:tc>
        <w:tc>
          <w:tcPr>
            <w:tcW w:w="1291" w:type="dxa"/>
            <w:vAlign w:val="center"/>
          </w:tcPr>
          <w:p w:rsidR="00A7264E" w:rsidRDefault="007302E4">
            <w:pPr>
              <w:jc w:val="right"/>
            </w:pPr>
            <w:r>
              <w:rPr>
                <w:rFonts w:eastAsiaTheme="minorEastAsia"/>
                <w:color w:val="000000" w:themeColor="text1"/>
                <w:szCs w:val="21"/>
              </w:rPr>
              <w:t>0.90%</w:t>
            </w:r>
          </w:p>
        </w:tc>
        <w:tc>
          <w:tcPr>
            <w:tcW w:w="1291" w:type="dxa"/>
            <w:vAlign w:val="center"/>
          </w:tcPr>
          <w:p w:rsidR="00A7264E" w:rsidRDefault="007302E4">
            <w:pPr>
              <w:jc w:val="right"/>
            </w:pPr>
            <w:r>
              <w:rPr>
                <w:rFonts w:eastAsiaTheme="minorEastAsia"/>
                <w:color w:val="000000" w:themeColor="text1"/>
                <w:szCs w:val="21"/>
              </w:rPr>
              <w:t>-0.11%</w:t>
            </w:r>
          </w:p>
        </w:tc>
        <w:tc>
          <w:tcPr>
            <w:tcW w:w="1291" w:type="dxa"/>
            <w:vAlign w:val="center"/>
          </w:tcPr>
          <w:p w:rsidR="00A7264E" w:rsidRDefault="007302E4">
            <w:pPr>
              <w:jc w:val="right"/>
            </w:pPr>
            <w:r>
              <w:rPr>
                <w:rFonts w:eastAsiaTheme="minorEastAsia"/>
                <w:color w:val="000000" w:themeColor="text1"/>
                <w:szCs w:val="21"/>
              </w:rPr>
              <w:t>0.50%</w:t>
            </w:r>
          </w:p>
        </w:tc>
        <w:tc>
          <w:tcPr>
            <w:tcW w:w="1291" w:type="dxa"/>
            <w:vAlign w:val="center"/>
          </w:tcPr>
          <w:p w:rsidR="00A7264E" w:rsidRDefault="007302E4">
            <w:pPr>
              <w:jc w:val="right"/>
            </w:pPr>
            <w:r>
              <w:rPr>
                <w:rFonts w:eastAsiaTheme="minorEastAsia"/>
                <w:color w:val="000000" w:themeColor="text1"/>
                <w:szCs w:val="21"/>
              </w:rPr>
              <w:t>15.66%</w:t>
            </w:r>
          </w:p>
        </w:tc>
        <w:tc>
          <w:tcPr>
            <w:tcW w:w="1291" w:type="dxa"/>
            <w:vAlign w:val="center"/>
          </w:tcPr>
          <w:p w:rsidR="00A7264E" w:rsidRDefault="007302E4">
            <w:pPr>
              <w:jc w:val="right"/>
            </w:pPr>
            <w:r>
              <w:rPr>
                <w:rFonts w:eastAsiaTheme="minorEastAsia"/>
                <w:color w:val="000000" w:themeColor="text1"/>
                <w:szCs w:val="21"/>
              </w:rPr>
              <w:t>0.40%</w:t>
            </w:r>
          </w:p>
        </w:tc>
      </w:tr>
      <w:tr w:rsidR="00A7264E">
        <w:tc>
          <w:tcPr>
            <w:tcW w:w="1290" w:type="dxa"/>
            <w:vAlign w:val="center"/>
          </w:tcPr>
          <w:p w:rsidR="00A7264E" w:rsidRDefault="007302E4">
            <w:pPr>
              <w:jc w:val="left"/>
            </w:pPr>
            <w:r>
              <w:rPr>
                <w:rFonts w:eastAsiaTheme="minorEastAsia"/>
                <w:color w:val="000000" w:themeColor="text1"/>
                <w:szCs w:val="21"/>
              </w:rPr>
              <w:t>过去一年</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r>
      <w:tr w:rsidR="00A7264E">
        <w:tc>
          <w:tcPr>
            <w:tcW w:w="1290" w:type="dxa"/>
            <w:vAlign w:val="center"/>
          </w:tcPr>
          <w:p w:rsidR="00A7264E" w:rsidRDefault="007302E4">
            <w:pPr>
              <w:jc w:val="left"/>
            </w:pPr>
            <w:r>
              <w:rPr>
                <w:rFonts w:eastAsiaTheme="minorEastAsia"/>
                <w:color w:val="000000" w:themeColor="text1"/>
                <w:szCs w:val="21"/>
              </w:rPr>
              <w:t>过去三年</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r>
      <w:tr w:rsidR="00A7264E">
        <w:tc>
          <w:tcPr>
            <w:tcW w:w="1290" w:type="dxa"/>
            <w:vAlign w:val="center"/>
          </w:tcPr>
          <w:p w:rsidR="00A7264E" w:rsidRDefault="007302E4">
            <w:pPr>
              <w:jc w:val="left"/>
            </w:pPr>
            <w:r>
              <w:rPr>
                <w:rFonts w:eastAsiaTheme="minorEastAsia"/>
                <w:color w:val="000000" w:themeColor="text1"/>
                <w:szCs w:val="21"/>
              </w:rPr>
              <w:t>过去五年</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c>
          <w:tcPr>
            <w:tcW w:w="1291" w:type="dxa"/>
            <w:vAlign w:val="center"/>
          </w:tcPr>
          <w:p w:rsidR="00A7264E" w:rsidRDefault="007302E4">
            <w:pPr>
              <w:jc w:val="right"/>
            </w:pPr>
            <w:r>
              <w:rPr>
                <w:rFonts w:eastAsiaTheme="minorEastAsia"/>
                <w:color w:val="000000" w:themeColor="text1"/>
                <w:szCs w:val="21"/>
              </w:rPr>
              <w:t>-</w:t>
            </w:r>
          </w:p>
        </w:tc>
      </w:tr>
      <w:tr w:rsidR="00A7264E">
        <w:tc>
          <w:tcPr>
            <w:tcW w:w="1290" w:type="dxa"/>
            <w:vAlign w:val="center"/>
          </w:tcPr>
          <w:p w:rsidR="00A7264E" w:rsidRDefault="007302E4">
            <w:pPr>
              <w:jc w:val="left"/>
            </w:pPr>
            <w:r>
              <w:rPr>
                <w:rFonts w:eastAsiaTheme="minorEastAsia"/>
                <w:color w:val="000000" w:themeColor="text1"/>
                <w:szCs w:val="21"/>
              </w:rPr>
              <w:t>自基金合同生效起至今</w:t>
            </w:r>
          </w:p>
        </w:tc>
        <w:tc>
          <w:tcPr>
            <w:tcW w:w="1291" w:type="dxa"/>
            <w:vAlign w:val="center"/>
          </w:tcPr>
          <w:p w:rsidR="00A7264E" w:rsidRDefault="007302E4">
            <w:pPr>
              <w:jc w:val="right"/>
            </w:pPr>
            <w:r>
              <w:rPr>
                <w:rFonts w:eastAsiaTheme="minorEastAsia"/>
                <w:color w:val="000000" w:themeColor="text1"/>
                <w:szCs w:val="21"/>
              </w:rPr>
              <w:t>8.62%</w:t>
            </w:r>
          </w:p>
        </w:tc>
        <w:tc>
          <w:tcPr>
            <w:tcW w:w="1291" w:type="dxa"/>
            <w:vAlign w:val="center"/>
          </w:tcPr>
          <w:p w:rsidR="00A7264E" w:rsidRDefault="007302E4">
            <w:pPr>
              <w:jc w:val="right"/>
            </w:pPr>
            <w:r>
              <w:rPr>
                <w:rFonts w:eastAsiaTheme="minorEastAsia"/>
                <w:color w:val="000000" w:themeColor="text1"/>
                <w:szCs w:val="21"/>
              </w:rPr>
              <w:t>0.93%</w:t>
            </w:r>
          </w:p>
        </w:tc>
        <w:tc>
          <w:tcPr>
            <w:tcW w:w="1291" w:type="dxa"/>
            <w:vAlign w:val="center"/>
          </w:tcPr>
          <w:p w:rsidR="00A7264E" w:rsidRDefault="007302E4">
            <w:pPr>
              <w:jc w:val="right"/>
            </w:pPr>
            <w:r>
              <w:rPr>
                <w:rFonts w:eastAsiaTheme="minorEastAsia"/>
                <w:color w:val="000000" w:themeColor="text1"/>
                <w:szCs w:val="21"/>
              </w:rPr>
              <w:t>1.41%</w:t>
            </w:r>
          </w:p>
        </w:tc>
        <w:tc>
          <w:tcPr>
            <w:tcW w:w="1291" w:type="dxa"/>
            <w:vAlign w:val="center"/>
          </w:tcPr>
          <w:p w:rsidR="00A7264E" w:rsidRDefault="007302E4">
            <w:pPr>
              <w:jc w:val="right"/>
            </w:pPr>
            <w:r>
              <w:rPr>
                <w:rFonts w:eastAsiaTheme="minorEastAsia"/>
                <w:color w:val="000000" w:themeColor="text1"/>
                <w:szCs w:val="21"/>
              </w:rPr>
              <w:t>0.52%</w:t>
            </w:r>
          </w:p>
        </w:tc>
        <w:tc>
          <w:tcPr>
            <w:tcW w:w="1291" w:type="dxa"/>
            <w:vAlign w:val="center"/>
          </w:tcPr>
          <w:p w:rsidR="00A7264E" w:rsidRDefault="007302E4">
            <w:pPr>
              <w:jc w:val="right"/>
            </w:pPr>
            <w:r>
              <w:rPr>
                <w:rFonts w:eastAsiaTheme="minorEastAsia"/>
                <w:color w:val="000000" w:themeColor="text1"/>
                <w:szCs w:val="21"/>
              </w:rPr>
              <w:t>7.21%</w:t>
            </w:r>
          </w:p>
        </w:tc>
        <w:tc>
          <w:tcPr>
            <w:tcW w:w="1291" w:type="dxa"/>
            <w:vAlign w:val="center"/>
          </w:tcPr>
          <w:p w:rsidR="00A7264E" w:rsidRDefault="007302E4">
            <w:pPr>
              <w:jc w:val="right"/>
            </w:pPr>
            <w:r>
              <w:rPr>
                <w:rFonts w:eastAsiaTheme="minorEastAsia"/>
                <w:color w:val="000000" w:themeColor="text1"/>
                <w:szCs w:val="21"/>
              </w:rPr>
              <w:t>0.41%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摩根动态多因子策略灵活配置混合型证券投资基金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．摩根动态多因子混合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．摩根动态多因子混合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7264E">
        <w:tc>
          <w:tcPr>
            <w:tcW w:w="952" w:type="dxa"/>
            <w:vAlign w:val="center"/>
          </w:tcPr>
          <w:p w:rsidR="00A7264E" w:rsidRDefault="007302E4">
            <w:pPr>
              <w:jc w:val="center"/>
            </w:pPr>
            <w:r>
              <w:rPr>
                <w:rFonts w:eastAsiaTheme="minorEastAsia"/>
                <w:color w:val="000000" w:themeColor="text1"/>
                <w:szCs w:val="21"/>
              </w:rPr>
              <w:t>胡迪</w:t>
            </w:r>
          </w:p>
        </w:tc>
        <w:tc>
          <w:tcPr>
            <w:tcW w:w="930" w:type="dxa"/>
            <w:vAlign w:val="center"/>
          </w:tcPr>
          <w:p w:rsidR="00A7264E" w:rsidRDefault="007302E4">
            <w:pPr>
              <w:jc w:val="center"/>
            </w:pPr>
            <w:r>
              <w:rPr>
                <w:rFonts w:eastAsiaTheme="minorEastAsia"/>
                <w:color w:val="000000" w:themeColor="text1"/>
                <w:szCs w:val="21"/>
              </w:rPr>
              <w:t>本基金基金经理、指数及量化投资部总监</w:t>
            </w:r>
          </w:p>
        </w:tc>
        <w:tc>
          <w:tcPr>
            <w:tcW w:w="1210" w:type="dxa"/>
            <w:vAlign w:val="center"/>
          </w:tcPr>
          <w:p w:rsidR="00A7264E" w:rsidRDefault="007302E4">
            <w:pPr>
              <w:jc w:val="center"/>
            </w:pPr>
            <w:r>
              <w:rPr>
                <w:rFonts w:eastAsiaTheme="minorEastAsia"/>
                <w:color w:val="000000" w:themeColor="text1"/>
                <w:szCs w:val="21"/>
              </w:rPr>
              <w:t>2021-01-07</w:t>
            </w:r>
          </w:p>
        </w:tc>
        <w:tc>
          <w:tcPr>
            <w:tcW w:w="1309" w:type="dxa"/>
            <w:vAlign w:val="center"/>
          </w:tcPr>
          <w:p w:rsidR="00A7264E" w:rsidRDefault="007302E4">
            <w:pPr>
              <w:jc w:val="center"/>
            </w:pPr>
            <w:r>
              <w:rPr>
                <w:rFonts w:eastAsiaTheme="minorEastAsia"/>
                <w:color w:val="000000" w:themeColor="text1"/>
                <w:szCs w:val="21"/>
              </w:rPr>
              <w:t>-</w:t>
            </w:r>
          </w:p>
        </w:tc>
        <w:tc>
          <w:tcPr>
            <w:tcW w:w="1254" w:type="dxa"/>
            <w:vAlign w:val="center"/>
          </w:tcPr>
          <w:p w:rsidR="00A7264E" w:rsidRDefault="007302E4">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A7264E" w:rsidRDefault="007302E4">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bl>
    <w:p w:rsidR="00A7264E" w:rsidRDefault="007302E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w:t>
      </w:r>
      <w:r>
        <w:rPr>
          <w:rFonts w:eastAsiaTheme="minorEastAsia"/>
          <w:color w:val="000000" w:themeColor="text1"/>
          <w:szCs w:val="21"/>
        </w:rPr>
        <w:t>A</w:t>
      </w:r>
      <w:r>
        <w:rPr>
          <w:rFonts w:eastAsiaTheme="minorEastAsia"/>
          <w:color w:val="000000" w:themeColor="text1"/>
          <w:szCs w:val="21"/>
        </w:rPr>
        <w:t>股市场整体震荡下行。从行业来看，相比一季度人工智能内容生产（</w:t>
      </w:r>
      <w:r>
        <w:rPr>
          <w:rFonts w:eastAsiaTheme="minorEastAsia"/>
          <w:color w:val="000000" w:themeColor="text1"/>
          <w:szCs w:val="21"/>
        </w:rPr>
        <w:t>AI-generated content</w:t>
      </w:r>
      <w:r>
        <w:rPr>
          <w:rFonts w:eastAsiaTheme="minorEastAsia"/>
          <w:color w:val="000000" w:themeColor="text1"/>
          <w:szCs w:val="21"/>
        </w:rPr>
        <w:t>，下称</w:t>
      </w:r>
      <w:r>
        <w:rPr>
          <w:rFonts w:eastAsiaTheme="minorEastAsia"/>
          <w:color w:val="000000" w:themeColor="text1"/>
          <w:szCs w:val="21"/>
        </w:rPr>
        <w:t>AIGC</w:t>
      </w:r>
      <w:r>
        <w:rPr>
          <w:rFonts w:eastAsiaTheme="minorEastAsia"/>
          <w:color w:val="000000" w:themeColor="text1"/>
          <w:szCs w:val="21"/>
        </w:rPr>
        <w:t>）、中特估相关的一枝独秀，二季度各行业表现更为均衡，一方面</w:t>
      </w:r>
      <w:r>
        <w:rPr>
          <w:rFonts w:eastAsiaTheme="minorEastAsia"/>
          <w:color w:val="000000" w:themeColor="text1"/>
          <w:szCs w:val="21"/>
        </w:rPr>
        <w:t>AIGC</w:t>
      </w:r>
      <w:r>
        <w:rPr>
          <w:rFonts w:eastAsiaTheme="minorEastAsia"/>
          <w:color w:val="000000" w:themeColor="text1"/>
          <w:szCs w:val="21"/>
        </w:rPr>
        <w:t>的直</w:t>
      </w:r>
      <w:r>
        <w:rPr>
          <w:rFonts w:eastAsiaTheme="minorEastAsia"/>
          <w:color w:val="000000" w:themeColor="text1"/>
          <w:szCs w:val="21"/>
        </w:rPr>
        <w:lastRenderedPageBreak/>
        <w:t>接关联个股转跌，另一方面间接受益于</w:t>
      </w:r>
      <w:r>
        <w:rPr>
          <w:rFonts w:eastAsiaTheme="minorEastAsia"/>
          <w:color w:val="000000" w:themeColor="text1"/>
          <w:szCs w:val="21"/>
        </w:rPr>
        <w:t>AIGC</w:t>
      </w:r>
      <w:r>
        <w:rPr>
          <w:rFonts w:eastAsiaTheme="minorEastAsia"/>
          <w:color w:val="000000" w:themeColor="text1"/>
          <w:szCs w:val="21"/>
        </w:rPr>
        <w:t>的通信、传媒等板块由于收益的扩散效应涨幅较好，同时经济数据承压背景下，煤炭、建材、化工等顺周期行业表现落后大盘。从风格和超额收益（</w:t>
      </w:r>
      <w:r>
        <w:rPr>
          <w:rFonts w:eastAsiaTheme="minorEastAsia"/>
          <w:color w:val="000000" w:themeColor="text1"/>
          <w:szCs w:val="21"/>
        </w:rPr>
        <w:t>alpha</w:t>
      </w:r>
      <w:r>
        <w:rPr>
          <w:rFonts w:eastAsiaTheme="minorEastAsia"/>
          <w:color w:val="000000" w:themeColor="text1"/>
          <w:szCs w:val="21"/>
        </w:rPr>
        <w:t>）角度看，二季度成长、超预期等基本面风格有所复苏，大小市值个股上收益无显著区别，由于新热点的缺失，二季度的交易机会更多强调热点的自然扩散和过程中个股收益通过与可比公司对比实现的再平衡，一些根据个股关联网络构造的</w:t>
      </w:r>
      <w:r>
        <w:rPr>
          <w:rFonts w:eastAsiaTheme="minorEastAsia"/>
          <w:color w:val="000000" w:themeColor="text1"/>
          <w:szCs w:val="21"/>
        </w:rPr>
        <w:t>alpha</w:t>
      </w:r>
      <w:r>
        <w:rPr>
          <w:rFonts w:eastAsiaTheme="minorEastAsia"/>
          <w:color w:val="000000" w:themeColor="text1"/>
          <w:szCs w:val="21"/>
        </w:rPr>
        <w:t>指标表现较为突出。本基金选股从多因子角度出发，基本面和价量</w:t>
      </w:r>
      <w:r>
        <w:rPr>
          <w:rFonts w:eastAsiaTheme="minorEastAsia"/>
          <w:color w:val="000000" w:themeColor="text1"/>
          <w:szCs w:val="21"/>
        </w:rPr>
        <w:t>Alpha</w:t>
      </w:r>
      <w:r>
        <w:rPr>
          <w:rFonts w:eastAsiaTheme="minorEastAsia"/>
          <w:color w:val="000000" w:themeColor="text1"/>
          <w:szCs w:val="21"/>
        </w:rPr>
        <w:t>配置较为均衡，在行业板块分布和风格因子配置上相对均衡，二季度获得一定超额收益。</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往下半年看，目前处于中美关系暂时缓和的小周期上，国内经济政策以调结构、稳增长为主线，若下半年国内外均延续此趋势，则</w:t>
      </w:r>
      <w:r w:rsidRPr="00B27A29">
        <w:rPr>
          <w:rFonts w:eastAsiaTheme="minorEastAsia"/>
          <w:color w:val="000000" w:themeColor="text1"/>
          <w:szCs w:val="21"/>
        </w:rPr>
        <w:t>A</w:t>
      </w:r>
      <w:r w:rsidRPr="00B27A29">
        <w:rPr>
          <w:rFonts w:eastAsiaTheme="minorEastAsia"/>
          <w:color w:val="000000" w:themeColor="text1"/>
          <w:szCs w:val="21"/>
        </w:rPr>
        <w:t>股盈利于二季度触底回升，最终弱修复概率较大。</w:t>
      </w:r>
      <w:r w:rsidRPr="00B27A29">
        <w:rPr>
          <w:rFonts w:eastAsiaTheme="minorEastAsia"/>
          <w:color w:val="000000" w:themeColor="text1"/>
          <w:szCs w:val="21"/>
        </w:rPr>
        <w:t>A</w:t>
      </w:r>
      <w:r w:rsidRPr="00B27A29">
        <w:rPr>
          <w:rFonts w:eastAsiaTheme="minorEastAsia"/>
          <w:color w:val="000000" w:themeColor="text1"/>
          <w:szCs w:val="21"/>
        </w:rPr>
        <w:t>股策略上，市场竞争格局愈发饱和的趋势下，中低频基本面和价量</w:t>
      </w:r>
      <w:r w:rsidRPr="00B27A29">
        <w:rPr>
          <w:rFonts w:eastAsiaTheme="minorEastAsia"/>
          <w:color w:val="000000" w:themeColor="text1"/>
          <w:szCs w:val="21"/>
        </w:rPr>
        <w:t>alpha</w:t>
      </w:r>
      <w:r w:rsidRPr="00B27A29">
        <w:rPr>
          <w:rFonts w:eastAsiaTheme="minorEastAsia"/>
          <w:color w:val="000000" w:themeColor="text1"/>
          <w:szCs w:val="21"/>
        </w:rPr>
        <w:t>均围绕大小盘不同、价值成长不同、时间周期不同等因素正呈现出分时分域表现的显著差异，这是我们近三年来观察到的市场最为显著的变化，这提示了我们需要用更开放的</w:t>
      </w:r>
      <w:r w:rsidRPr="00B27A29">
        <w:rPr>
          <w:rFonts w:eastAsiaTheme="minorEastAsia"/>
          <w:color w:val="000000" w:themeColor="text1"/>
          <w:szCs w:val="21"/>
        </w:rPr>
        <w:t>alpha</w:t>
      </w:r>
      <w:r w:rsidRPr="00B27A29">
        <w:rPr>
          <w:rFonts w:eastAsiaTheme="minorEastAsia"/>
          <w:color w:val="000000" w:themeColor="text1"/>
          <w:szCs w:val="21"/>
        </w:rPr>
        <w:t>构造方式，更包容的收益预测方法论来刻画更高维度、更局部、更为时变的个股收益特征。在具体投资策略上，我们在坚持基本面和价量结合的量化多因子选股策略的同时，从更为条件化，更追求</w:t>
      </w:r>
      <w:r w:rsidRPr="00B27A29">
        <w:rPr>
          <w:rFonts w:eastAsiaTheme="minorEastAsia"/>
          <w:color w:val="000000" w:themeColor="text1"/>
          <w:szCs w:val="21"/>
        </w:rPr>
        <w:t>alpha</w:t>
      </w:r>
      <w:r w:rsidRPr="00B27A29">
        <w:rPr>
          <w:rFonts w:eastAsiaTheme="minorEastAsia"/>
          <w:color w:val="000000" w:themeColor="text1"/>
          <w:szCs w:val="21"/>
        </w:rPr>
        <w:t>局部效率的角度出发深入研究，希望构造风险收益特征优于市场基准的投资组合。</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本报告期摩根动态多因子</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:5.57%</w:t>
      </w:r>
      <w:r>
        <w:rPr>
          <w:rFonts w:eastAsiaTheme="minorEastAsia"/>
          <w:color w:val="000000" w:themeColor="text1"/>
          <w:szCs w:val="21"/>
        </w:rPr>
        <w:t>，同期业绩比较基准收益率为</w:t>
      </w:r>
      <w:r>
        <w:rPr>
          <w:rFonts w:eastAsiaTheme="minorEastAsia"/>
          <w:color w:val="000000" w:themeColor="text1"/>
          <w:szCs w:val="21"/>
        </w:rPr>
        <w:t>:-2.68%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摩根动态多因子</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:5.43%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:-2.68%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114,344,887.90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90.22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114,344,887.90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90.22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11,229,761.00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1,165,681.86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126,740,330.76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1,907,901.00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2,959,031.00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94,125,345.50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61,374.00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1,665,048.00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1,521,588.00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2,820,414.00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3,843,993.40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2,795,414.00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732,858.00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1,041,301.00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708,661.00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152,109.00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114,344,887.90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91.78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7264E">
        <w:tc>
          <w:tcPr>
            <w:tcW w:w="817" w:type="dxa"/>
            <w:vAlign w:val="center"/>
          </w:tcPr>
          <w:p w:rsidR="00A7264E" w:rsidRDefault="007302E4">
            <w:pPr>
              <w:jc w:val="center"/>
            </w:pPr>
            <w:r>
              <w:rPr>
                <w:rFonts w:eastAsiaTheme="minorEastAsia"/>
                <w:kern w:val="0"/>
                <w:szCs w:val="21"/>
              </w:rPr>
              <w:t>1</w:t>
            </w:r>
          </w:p>
        </w:tc>
        <w:tc>
          <w:tcPr>
            <w:tcW w:w="1276" w:type="dxa"/>
            <w:vAlign w:val="center"/>
          </w:tcPr>
          <w:p w:rsidR="00A7264E" w:rsidRDefault="007302E4">
            <w:pPr>
              <w:jc w:val="center"/>
            </w:pPr>
            <w:r>
              <w:rPr>
                <w:rFonts w:eastAsiaTheme="minorEastAsia"/>
                <w:kern w:val="0"/>
                <w:szCs w:val="21"/>
              </w:rPr>
              <w:t>688698</w:t>
            </w:r>
          </w:p>
        </w:tc>
        <w:tc>
          <w:tcPr>
            <w:tcW w:w="1701" w:type="dxa"/>
            <w:vAlign w:val="center"/>
          </w:tcPr>
          <w:p w:rsidR="00A7264E" w:rsidRDefault="007302E4">
            <w:pPr>
              <w:jc w:val="center"/>
            </w:pPr>
            <w:r>
              <w:rPr>
                <w:rFonts w:eastAsiaTheme="minorEastAsia"/>
                <w:kern w:val="0"/>
                <w:szCs w:val="21"/>
              </w:rPr>
              <w:t>伟创电气</w:t>
            </w:r>
          </w:p>
        </w:tc>
        <w:tc>
          <w:tcPr>
            <w:tcW w:w="1276" w:type="dxa"/>
            <w:vAlign w:val="center"/>
          </w:tcPr>
          <w:p w:rsidR="00A7264E" w:rsidRDefault="007302E4">
            <w:pPr>
              <w:jc w:val="right"/>
            </w:pPr>
            <w:r>
              <w:rPr>
                <w:rFonts w:eastAsiaTheme="minorEastAsia"/>
                <w:kern w:val="0"/>
                <w:szCs w:val="21"/>
              </w:rPr>
              <w:t>64,796.00</w:t>
            </w:r>
          </w:p>
        </w:tc>
        <w:tc>
          <w:tcPr>
            <w:tcW w:w="1842" w:type="dxa"/>
            <w:vAlign w:val="center"/>
          </w:tcPr>
          <w:p w:rsidR="00A7264E" w:rsidRDefault="007302E4">
            <w:pPr>
              <w:jc w:val="right"/>
            </w:pPr>
            <w:r>
              <w:rPr>
                <w:rFonts w:eastAsiaTheme="minorEastAsia"/>
                <w:kern w:val="0"/>
                <w:szCs w:val="21"/>
              </w:rPr>
              <w:t>2,590,544.08</w:t>
            </w:r>
          </w:p>
        </w:tc>
        <w:tc>
          <w:tcPr>
            <w:tcW w:w="1616" w:type="dxa"/>
            <w:vAlign w:val="center"/>
          </w:tcPr>
          <w:p w:rsidR="00A7264E" w:rsidRDefault="007302E4">
            <w:pPr>
              <w:jc w:val="right"/>
            </w:pPr>
            <w:r>
              <w:rPr>
                <w:rFonts w:eastAsiaTheme="minorEastAsia"/>
                <w:kern w:val="0"/>
                <w:szCs w:val="21"/>
              </w:rPr>
              <w:t>2.08</w:t>
            </w:r>
          </w:p>
        </w:tc>
      </w:tr>
      <w:tr w:rsidR="00A7264E">
        <w:tc>
          <w:tcPr>
            <w:tcW w:w="817" w:type="dxa"/>
            <w:vAlign w:val="center"/>
          </w:tcPr>
          <w:p w:rsidR="00A7264E" w:rsidRDefault="007302E4">
            <w:pPr>
              <w:jc w:val="center"/>
            </w:pPr>
            <w:r>
              <w:rPr>
                <w:rFonts w:eastAsiaTheme="minorEastAsia"/>
                <w:kern w:val="0"/>
                <w:szCs w:val="21"/>
              </w:rPr>
              <w:t>2</w:t>
            </w:r>
          </w:p>
        </w:tc>
        <w:tc>
          <w:tcPr>
            <w:tcW w:w="1276" w:type="dxa"/>
            <w:vAlign w:val="center"/>
          </w:tcPr>
          <w:p w:rsidR="00A7264E" w:rsidRDefault="007302E4">
            <w:pPr>
              <w:jc w:val="center"/>
            </w:pPr>
            <w:r>
              <w:rPr>
                <w:rFonts w:eastAsiaTheme="minorEastAsia"/>
                <w:kern w:val="0"/>
                <w:szCs w:val="21"/>
              </w:rPr>
              <w:t>600933</w:t>
            </w:r>
          </w:p>
        </w:tc>
        <w:tc>
          <w:tcPr>
            <w:tcW w:w="1701" w:type="dxa"/>
            <w:vAlign w:val="center"/>
          </w:tcPr>
          <w:p w:rsidR="00A7264E" w:rsidRDefault="007302E4">
            <w:pPr>
              <w:jc w:val="center"/>
            </w:pPr>
            <w:r>
              <w:rPr>
                <w:rFonts w:eastAsiaTheme="minorEastAsia"/>
                <w:kern w:val="0"/>
                <w:szCs w:val="21"/>
              </w:rPr>
              <w:t>爱柯迪</w:t>
            </w:r>
          </w:p>
        </w:tc>
        <w:tc>
          <w:tcPr>
            <w:tcW w:w="1276" w:type="dxa"/>
            <w:vAlign w:val="center"/>
          </w:tcPr>
          <w:p w:rsidR="00A7264E" w:rsidRDefault="007302E4">
            <w:pPr>
              <w:jc w:val="right"/>
            </w:pPr>
            <w:r>
              <w:rPr>
                <w:rFonts w:eastAsiaTheme="minorEastAsia"/>
                <w:kern w:val="0"/>
                <w:szCs w:val="21"/>
              </w:rPr>
              <w:t>95,400.00</w:t>
            </w:r>
          </w:p>
        </w:tc>
        <w:tc>
          <w:tcPr>
            <w:tcW w:w="1842" w:type="dxa"/>
            <w:vAlign w:val="center"/>
          </w:tcPr>
          <w:p w:rsidR="00A7264E" w:rsidRDefault="007302E4">
            <w:pPr>
              <w:jc w:val="right"/>
            </w:pPr>
            <w:r>
              <w:rPr>
                <w:rFonts w:eastAsiaTheme="minorEastAsia"/>
                <w:kern w:val="0"/>
                <w:szCs w:val="21"/>
              </w:rPr>
              <w:t>2,221,866.00</w:t>
            </w:r>
          </w:p>
        </w:tc>
        <w:tc>
          <w:tcPr>
            <w:tcW w:w="1616" w:type="dxa"/>
            <w:vAlign w:val="center"/>
          </w:tcPr>
          <w:p w:rsidR="00A7264E" w:rsidRDefault="007302E4">
            <w:pPr>
              <w:jc w:val="right"/>
            </w:pPr>
            <w:r>
              <w:rPr>
                <w:rFonts w:eastAsiaTheme="minorEastAsia"/>
                <w:kern w:val="0"/>
                <w:szCs w:val="21"/>
              </w:rPr>
              <w:t>1.78</w:t>
            </w:r>
          </w:p>
        </w:tc>
      </w:tr>
      <w:tr w:rsidR="00A7264E">
        <w:tc>
          <w:tcPr>
            <w:tcW w:w="817" w:type="dxa"/>
            <w:vAlign w:val="center"/>
          </w:tcPr>
          <w:p w:rsidR="00A7264E" w:rsidRDefault="007302E4">
            <w:pPr>
              <w:jc w:val="center"/>
            </w:pPr>
            <w:r>
              <w:rPr>
                <w:rFonts w:eastAsiaTheme="minorEastAsia"/>
                <w:kern w:val="0"/>
                <w:szCs w:val="21"/>
              </w:rPr>
              <w:t>3</w:t>
            </w:r>
          </w:p>
        </w:tc>
        <w:tc>
          <w:tcPr>
            <w:tcW w:w="1276" w:type="dxa"/>
            <w:vAlign w:val="center"/>
          </w:tcPr>
          <w:p w:rsidR="00A7264E" w:rsidRDefault="007302E4">
            <w:pPr>
              <w:jc w:val="center"/>
            </w:pPr>
            <w:r>
              <w:rPr>
                <w:rFonts w:eastAsiaTheme="minorEastAsia"/>
                <w:kern w:val="0"/>
                <w:szCs w:val="21"/>
              </w:rPr>
              <w:t>002478</w:t>
            </w:r>
          </w:p>
        </w:tc>
        <w:tc>
          <w:tcPr>
            <w:tcW w:w="1701" w:type="dxa"/>
            <w:vAlign w:val="center"/>
          </w:tcPr>
          <w:p w:rsidR="00A7264E" w:rsidRDefault="007302E4">
            <w:pPr>
              <w:jc w:val="center"/>
            </w:pPr>
            <w:r>
              <w:rPr>
                <w:rFonts w:eastAsiaTheme="minorEastAsia"/>
                <w:kern w:val="0"/>
                <w:szCs w:val="21"/>
              </w:rPr>
              <w:t>常宝股份</w:t>
            </w:r>
          </w:p>
        </w:tc>
        <w:tc>
          <w:tcPr>
            <w:tcW w:w="1276" w:type="dxa"/>
            <w:vAlign w:val="center"/>
          </w:tcPr>
          <w:p w:rsidR="00A7264E" w:rsidRDefault="007302E4">
            <w:pPr>
              <w:jc w:val="right"/>
            </w:pPr>
            <w:r>
              <w:rPr>
                <w:rFonts w:eastAsiaTheme="minorEastAsia"/>
                <w:kern w:val="0"/>
                <w:szCs w:val="21"/>
              </w:rPr>
              <w:t>288,700.00</w:t>
            </w:r>
          </w:p>
        </w:tc>
        <w:tc>
          <w:tcPr>
            <w:tcW w:w="1842" w:type="dxa"/>
            <w:vAlign w:val="center"/>
          </w:tcPr>
          <w:p w:rsidR="00A7264E" w:rsidRDefault="007302E4">
            <w:pPr>
              <w:jc w:val="right"/>
            </w:pPr>
            <w:r>
              <w:rPr>
                <w:rFonts w:eastAsiaTheme="minorEastAsia"/>
                <w:kern w:val="0"/>
                <w:szCs w:val="21"/>
              </w:rPr>
              <w:t>2,150,815.00</w:t>
            </w:r>
          </w:p>
        </w:tc>
        <w:tc>
          <w:tcPr>
            <w:tcW w:w="1616" w:type="dxa"/>
            <w:vAlign w:val="center"/>
          </w:tcPr>
          <w:p w:rsidR="00A7264E" w:rsidRDefault="007302E4">
            <w:pPr>
              <w:jc w:val="right"/>
            </w:pPr>
            <w:r>
              <w:rPr>
                <w:rFonts w:eastAsiaTheme="minorEastAsia"/>
                <w:kern w:val="0"/>
                <w:szCs w:val="21"/>
              </w:rPr>
              <w:t>1.73</w:t>
            </w:r>
          </w:p>
        </w:tc>
      </w:tr>
      <w:tr w:rsidR="00A7264E">
        <w:tc>
          <w:tcPr>
            <w:tcW w:w="817" w:type="dxa"/>
            <w:vAlign w:val="center"/>
          </w:tcPr>
          <w:p w:rsidR="00A7264E" w:rsidRDefault="007302E4">
            <w:pPr>
              <w:jc w:val="center"/>
            </w:pPr>
            <w:r>
              <w:rPr>
                <w:rFonts w:eastAsiaTheme="minorEastAsia"/>
                <w:kern w:val="0"/>
                <w:szCs w:val="21"/>
              </w:rPr>
              <w:t>4</w:t>
            </w:r>
          </w:p>
        </w:tc>
        <w:tc>
          <w:tcPr>
            <w:tcW w:w="1276" w:type="dxa"/>
            <w:vAlign w:val="center"/>
          </w:tcPr>
          <w:p w:rsidR="00A7264E" w:rsidRDefault="007302E4">
            <w:pPr>
              <w:jc w:val="center"/>
            </w:pPr>
            <w:r>
              <w:rPr>
                <w:rFonts w:eastAsiaTheme="minorEastAsia"/>
                <w:kern w:val="0"/>
                <w:szCs w:val="21"/>
              </w:rPr>
              <w:t>002560</w:t>
            </w:r>
          </w:p>
        </w:tc>
        <w:tc>
          <w:tcPr>
            <w:tcW w:w="1701" w:type="dxa"/>
            <w:vAlign w:val="center"/>
          </w:tcPr>
          <w:p w:rsidR="00A7264E" w:rsidRDefault="007302E4">
            <w:pPr>
              <w:jc w:val="center"/>
            </w:pPr>
            <w:r>
              <w:rPr>
                <w:rFonts w:eastAsiaTheme="minorEastAsia"/>
                <w:kern w:val="0"/>
                <w:szCs w:val="21"/>
              </w:rPr>
              <w:t>通达股份</w:t>
            </w:r>
          </w:p>
        </w:tc>
        <w:tc>
          <w:tcPr>
            <w:tcW w:w="1276" w:type="dxa"/>
            <w:vAlign w:val="center"/>
          </w:tcPr>
          <w:p w:rsidR="00A7264E" w:rsidRDefault="007302E4">
            <w:pPr>
              <w:jc w:val="right"/>
            </w:pPr>
            <w:r>
              <w:rPr>
                <w:rFonts w:eastAsiaTheme="minorEastAsia"/>
                <w:kern w:val="0"/>
                <w:szCs w:val="21"/>
              </w:rPr>
              <w:t>224,600.00</w:t>
            </w:r>
          </w:p>
        </w:tc>
        <w:tc>
          <w:tcPr>
            <w:tcW w:w="1842" w:type="dxa"/>
            <w:vAlign w:val="center"/>
          </w:tcPr>
          <w:p w:rsidR="00A7264E" w:rsidRDefault="007302E4">
            <w:pPr>
              <w:jc w:val="right"/>
            </w:pPr>
            <w:r>
              <w:rPr>
                <w:rFonts w:eastAsiaTheme="minorEastAsia"/>
                <w:kern w:val="0"/>
                <w:szCs w:val="21"/>
              </w:rPr>
              <w:t>2,138,192.00</w:t>
            </w:r>
          </w:p>
        </w:tc>
        <w:tc>
          <w:tcPr>
            <w:tcW w:w="1616" w:type="dxa"/>
            <w:vAlign w:val="center"/>
          </w:tcPr>
          <w:p w:rsidR="00A7264E" w:rsidRDefault="007302E4">
            <w:pPr>
              <w:jc w:val="right"/>
            </w:pPr>
            <w:r>
              <w:rPr>
                <w:rFonts w:eastAsiaTheme="minorEastAsia"/>
                <w:kern w:val="0"/>
                <w:szCs w:val="21"/>
              </w:rPr>
              <w:t>1.72</w:t>
            </w:r>
          </w:p>
        </w:tc>
      </w:tr>
      <w:tr w:rsidR="00A7264E">
        <w:tc>
          <w:tcPr>
            <w:tcW w:w="817" w:type="dxa"/>
            <w:vAlign w:val="center"/>
          </w:tcPr>
          <w:p w:rsidR="00A7264E" w:rsidRDefault="007302E4">
            <w:pPr>
              <w:jc w:val="center"/>
            </w:pPr>
            <w:r>
              <w:rPr>
                <w:rFonts w:eastAsiaTheme="minorEastAsia"/>
                <w:kern w:val="0"/>
                <w:szCs w:val="21"/>
              </w:rPr>
              <w:t>5</w:t>
            </w:r>
          </w:p>
        </w:tc>
        <w:tc>
          <w:tcPr>
            <w:tcW w:w="1276" w:type="dxa"/>
            <w:vAlign w:val="center"/>
          </w:tcPr>
          <w:p w:rsidR="00A7264E" w:rsidRDefault="007302E4">
            <w:pPr>
              <w:jc w:val="center"/>
            </w:pPr>
            <w:r>
              <w:rPr>
                <w:rFonts w:eastAsiaTheme="minorEastAsia"/>
                <w:kern w:val="0"/>
                <w:szCs w:val="21"/>
              </w:rPr>
              <w:t>603050</w:t>
            </w:r>
          </w:p>
        </w:tc>
        <w:tc>
          <w:tcPr>
            <w:tcW w:w="1701" w:type="dxa"/>
            <w:vAlign w:val="center"/>
          </w:tcPr>
          <w:p w:rsidR="00A7264E" w:rsidRDefault="007302E4">
            <w:pPr>
              <w:jc w:val="center"/>
            </w:pPr>
            <w:r>
              <w:rPr>
                <w:rFonts w:eastAsiaTheme="minorEastAsia"/>
                <w:kern w:val="0"/>
                <w:szCs w:val="21"/>
              </w:rPr>
              <w:t>科林电气</w:t>
            </w:r>
          </w:p>
        </w:tc>
        <w:tc>
          <w:tcPr>
            <w:tcW w:w="1276" w:type="dxa"/>
            <w:vAlign w:val="center"/>
          </w:tcPr>
          <w:p w:rsidR="00A7264E" w:rsidRDefault="007302E4">
            <w:pPr>
              <w:jc w:val="right"/>
            </w:pPr>
            <w:r>
              <w:rPr>
                <w:rFonts w:eastAsiaTheme="minorEastAsia"/>
                <w:kern w:val="0"/>
                <w:szCs w:val="21"/>
              </w:rPr>
              <w:t>130,720.00</w:t>
            </w:r>
          </w:p>
        </w:tc>
        <w:tc>
          <w:tcPr>
            <w:tcW w:w="1842" w:type="dxa"/>
            <w:vAlign w:val="center"/>
          </w:tcPr>
          <w:p w:rsidR="00A7264E" w:rsidRDefault="007302E4">
            <w:pPr>
              <w:jc w:val="right"/>
            </w:pPr>
            <w:r>
              <w:rPr>
                <w:rFonts w:eastAsiaTheme="minorEastAsia"/>
                <w:kern w:val="0"/>
                <w:szCs w:val="21"/>
              </w:rPr>
              <w:t>2,105,899.20</w:t>
            </w:r>
          </w:p>
        </w:tc>
        <w:tc>
          <w:tcPr>
            <w:tcW w:w="1616" w:type="dxa"/>
            <w:vAlign w:val="center"/>
          </w:tcPr>
          <w:p w:rsidR="00A7264E" w:rsidRDefault="007302E4">
            <w:pPr>
              <w:jc w:val="right"/>
            </w:pPr>
            <w:r>
              <w:rPr>
                <w:rFonts w:eastAsiaTheme="minorEastAsia"/>
                <w:kern w:val="0"/>
                <w:szCs w:val="21"/>
              </w:rPr>
              <w:t>1.69</w:t>
            </w:r>
          </w:p>
        </w:tc>
      </w:tr>
      <w:tr w:rsidR="00A7264E">
        <w:tc>
          <w:tcPr>
            <w:tcW w:w="817" w:type="dxa"/>
            <w:vAlign w:val="center"/>
          </w:tcPr>
          <w:p w:rsidR="00A7264E" w:rsidRDefault="007302E4">
            <w:pPr>
              <w:jc w:val="center"/>
            </w:pPr>
            <w:r>
              <w:rPr>
                <w:rFonts w:eastAsiaTheme="minorEastAsia"/>
                <w:kern w:val="0"/>
                <w:szCs w:val="21"/>
              </w:rPr>
              <w:t>6</w:t>
            </w:r>
          </w:p>
        </w:tc>
        <w:tc>
          <w:tcPr>
            <w:tcW w:w="1276" w:type="dxa"/>
            <w:vAlign w:val="center"/>
          </w:tcPr>
          <w:p w:rsidR="00A7264E" w:rsidRDefault="007302E4">
            <w:pPr>
              <w:jc w:val="center"/>
            </w:pPr>
            <w:r>
              <w:rPr>
                <w:rFonts w:eastAsiaTheme="minorEastAsia"/>
                <w:kern w:val="0"/>
                <w:szCs w:val="21"/>
              </w:rPr>
              <w:t>300856</w:t>
            </w:r>
          </w:p>
        </w:tc>
        <w:tc>
          <w:tcPr>
            <w:tcW w:w="1701" w:type="dxa"/>
            <w:vAlign w:val="center"/>
          </w:tcPr>
          <w:p w:rsidR="00A7264E" w:rsidRDefault="007302E4">
            <w:pPr>
              <w:jc w:val="center"/>
            </w:pPr>
            <w:r>
              <w:rPr>
                <w:rFonts w:eastAsiaTheme="minorEastAsia"/>
                <w:kern w:val="0"/>
                <w:szCs w:val="21"/>
              </w:rPr>
              <w:t>科思股份</w:t>
            </w:r>
          </w:p>
        </w:tc>
        <w:tc>
          <w:tcPr>
            <w:tcW w:w="1276" w:type="dxa"/>
            <w:vAlign w:val="center"/>
          </w:tcPr>
          <w:p w:rsidR="00A7264E" w:rsidRDefault="007302E4">
            <w:pPr>
              <w:jc w:val="right"/>
            </w:pPr>
            <w:r>
              <w:rPr>
                <w:rFonts w:eastAsiaTheme="minorEastAsia"/>
                <w:kern w:val="0"/>
                <w:szCs w:val="21"/>
              </w:rPr>
              <w:t>26,650.00</w:t>
            </w:r>
          </w:p>
        </w:tc>
        <w:tc>
          <w:tcPr>
            <w:tcW w:w="1842" w:type="dxa"/>
            <w:vAlign w:val="center"/>
          </w:tcPr>
          <w:p w:rsidR="00A7264E" w:rsidRDefault="007302E4">
            <w:pPr>
              <w:jc w:val="right"/>
            </w:pPr>
            <w:r>
              <w:rPr>
                <w:rFonts w:eastAsiaTheme="minorEastAsia"/>
                <w:kern w:val="0"/>
                <w:szCs w:val="21"/>
              </w:rPr>
              <w:t>2,099,220.50</w:t>
            </w:r>
          </w:p>
        </w:tc>
        <w:tc>
          <w:tcPr>
            <w:tcW w:w="1616" w:type="dxa"/>
            <w:vAlign w:val="center"/>
          </w:tcPr>
          <w:p w:rsidR="00A7264E" w:rsidRDefault="007302E4">
            <w:pPr>
              <w:jc w:val="right"/>
            </w:pPr>
            <w:r>
              <w:rPr>
                <w:rFonts w:eastAsiaTheme="minorEastAsia"/>
                <w:kern w:val="0"/>
                <w:szCs w:val="21"/>
              </w:rPr>
              <w:t>1.68</w:t>
            </w:r>
          </w:p>
        </w:tc>
      </w:tr>
      <w:tr w:rsidR="00A7264E">
        <w:tc>
          <w:tcPr>
            <w:tcW w:w="817" w:type="dxa"/>
            <w:vAlign w:val="center"/>
          </w:tcPr>
          <w:p w:rsidR="00A7264E" w:rsidRDefault="007302E4">
            <w:pPr>
              <w:jc w:val="center"/>
            </w:pPr>
            <w:r>
              <w:rPr>
                <w:rFonts w:eastAsiaTheme="minorEastAsia"/>
                <w:kern w:val="0"/>
                <w:szCs w:val="21"/>
              </w:rPr>
              <w:t>7</w:t>
            </w:r>
          </w:p>
        </w:tc>
        <w:tc>
          <w:tcPr>
            <w:tcW w:w="1276" w:type="dxa"/>
            <w:vAlign w:val="center"/>
          </w:tcPr>
          <w:p w:rsidR="00A7264E" w:rsidRDefault="007302E4">
            <w:pPr>
              <w:jc w:val="center"/>
            </w:pPr>
            <w:r>
              <w:rPr>
                <w:rFonts w:eastAsiaTheme="minorEastAsia"/>
                <w:kern w:val="0"/>
                <w:szCs w:val="21"/>
              </w:rPr>
              <w:t>002965</w:t>
            </w:r>
          </w:p>
        </w:tc>
        <w:tc>
          <w:tcPr>
            <w:tcW w:w="1701" w:type="dxa"/>
            <w:vAlign w:val="center"/>
          </w:tcPr>
          <w:p w:rsidR="00A7264E" w:rsidRDefault="007302E4">
            <w:pPr>
              <w:jc w:val="center"/>
            </w:pPr>
            <w:r>
              <w:rPr>
                <w:rFonts w:eastAsiaTheme="minorEastAsia"/>
                <w:kern w:val="0"/>
                <w:szCs w:val="21"/>
              </w:rPr>
              <w:t>祥鑫科技</w:t>
            </w:r>
          </w:p>
        </w:tc>
        <w:tc>
          <w:tcPr>
            <w:tcW w:w="1276" w:type="dxa"/>
            <w:vAlign w:val="center"/>
          </w:tcPr>
          <w:p w:rsidR="00A7264E" w:rsidRDefault="007302E4">
            <w:pPr>
              <w:jc w:val="right"/>
            </w:pPr>
            <w:r>
              <w:rPr>
                <w:rFonts w:eastAsiaTheme="minorEastAsia"/>
                <w:kern w:val="0"/>
                <w:szCs w:val="21"/>
              </w:rPr>
              <w:t>37,700.00</w:t>
            </w:r>
          </w:p>
        </w:tc>
        <w:tc>
          <w:tcPr>
            <w:tcW w:w="1842" w:type="dxa"/>
            <w:vAlign w:val="center"/>
          </w:tcPr>
          <w:p w:rsidR="00A7264E" w:rsidRDefault="007302E4">
            <w:pPr>
              <w:jc w:val="right"/>
            </w:pPr>
            <w:r>
              <w:rPr>
                <w:rFonts w:eastAsiaTheme="minorEastAsia"/>
                <w:kern w:val="0"/>
                <w:szCs w:val="21"/>
              </w:rPr>
              <w:t>2,099,136.00</w:t>
            </w:r>
          </w:p>
        </w:tc>
        <w:tc>
          <w:tcPr>
            <w:tcW w:w="1616" w:type="dxa"/>
            <w:vAlign w:val="center"/>
          </w:tcPr>
          <w:p w:rsidR="00A7264E" w:rsidRDefault="007302E4">
            <w:pPr>
              <w:jc w:val="right"/>
            </w:pPr>
            <w:r>
              <w:rPr>
                <w:rFonts w:eastAsiaTheme="minorEastAsia"/>
                <w:kern w:val="0"/>
                <w:szCs w:val="21"/>
              </w:rPr>
              <w:t>1.68</w:t>
            </w:r>
          </w:p>
        </w:tc>
      </w:tr>
      <w:tr w:rsidR="00A7264E">
        <w:tc>
          <w:tcPr>
            <w:tcW w:w="817" w:type="dxa"/>
            <w:vAlign w:val="center"/>
          </w:tcPr>
          <w:p w:rsidR="00A7264E" w:rsidRDefault="007302E4">
            <w:pPr>
              <w:jc w:val="center"/>
            </w:pPr>
            <w:r>
              <w:rPr>
                <w:rFonts w:eastAsiaTheme="minorEastAsia"/>
                <w:kern w:val="0"/>
                <w:szCs w:val="21"/>
              </w:rPr>
              <w:t>8</w:t>
            </w:r>
          </w:p>
        </w:tc>
        <w:tc>
          <w:tcPr>
            <w:tcW w:w="1276" w:type="dxa"/>
            <w:vAlign w:val="center"/>
          </w:tcPr>
          <w:p w:rsidR="00A7264E" w:rsidRDefault="007302E4">
            <w:pPr>
              <w:jc w:val="center"/>
            </w:pPr>
            <w:r>
              <w:rPr>
                <w:rFonts w:eastAsiaTheme="minorEastAsia"/>
                <w:kern w:val="0"/>
                <w:szCs w:val="21"/>
              </w:rPr>
              <w:t>002448</w:t>
            </w:r>
          </w:p>
        </w:tc>
        <w:tc>
          <w:tcPr>
            <w:tcW w:w="1701" w:type="dxa"/>
            <w:vAlign w:val="center"/>
          </w:tcPr>
          <w:p w:rsidR="00A7264E" w:rsidRDefault="007302E4">
            <w:pPr>
              <w:jc w:val="center"/>
            </w:pPr>
            <w:r>
              <w:rPr>
                <w:rFonts w:eastAsiaTheme="minorEastAsia"/>
                <w:kern w:val="0"/>
                <w:szCs w:val="21"/>
              </w:rPr>
              <w:t>中原内配</w:t>
            </w:r>
          </w:p>
        </w:tc>
        <w:tc>
          <w:tcPr>
            <w:tcW w:w="1276" w:type="dxa"/>
            <w:vAlign w:val="center"/>
          </w:tcPr>
          <w:p w:rsidR="00A7264E" w:rsidRDefault="007302E4">
            <w:pPr>
              <w:jc w:val="right"/>
            </w:pPr>
            <w:r>
              <w:rPr>
                <w:rFonts w:eastAsiaTheme="minorEastAsia"/>
                <w:kern w:val="0"/>
                <w:szCs w:val="21"/>
              </w:rPr>
              <w:t>299,700.00</w:t>
            </w:r>
          </w:p>
        </w:tc>
        <w:tc>
          <w:tcPr>
            <w:tcW w:w="1842" w:type="dxa"/>
            <w:vAlign w:val="center"/>
          </w:tcPr>
          <w:p w:rsidR="00A7264E" w:rsidRDefault="007302E4">
            <w:pPr>
              <w:jc w:val="right"/>
            </w:pPr>
            <w:r>
              <w:rPr>
                <w:rFonts w:eastAsiaTheme="minorEastAsia"/>
                <w:kern w:val="0"/>
                <w:szCs w:val="21"/>
              </w:rPr>
              <w:t>2,097,900.00</w:t>
            </w:r>
          </w:p>
        </w:tc>
        <w:tc>
          <w:tcPr>
            <w:tcW w:w="1616" w:type="dxa"/>
            <w:vAlign w:val="center"/>
          </w:tcPr>
          <w:p w:rsidR="00A7264E" w:rsidRDefault="007302E4">
            <w:pPr>
              <w:jc w:val="right"/>
            </w:pPr>
            <w:r>
              <w:rPr>
                <w:rFonts w:eastAsiaTheme="minorEastAsia"/>
                <w:kern w:val="0"/>
                <w:szCs w:val="21"/>
              </w:rPr>
              <w:t>1.68</w:t>
            </w:r>
          </w:p>
        </w:tc>
      </w:tr>
      <w:tr w:rsidR="00A7264E">
        <w:tc>
          <w:tcPr>
            <w:tcW w:w="817" w:type="dxa"/>
            <w:vAlign w:val="center"/>
          </w:tcPr>
          <w:p w:rsidR="00A7264E" w:rsidRDefault="007302E4">
            <w:pPr>
              <w:jc w:val="center"/>
            </w:pPr>
            <w:r>
              <w:rPr>
                <w:rFonts w:eastAsiaTheme="minorEastAsia"/>
                <w:kern w:val="0"/>
                <w:szCs w:val="21"/>
              </w:rPr>
              <w:t>9</w:t>
            </w:r>
          </w:p>
        </w:tc>
        <w:tc>
          <w:tcPr>
            <w:tcW w:w="1276" w:type="dxa"/>
            <w:vAlign w:val="center"/>
          </w:tcPr>
          <w:p w:rsidR="00A7264E" w:rsidRDefault="007302E4">
            <w:pPr>
              <w:jc w:val="center"/>
            </w:pPr>
            <w:r>
              <w:rPr>
                <w:rFonts w:eastAsiaTheme="minorEastAsia"/>
                <w:kern w:val="0"/>
                <w:szCs w:val="21"/>
              </w:rPr>
              <w:t>002334</w:t>
            </w:r>
          </w:p>
        </w:tc>
        <w:tc>
          <w:tcPr>
            <w:tcW w:w="1701" w:type="dxa"/>
            <w:vAlign w:val="center"/>
          </w:tcPr>
          <w:p w:rsidR="00A7264E" w:rsidRDefault="007302E4">
            <w:pPr>
              <w:jc w:val="center"/>
            </w:pPr>
            <w:r>
              <w:rPr>
                <w:rFonts w:eastAsiaTheme="minorEastAsia"/>
                <w:kern w:val="0"/>
                <w:szCs w:val="21"/>
              </w:rPr>
              <w:t>英威腾</w:t>
            </w:r>
          </w:p>
        </w:tc>
        <w:tc>
          <w:tcPr>
            <w:tcW w:w="1276" w:type="dxa"/>
            <w:vAlign w:val="center"/>
          </w:tcPr>
          <w:p w:rsidR="00A7264E" w:rsidRDefault="007302E4">
            <w:pPr>
              <w:jc w:val="right"/>
            </w:pPr>
            <w:r>
              <w:rPr>
                <w:rFonts w:eastAsiaTheme="minorEastAsia"/>
                <w:kern w:val="0"/>
                <w:szCs w:val="21"/>
              </w:rPr>
              <w:t>163,700.00</w:t>
            </w:r>
          </w:p>
        </w:tc>
        <w:tc>
          <w:tcPr>
            <w:tcW w:w="1842" w:type="dxa"/>
            <w:vAlign w:val="center"/>
          </w:tcPr>
          <w:p w:rsidR="00A7264E" w:rsidRDefault="007302E4">
            <w:pPr>
              <w:jc w:val="right"/>
            </w:pPr>
            <w:r>
              <w:rPr>
                <w:rFonts w:eastAsiaTheme="minorEastAsia"/>
                <w:kern w:val="0"/>
                <w:szCs w:val="21"/>
              </w:rPr>
              <w:t>2,085,538.00</w:t>
            </w:r>
          </w:p>
        </w:tc>
        <w:tc>
          <w:tcPr>
            <w:tcW w:w="1616" w:type="dxa"/>
            <w:vAlign w:val="center"/>
          </w:tcPr>
          <w:p w:rsidR="00A7264E" w:rsidRDefault="007302E4">
            <w:pPr>
              <w:jc w:val="right"/>
            </w:pPr>
            <w:r>
              <w:rPr>
                <w:rFonts w:eastAsiaTheme="minorEastAsia"/>
                <w:kern w:val="0"/>
                <w:szCs w:val="21"/>
              </w:rPr>
              <w:t>1.67</w:t>
            </w:r>
          </w:p>
        </w:tc>
      </w:tr>
      <w:tr w:rsidR="00A7264E">
        <w:tc>
          <w:tcPr>
            <w:tcW w:w="817" w:type="dxa"/>
            <w:vAlign w:val="center"/>
          </w:tcPr>
          <w:p w:rsidR="00A7264E" w:rsidRDefault="007302E4">
            <w:pPr>
              <w:jc w:val="center"/>
            </w:pPr>
            <w:r>
              <w:rPr>
                <w:rFonts w:eastAsiaTheme="minorEastAsia"/>
                <w:kern w:val="0"/>
                <w:szCs w:val="21"/>
              </w:rPr>
              <w:t>10</w:t>
            </w:r>
          </w:p>
        </w:tc>
        <w:tc>
          <w:tcPr>
            <w:tcW w:w="1276" w:type="dxa"/>
            <w:vAlign w:val="center"/>
          </w:tcPr>
          <w:p w:rsidR="00A7264E" w:rsidRDefault="007302E4">
            <w:pPr>
              <w:jc w:val="center"/>
            </w:pPr>
            <w:r>
              <w:rPr>
                <w:rFonts w:eastAsiaTheme="minorEastAsia"/>
                <w:kern w:val="0"/>
                <w:szCs w:val="21"/>
              </w:rPr>
              <w:t>002223</w:t>
            </w:r>
          </w:p>
        </w:tc>
        <w:tc>
          <w:tcPr>
            <w:tcW w:w="1701" w:type="dxa"/>
            <w:vAlign w:val="center"/>
          </w:tcPr>
          <w:p w:rsidR="00A7264E" w:rsidRDefault="007302E4">
            <w:pPr>
              <w:jc w:val="center"/>
            </w:pPr>
            <w:r>
              <w:rPr>
                <w:rFonts w:eastAsiaTheme="minorEastAsia"/>
                <w:kern w:val="0"/>
                <w:szCs w:val="21"/>
              </w:rPr>
              <w:t>鱼跃医疗</w:t>
            </w:r>
          </w:p>
        </w:tc>
        <w:tc>
          <w:tcPr>
            <w:tcW w:w="1276" w:type="dxa"/>
            <w:vAlign w:val="center"/>
          </w:tcPr>
          <w:p w:rsidR="00A7264E" w:rsidRDefault="007302E4">
            <w:pPr>
              <w:jc w:val="right"/>
            </w:pPr>
            <w:r>
              <w:rPr>
                <w:rFonts w:eastAsiaTheme="minorEastAsia"/>
                <w:kern w:val="0"/>
                <w:szCs w:val="21"/>
              </w:rPr>
              <w:t>57,900.00</w:t>
            </w:r>
          </w:p>
        </w:tc>
        <w:tc>
          <w:tcPr>
            <w:tcW w:w="1842" w:type="dxa"/>
            <w:vAlign w:val="center"/>
          </w:tcPr>
          <w:p w:rsidR="00A7264E" w:rsidRDefault="007302E4">
            <w:pPr>
              <w:jc w:val="right"/>
            </w:pPr>
            <w:r>
              <w:rPr>
                <w:rFonts w:eastAsiaTheme="minorEastAsia"/>
                <w:kern w:val="0"/>
                <w:szCs w:val="21"/>
              </w:rPr>
              <w:t>2,083,821.00</w:t>
            </w:r>
          </w:p>
        </w:tc>
        <w:tc>
          <w:tcPr>
            <w:tcW w:w="1616" w:type="dxa"/>
            <w:vAlign w:val="center"/>
          </w:tcPr>
          <w:p w:rsidR="00A7264E" w:rsidRDefault="007302E4">
            <w:pPr>
              <w:jc w:val="right"/>
            </w:pPr>
            <w:r>
              <w:rPr>
                <w:rFonts w:eastAsiaTheme="minorEastAsia"/>
                <w:kern w:val="0"/>
                <w:szCs w:val="21"/>
              </w:rPr>
              <w:t>1.67</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7302E4" w:rsidRDefault="005C671B" w:rsidP="007302E4">
      <w:pPr>
        <w:spacing w:line="360" w:lineRule="auto"/>
        <w:rPr>
          <w:color w:val="000000"/>
          <w:kern w:val="0"/>
          <w:szCs w:val="21"/>
        </w:rPr>
      </w:pPr>
      <w:r w:rsidRPr="00B27A29">
        <w:rPr>
          <w:rFonts w:eastAsiaTheme="minorEastAsia"/>
          <w:color w:val="000000" w:themeColor="text1"/>
          <w:szCs w:val="21"/>
        </w:rPr>
        <w:t>5.11.1</w:t>
      </w:r>
      <w:r w:rsidR="007302E4">
        <w:rPr>
          <w:rFonts w:hint="eastAsia"/>
          <w:color w:val="000000"/>
        </w:rPr>
        <w:t>本基金投资的前十名证券的发行主体中，江苏鱼跃医疗设备股份有限公司（股票代码</w:t>
      </w:r>
      <w:r w:rsidR="007302E4">
        <w:rPr>
          <w:rFonts w:hint="eastAsia"/>
          <w:color w:val="000000"/>
        </w:rPr>
        <w:t>002223</w:t>
      </w:r>
      <w:r w:rsidR="007302E4">
        <w:rPr>
          <w:rFonts w:hint="eastAsia"/>
          <w:color w:val="000000"/>
        </w:rPr>
        <w:t>）在报告编制日前一年内曾受到镇江市市场监督管理局的处罚。</w:t>
      </w:r>
    </w:p>
    <w:p w:rsidR="007302E4" w:rsidRDefault="007302E4" w:rsidP="007302E4">
      <w:pPr>
        <w:spacing w:line="360" w:lineRule="auto"/>
        <w:rPr>
          <w:color w:val="000000"/>
        </w:rPr>
      </w:pPr>
      <w:r>
        <w:rPr>
          <w:rFonts w:hint="eastAsia"/>
          <w:color w:val="000000"/>
        </w:rPr>
        <w:t>本基金对上述主体所发行证券的投资决策程序符合相关法律法规、基金合同及公司投资制度的要求。</w:t>
      </w:r>
    </w:p>
    <w:p w:rsidR="007302E4" w:rsidRDefault="007302E4" w:rsidP="007302E4">
      <w:pPr>
        <w:spacing w:line="360" w:lineRule="auto"/>
        <w:rPr>
          <w:color w:val="000000"/>
        </w:rPr>
      </w:pPr>
      <w:r>
        <w:rPr>
          <w:rFonts w:hint="eastAsia"/>
          <w:color w:val="000000"/>
        </w:rPr>
        <w:t>除上述股票外，本基金投资的其余前十名证券的发行主体本期未出现被监管部门立案调查，或在报告编制日前一年内受到公开谴责、处罚的情形。</w:t>
      </w:r>
    </w:p>
    <w:p w:rsidR="005E6DF3" w:rsidRPr="00B27A29" w:rsidRDefault="005C671B" w:rsidP="007302E4">
      <w:pPr>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12,592.29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1,129,798.39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23,291.18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1,165,681.86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110,134,434.02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60,781.60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13,437,114.05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1,088,898.28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2,466,612.48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81,510.42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121,104,935.59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1,068,169.46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、《摩根动态多因子策略灵活配置混合型证券投资基金基金合同》；</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、《摩根动态多因子策略灵活配置混合型证券投资基金托管协议》；</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A7264E" w:rsidRDefault="007302E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3225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3225A">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3225A">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摩根动态多因子策略灵活配置混合型证券投资基金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25A"/>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3CB"/>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02E4"/>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264E"/>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 w:id="1922399193">
      <w:bodyDiv w:val="1"/>
      <w:marLeft w:val="0"/>
      <w:marRight w:val="0"/>
      <w:marTop w:val="0"/>
      <w:marBottom w:val="0"/>
      <w:divBdr>
        <w:top w:val="none" w:sz="0" w:space="0" w:color="auto"/>
        <w:left w:val="none" w:sz="0" w:space="0" w:color="auto"/>
        <w:bottom w:val="none" w:sz="0" w:space="0" w:color="auto"/>
        <w:right w:val="none" w:sz="0" w:space="0" w:color="auto"/>
      </w:divBdr>
    </w:div>
    <w:div w:id="213786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829DB-AF03-4284-B76C-D5CFDF93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14</Pages>
  <Words>1197</Words>
  <Characters>6826</Characters>
  <Application>Microsoft Office Word</Application>
  <DocSecurity>0</DocSecurity>
  <Lines>56</Lines>
  <Paragraphs>16</Paragraphs>
  <ScaleCrop>false</ScaleCrop>
  <Company>TRT. Ltd. Co.</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221</cp:revision>
  <cp:lastPrinted>2007-07-19T00:46:00Z</cp:lastPrinted>
  <dcterms:created xsi:type="dcterms:W3CDTF">2013-06-21T06:56:00Z</dcterms:created>
  <dcterms:modified xsi:type="dcterms:W3CDTF">2023-07-20T06:28:00Z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