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摩根动态多因子策略灵活配置混合型证券投资基金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72C2D" w:rsidRDefault="000F2FA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72C2D" w:rsidRDefault="000F2FA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72C2D" w:rsidRDefault="000F2FA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72C2D" w:rsidRDefault="000F2FA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72C2D" w:rsidRDefault="000F2FA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摩根动态多因子混合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001219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183,900,395.11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在严格控制风险的基础上，采用量化投资对基金资产进行积极管理，力争获取超越业绩基准的投资收益。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72C2D" w:rsidRDefault="000F2FA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本基金采用数量化选股模型驱动的选股策略进行个股选择，并结合适当的资产配置策略搭建基金投资组合。</w:t>
            </w:r>
          </w:p>
          <w:p w:rsidR="00272C2D" w:rsidRDefault="000F2FA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在资产配置过程中，本基金将从多角度综合评估各个行业的投资价值，对基金资产在行业间分配进行安排，同时将采用多种数量化的投资方法控制净值大幅回撤风险，改善投资组合的风险收益特征。</w:t>
            </w:r>
          </w:p>
          <w:p w:rsidR="00272C2D" w:rsidRDefault="000F2FA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在股票投资过程中，本基金将保持通过动态多因子模型选</w:t>
            </w:r>
            <w:r>
              <w:rPr>
                <w:rFonts w:eastAsiaTheme="minorEastAsia"/>
                <w:color w:val="000000" w:themeColor="text1"/>
                <w:kern w:val="0"/>
                <w:szCs w:val="21"/>
              </w:rPr>
              <w:lastRenderedPageBreak/>
              <w:t>股构建股票投资组合的投资策略，强调投资纪律、降低随意性投资带来的风险，力争实现基金资产的长期稳定增值。</w:t>
            </w:r>
          </w:p>
          <w:p w:rsidR="00272C2D" w:rsidRDefault="000F2FA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272C2D" w:rsidRDefault="000F2FA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动态优化投资组合。在资产配置过程中，本基金将采用多种数量化的投资方法控制净值大幅回撤的风险，改善投资组合的风险收益特性。</w:t>
            </w:r>
          </w:p>
          <w:p w:rsidR="00272C2D" w:rsidRDefault="000F2FA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272C2D" w:rsidRDefault="000F2FA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通过基金管理人开发的动态多因子模型进行股票选择并据此构建股票投资组合。动态</w:t>
            </w:r>
            <w:r>
              <w:rPr>
                <w:rFonts w:eastAsiaTheme="minorEastAsia"/>
                <w:color w:val="000000" w:themeColor="text1"/>
                <w:kern w:val="0"/>
                <w:szCs w:val="21"/>
              </w:rPr>
              <w:t>多因子模型在实际运行过程中将定期或不定期地进行修正，优化股票投资组合。</w:t>
            </w:r>
          </w:p>
          <w:p w:rsidR="00272C2D" w:rsidRDefault="000F2FA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272C2D" w:rsidRDefault="000F2FA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272C2D" w:rsidRDefault="000F2FA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在类属配置层次，结合对宏观经济、市场利率、债券供求等因素的综合分析，根据交易所市场与银行间市场类属资产的风险收益特征，定期对投资组合类属资产进行优化配置和调整，确定类属资产的最优权重。</w:t>
            </w:r>
          </w:p>
          <w:p w:rsidR="00272C2D" w:rsidRDefault="000F2FA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在券种选择上，本基金以中长期利率趋势分析为基础，结合经济趋势、货币政策及不同债券品种</w:t>
            </w:r>
            <w:r>
              <w:rPr>
                <w:rFonts w:eastAsiaTheme="minorEastAsia"/>
                <w:color w:val="000000" w:themeColor="text1"/>
                <w:kern w:val="0"/>
                <w:szCs w:val="21"/>
              </w:rPr>
              <w:t>的收益率水平、流动性和信用风险等因素，重点选择那些流动性较好、风险水平合理、到期收益率与信用质量相对较高的债券品种。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、其他投资策略：包括可转换债券投资策略、中小企业私募债投资策略、股指期货投资策略、资产支持证券投资策略、股票期权投资策略、存托凭证投资策略。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272C2D" w:rsidRDefault="000F2FA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001219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017176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151,980,496.96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31,919,898.15</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10,323,150.85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4,247,643.93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-4,847,989.25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-385,813.58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-0.0307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-0.0073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128,885,838.44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26,788,832.05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0.8480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0.8393</w:t>
            </w:r>
          </w:p>
        </w:tc>
      </w:tr>
    </w:tbl>
    <w:p w:rsidR="00272C2D" w:rsidRDefault="000F2FA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摩根动态多因子混合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72C2D">
        <w:tc>
          <w:tcPr>
            <w:tcW w:w="1290" w:type="dxa"/>
            <w:vAlign w:val="center"/>
          </w:tcPr>
          <w:p w:rsidR="00272C2D" w:rsidRDefault="000F2FA8">
            <w:pPr>
              <w:jc w:val="left"/>
            </w:pPr>
            <w:r>
              <w:rPr>
                <w:rFonts w:eastAsiaTheme="minorEastAsia"/>
                <w:color w:val="000000" w:themeColor="text1"/>
                <w:szCs w:val="21"/>
              </w:rPr>
              <w:t>过去三个月</w:t>
            </w:r>
          </w:p>
        </w:tc>
        <w:tc>
          <w:tcPr>
            <w:tcW w:w="1291" w:type="dxa"/>
            <w:vAlign w:val="center"/>
          </w:tcPr>
          <w:p w:rsidR="00272C2D" w:rsidRDefault="000F2FA8">
            <w:pPr>
              <w:jc w:val="right"/>
            </w:pPr>
            <w:r>
              <w:rPr>
                <w:rFonts w:eastAsiaTheme="minorEastAsia"/>
                <w:color w:val="000000" w:themeColor="text1"/>
                <w:szCs w:val="21"/>
              </w:rPr>
              <w:t>-3.72%</w:t>
            </w:r>
          </w:p>
        </w:tc>
        <w:tc>
          <w:tcPr>
            <w:tcW w:w="1291" w:type="dxa"/>
            <w:vAlign w:val="center"/>
          </w:tcPr>
          <w:p w:rsidR="00272C2D" w:rsidRDefault="000F2FA8">
            <w:pPr>
              <w:jc w:val="right"/>
            </w:pPr>
            <w:r>
              <w:rPr>
                <w:rFonts w:eastAsiaTheme="minorEastAsia"/>
                <w:color w:val="000000" w:themeColor="text1"/>
                <w:szCs w:val="21"/>
              </w:rPr>
              <w:t>1.07%</w:t>
            </w:r>
          </w:p>
        </w:tc>
        <w:tc>
          <w:tcPr>
            <w:tcW w:w="1291" w:type="dxa"/>
            <w:vAlign w:val="center"/>
          </w:tcPr>
          <w:p w:rsidR="00272C2D" w:rsidRDefault="000F2FA8">
            <w:pPr>
              <w:jc w:val="right"/>
            </w:pPr>
            <w:r>
              <w:rPr>
                <w:rFonts w:eastAsiaTheme="minorEastAsia"/>
                <w:color w:val="000000" w:themeColor="text1"/>
                <w:szCs w:val="21"/>
              </w:rPr>
              <w:t>-0.89%</w:t>
            </w:r>
          </w:p>
        </w:tc>
        <w:tc>
          <w:tcPr>
            <w:tcW w:w="1291" w:type="dxa"/>
            <w:vAlign w:val="center"/>
          </w:tcPr>
          <w:p w:rsidR="00272C2D" w:rsidRDefault="000F2FA8">
            <w:pPr>
              <w:jc w:val="right"/>
            </w:pPr>
            <w:r>
              <w:rPr>
                <w:rFonts w:eastAsiaTheme="minorEastAsia"/>
                <w:color w:val="000000" w:themeColor="text1"/>
                <w:szCs w:val="21"/>
              </w:rPr>
              <w:t>0.44%</w:t>
            </w:r>
          </w:p>
        </w:tc>
        <w:tc>
          <w:tcPr>
            <w:tcW w:w="1291" w:type="dxa"/>
            <w:vAlign w:val="center"/>
          </w:tcPr>
          <w:p w:rsidR="00272C2D" w:rsidRDefault="000F2FA8">
            <w:pPr>
              <w:jc w:val="right"/>
            </w:pPr>
            <w:r>
              <w:rPr>
                <w:rFonts w:eastAsiaTheme="minorEastAsia"/>
                <w:color w:val="000000" w:themeColor="text1"/>
                <w:szCs w:val="21"/>
              </w:rPr>
              <w:t>-2.83%</w:t>
            </w:r>
          </w:p>
        </w:tc>
        <w:tc>
          <w:tcPr>
            <w:tcW w:w="1291" w:type="dxa"/>
            <w:vAlign w:val="center"/>
          </w:tcPr>
          <w:p w:rsidR="00272C2D" w:rsidRDefault="000F2FA8">
            <w:pPr>
              <w:jc w:val="right"/>
            </w:pPr>
            <w:r>
              <w:rPr>
                <w:rFonts w:eastAsiaTheme="minorEastAsia"/>
                <w:color w:val="000000" w:themeColor="text1"/>
                <w:szCs w:val="21"/>
              </w:rPr>
              <w:t>0.63%</w:t>
            </w:r>
          </w:p>
        </w:tc>
      </w:tr>
      <w:tr w:rsidR="00272C2D">
        <w:tc>
          <w:tcPr>
            <w:tcW w:w="1290" w:type="dxa"/>
            <w:vAlign w:val="center"/>
          </w:tcPr>
          <w:p w:rsidR="00272C2D" w:rsidRDefault="000F2FA8">
            <w:pPr>
              <w:jc w:val="left"/>
            </w:pPr>
            <w:r>
              <w:rPr>
                <w:rFonts w:eastAsiaTheme="minorEastAsia"/>
                <w:color w:val="000000" w:themeColor="text1"/>
                <w:szCs w:val="21"/>
              </w:rPr>
              <w:t>过去六个月</w:t>
            </w:r>
          </w:p>
        </w:tc>
        <w:tc>
          <w:tcPr>
            <w:tcW w:w="1291" w:type="dxa"/>
            <w:vAlign w:val="center"/>
          </w:tcPr>
          <w:p w:rsidR="00272C2D" w:rsidRDefault="000F2FA8">
            <w:pPr>
              <w:jc w:val="right"/>
            </w:pPr>
            <w:r>
              <w:rPr>
                <w:rFonts w:eastAsiaTheme="minorEastAsia"/>
                <w:color w:val="000000" w:themeColor="text1"/>
                <w:szCs w:val="21"/>
              </w:rPr>
              <w:t>-7.36%</w:t>
            </w:r>
          </w:p>
        </w:tc>
        <w:tc>
          <w:tcPr>
            <w:tcW w:w="1291" w:type="dxa"/>
            <w:vAlign w:val="center"/>
          </w:tcPr>
          <w:p w:rsidR="00272C2D" w:rsidRDefault="000F2FA8">
            <w:pPr>
              <w:jc w:val="right"/>
            </w:pPr>
            <w:r>
              <w:rPr>
                <w:rFonts w:eastAsiaTheme="minorEastAsia"/>
                <w:color w:val="000000" w:themeColor="text1"/>
                <w:szCs w:val="21"/>
              </w:rPr>
              <w:t>1.23%</w:t>
            </w:r>
          </w:p>
        </w:tc>
        <w:tc>
          <w:tcPr>
            <w:tcW w:w="1291" w:type="dxa"/>
            <w:vAlign w:val="center"/>
          </w:tcPr>
          <w:p w:rsidR="00272C2D" w:rsidRDefault="000F2FA8">
            <w:pPr>
              <w:jc w:val="right"/>
            </w:pPr>
            <w:r>
              <w:rPr>
                <w:rFonts w:eastAsiaTheme="minorEastAsia"/>
                <w:color w:val="000000" w:themeColor="text1"/>
                <w:szCs w:val="21"/>
              </w:rPr>
              <w:t>1.43%</w:t>
            </w:r>
          </w:p>
        </w:tc>
        <w:tc>
          <w:tcPr>
            <w:tcW w:w="1291" w:type="dxa"/>
            <w:vAlign w:val="center"/>
          </w:tcPr>
          <w:p w:rsidR="00272C2D" w:rsidRDefault="000F2FA8">
            <w:pPr>
              <w:jc w:val="right"/>
            </w:pPr>
            <w:r>
              <w:rPr>
                <w:rFonts w:eastAsiaTheme="minorEastAsia"/>
                <w:color w:val="000000" w:themeColor="text1"/>
                <w:szCs w:val="21"/>
              </w:rPr>
              <w:t>0.53%</w:t>
            </w:r>
          </w:p>
        </w:tc>
        <w:tc>
          <w:tcPr>
            <w:tcW w:w="1291" w:type="dxa"/>
            <w:vAlign w:val="center"/>
          </w:tcPr>
          <w:p w:rsidR="00272C2D" w:rsidRDefault="000F2FA8">
            <w:pPr>
              <w:jc w:val="right"/>
            </w:pPr>
            <w:r>
              <w:rPr>
                <w:rFonts w:eastAsiaTheme="minorEastAsia"/>
                <w:color w:val="000000" w:themeColor="text1"/>
                <w:szCs w:val="21"/>
              </w:rPr>
              <w:t>-8.79%</w:t>
            </w:r>
          </w:p>
        </w:tc>
        <w:tc>
          <w:tcPr>
            <w:tcW w:w="1291" w:type="dxa"/>
            <w:vAlign w:val="center"/>
          </w:tcPr>
          <w:p w:rsidR="00272C2D" w:rsidRDefault="000F2FA8">
            <w:pPr>
              <w:jc w:val="right"/>
            </w:pPr>
            <w:r>
              <w:rPr>
                <w:rFonts w:eastAsiaTheme="minorEastAsia"/>
                <w:color w:val="000000" w:themeColor="text1"/>
                <w:szCs w:val="21"/>
              </w:rPr>
              <w:t>0.70%</w:t>
            </w:r>
          </w:p>
        </w:tc>
      </w:tr>
      <w:tr w:rsidR="00272C2D">
        <w:tc>
          <w:tcPr>
            <w:tcW w:w="1290" w:type="dxa"/>
            <w:vAlign w:val="center"/>
          </w:tcPr>
          <w:p w:rsidR="00272C2D" w:rsidRDefault="000F2FA8">
            <w:pPr>
              <w:jc w:val="left"/>
            </w:pPr>
            <w:r>
              <w:rPr>
                <w:rFonts w:eastAsiaTheme="minorEastAsia"/>
                <w:color w:val="000000" w:themeColor="text1"/>
                <w:szCs w:val="21"/>
              </w:rPr>
              <w:t>过去一年</w:t>
            </w:r>
          </w:p>
        </w:tc>
        <w:tc>
          <w:tcPr>
            <w:tcW w:w="1291" w:type="dxa"/>
            <w:vAlign w:val="center"/>
          </w:tcPr>
          <w:p w:rsidR="00272C2D" w:rsidRDefault="000F2FA8">
            <w:pPr>
              <w:jc w:val="right"/>
            </w:pPr>
            <w:r>
              <w:rPr>
                <w:rFonts w:eastAsiaTheme="minorEastAsia"/>
                <w:color w:val="000000" w:themeColor="text1"/>
                <w:szCs w:val="21"/>
              </w:rPr>
              <w:t>-16.85%</w:t>
            </w:r>
          </w:p>
        </w:tc>
        <w:tc>
          <w:tcPr>
            <w:tcW w:w="1291" w:type="dxa"/>
            <w:vAlign w:val="center"/>
          </w:tcPr>
          <w:p w:rsidR="00272C2D" w:rsidRDefault="000F2FA8">
            <w:pPr>
              <w:jc w:val="right"/>
            </w:pPr>
            <w:r>
              <w:rPr>
                <w:rFonts w:eastAsiaTheme="minorEastAsia"/>
                <w:color w:val="000000" w:themeColor="text1"/>
                <w:szCs w:val="21"/>
              </w:rPr>
              <w:t>1.03%</w:t>
            </w:r>
          </w:p>
        </w:tc>
        <w:tc>
          <w:tcPr>
            <w:tcW w:w="1291" w:type="dxa"/>
            <w:vAlign w:val="center"/>
          </w:tcPr>
          <w:p w:rsidR="00272C2D" w:rsidRDefault="000F2FA8">
            <w:pPr>
              <w:jc w:val="right"/>
            </w:pPr>
            <w:r>
              <w:rPr>
                <w:rFonts w:eastAsiaTheme="minorEastAsia"/>
                <w:color w:val="000000" w:themeColor="text1"/>
                <w:szCs w:val="21"/>
              </w:rPr>
              <w:t>-4.73%</w:t>
            </w:r>
          </w:p>
        </w:tc>
        <w:tc>
          <w:tcPr>
            <w:tcW w:w="1291" w:type="dxa"/>
            <w:vAlign w:val="center"/>
          </w:tcPr>
          <w:p w:rsidR="00272C2D" w:rsidRDefault="000F2FA8">
            <w:pPr>
              <w:jc w:val="right"/>
            </w:pPr>
            <w:r>
              <w:rPr>
                <w:rFonts w:eastAsiaTheme="minorEastAsia"/>
                <w:color w:val="000000" w:themeColor="text1"/>
                <w:szCs w:val="21"/>
              </w:rPr>
              <w:t>0.52%</w:t>
            </w:r>
          </w:p>
        </w:tc>
        <w:tc>
          <w:tcPr>
            <w:tcW w:w="1291" w:type="dxa"/>
            <w:vAlign w:val="center"/>
          </w:tcPr>
          <w:p w:rsidR="00272C2D" w:rsidRDefault="000F2FA8">
            <w:pPr>
              <w:jc w:val="right"/>
            </w:pPr>
            <w:r>
              <w:rPr>
                <w:rFonts w:eastAsiaTheme="minorEastAsia"/>
                <w:color w:val="000000" w:themeColor="text1"/>
                <w:szCs w:val="21"/>
              </w:rPr>
              <w:t>-12.12%</w:t>
            </w:r>
          </w:p>
        </w:tc>
        <w:tc>
          <w:tcPr>
            <w:tcW w:w="1291" w:type="dxa"/>
            <w:vAlign w:val="center"/>
          </w:tcPr>
          <w:p w:rsidR="00272C2D" w:rsidRDefault="000F2FA8">
            <w:pPr>
              <w:jc w:val="right"/>
            </w:pPr>
            <w:r>
              <w:rPr>
                <w:rFonts w:eastAsiaTheme="minorEastAsia"/>
                <w:color w:val="000000" w:themeColor="text1"/>
                <w:szCs w:val="21"/>
              </w:rPr>
              <w:t>0.51%</w:t>
            </w:r>
          </w:p>
        </w:tc>
      </w:tr>
      <w:tr w:rsidR="00272C2D">
        <w:tc>
          <w:tcPr>
            <w:tcW w:w="1290" w:type="dxa"/>
            <w:vAlign w:val="center"/>
          </w:tcPr>
          <w:p w:rsidR="00272C2D" w:rsidRDefault="000F2FA8">
            <w:pPr>
              <w:jc w:val="left"/>
            </w:pPr>
            <w:r>
              <w:rPr>
                <w:rFonts w:eastAsiaTheme="minorEastAsia"/>
                <w:color w:val="000000" w:themeColor="text1"/>
                <w:szCs w:val="21"/>
              </w:rPr>
              <w:t>过去三年</w:t>
            </w:r>
          </w:p>
        </w:tc>
        <w:tc>
          <w:tcPr>
            <w:tcW w:w="1291" w:type="dxa"/>
            <w:vAlign w:val="center"/>
          </w:tcPr>
          <w:p w:rsidR="00272C2D" w:rsidRDefault="000F2FA8">
            <w:pPr>
              <w:jc w:val="right"/>
            </w:pPr>
            <w:r>
              <w:rPr>
                <w:rFonts w:eastAsiaTheme="minorEastAsia"/>
                <w:color w:val="000000" w:themeColor="text1"/>
                <w:szCs w:val="21"/>
              </w:rPr>
              <w:t>-23.28%</w:t>
            </w:r>
          </w:p>
        </w:tc>
        <w:tc>
          <w:tcPr>
            <w:tcW w:w="1291" w:type="dxa"/>
            <w:vAlign w:val="center"/>
          </w:tcPr>
          <w:p w:rsidR="00272C2D" w:rsidRDefault="000F2FA8">
            <w:pPr>
              <w:jc w:val="right"/>
            </w:pPr>
            <w:r>
              <w:rPr>
                <w:rFonts w:eastAsiaTheme="minorEastAsia"/>
                <w:color w:val="000000" w:themeColor="text1"/>
                <w:szCs w:val="21"/>
              </w:rPr>
              <w:t>1.16%</w:t>
            </w:r>
          </w:p>
        </w:tc>
        <w:tc>
          <w:tcPr>
            <w:tcW w:w="1291" w:type="dxa"/>
            <w:vAlign w:val="center"/>
          </w:tcPr>
          <w:p w:rsidR="00272C2D" w:rsidRDefault="000F2FA8">
            <w:pPr>
              <w:jc w:val="right"/>
            </w:pPr>
            <w:r>
              <w:rPr>
                <w:rFonts w:eastAsiaTheme="minorEastAsia"/>
                <w:color w:val="000000" w:themeColor="text1"/>
                <w:szCs w:val="21"/>
              </w:rPr>
              <w:t>-17.74%</w:t>
            </w:r>
          </w:p>
        </w:tc>
        <w:tc>
          <w:tcPr>
            <w:tcW w:w="1291" w:type="dxa"/>
            <w:vAlign w:val="center"/>
          </w:tcPr>
          <w:p w:rsidR="00272C2D" w:rsidRDefault="000F2FA8">
            <w:pPr>
              <w:jc w:val="right"/>
            </w:pPr>
            <w:r>
              <w:rPr>
                <w:rFonts w:eastAsiaTheme="minorEastAsia"/>
                <w:color w:val="000000" w:themeColor="text1"/>
                <w:szCs w:val="21"/>
              </w:rPr>
              <w:t>0.62%</w:t>
            </w:r>
          </w:p>
        </w:tc>
        <w:tc>
          <w:tcPr>
            <w:tcW w:w="1291" w:type="dxa"/>
            <w:vAlign w:val="center"/>
          </w:tcPr>
          <w:p w:rsidR="00272C2D" w:rsidRDefault="000F2FA8">
            <w:pPr>
              <w:jc w:val="right"/>
            </w:pPr>
            <w:r>
              <w:rPr>
                <w:rFonts w:eastAsiaTheme="minorEastAsia"/>
                <w:color w:val="000000" w:themeColor="text1"/>
                <w:szCs w:val="21"/>
              </w:rPr>
              <w:t>-5.54%</w:t>
            </w:r>
          </w:p>
        </w:tc>
        <w:tc>
          <w:tcPr>
            <w:tcW w:w="1291" w:type="dxa"/>
            <w:vAlign w:val="center"/>
          </w:tcPr>
          <w:p w:rsidR="00272C2D" w:rsidRDefault="000F2FA8">
            <w:pPr>
              <w:jc w:val="right"/>
            </w:pPr>
            <w:r>
              <w:rPr>
                <w:rFonts w:eastAsiaTheme="minorEastAsia"/>
                <w:color w:val="000000" w:themeColor="text1"/>
                <w:szCs w:val="21"/>
              </w:rPr>
              <w:t>0.54%</w:t>
            </w:r>
          </w:p>
        </w:tc>
      </w:tr>
      <w:tr w:rsidR="00272C2D">
        <w:tc>
          <w:tcPr>
            <w:tcW w:w="1290" w:type="dxa"/>
            <w:vAlign w:val="center"/>
          </w:tcPr>
          <w:p w:rsidR="00272C2D" w:rsidRDefault="000F2FA8">
            <w:pPr>
              <w:jc w:val="left"/>
            </w:pPr>
            <w:r>
              <w:rPr>
                <w:rFonts w:eastAsiaTheme="minorEastAsia"/>
                <w:color w:val="000000" w:themeColor="text1"/>
                <w:szCs w:val="21"/>
              </w:rPr>
              <w:t>过去五年</w:t>
            </w:r>
          </w:p>
        </w:tc>
        <w:tc>
          <w:tcPr>
            <w:tcW w:w="1291" w:type="dxa"/>
            <w:vAlign w:val="center"/>
          </w:tcPr>
          <w:p w:rsidR="00272C2D" w:rsidRDefault="000F2FA8">
            <w:pPr>
              <w:jc w:val="right"/>
            </w:pPr>
            <w:r>
              <w:rPr>
                <w:rFonts w:eastAsiaTheme="minorEastAsia"/>
                <w:color w:val="000000" w:themeColor="text1"/>
                <w:szCs w:val="21"/>
              </w:rPr>
              <w:t>15.53%</w:t>
            </w:r>
          </w:p>
        </w:tc>
        <w:tc>
          <w:tcPr>
            <w:tcW w:w="1291" w:type="dxa"/>
            <w:vAlign w:val="center"/>
          </w:tcPr>
          <w:p w:rsidR="00272C2D" w:rsidRDefault="000F2FA8">
            <w:pPr>
              <w:jc w:val="right"/>
            </w:pPr>
            <w:r>
              <w:rPr>
                <w:rFonts w:eastAsiaTheme="minorEastAsia"/>
                <w:color w:val="000000" w:themeColor="text1"/>
                <w:szCs w:val="21"/>
              </w:rPr>
              <w:t>1.17%</w:t>
            </w:r>
          </w:p>
        </w:tc>
        <w:tc>
          <w:tcPr>
            <w:tcW w:w="1291" w:type="dxa"/>
            <w:vAlign w:val="center"/>
          </w:tcPr>
          <w:p w:rsidR="00272C2D" w:rsidRDefault="000F2FA8">
            <w:pPr>
              <w:jc w:val="right"/>
            </w:pPr>
            <w:r>
              <w:rPr>
                <w:rFonts w:eastAsiaTheme="minorEastAsia"/>
                <w:color w:val="000000" w:themeColor="text1"/>
                <w:szCs w:val="21"/>
              </w:rPr>
              <w:t>-2.54%</w:t>
            </w:r>
          </w:p>
        </w:tc>
        <w:tc>
          <w:tcPr>
            <w:tcW w:w="1291" w:type="dxa"/>
            <w:vAlign w:val="center"/>
          </w:tcPr>
          <w:p w:rsidR="00272C2D" w:rsidRDefault="000F2FA8">
            <w:pPr>
              <w:jc w:val="right"/>
            </w:pPr>
            <w:r>
              <w:rPr>
                <w:rFonts w:eastAsiaTheme="minorEastAsia"/>
                <w:color w:val="000000" w:themeColor="text1"/>
                <w:szCs w:val="21"/>
              </w:rPr>
              <w:t>0.68%</w:t>
            </w:r>
          </w:p>
        </w:tc>
        <w:tc>
          <w:tcPr>
            <w:tcW w:w="1291" w:type="dxa"/>
            <w:vAlign w:val="center"/>
          </w:tcPr>
          <w:p w:rsidR="00272C2D" w:rsidRDefault="000F2FA8">
            <w:pPr>
              <w:jc w:val="right"/>
            </w:pPr>
            <w:r>
              <w:rPr>
                <w:rFonts w:eastAsiaTheme="minorEastAsia"/>
                <w:color w:val="000000" w:themeColor="text1"/>
                <w:szCs w:val="21"/>
              </w:rPr>
              <w:t>18.07%</w:t>
            </w:r>
          </w:p>
        </w:tc>
        <w:tc>
          <w:tcPr>
            <w:tcW w:w="1291" w:type="dxa"/>
            <w:vAlign w:val="center"/>
          </w:tcPr>
          <w:p w:rsidR="00272C2D" w:rsidRDefault="000F2FA8">
            <w:pPr>
              <w:jc w:val="right"/>
            </w:pPr>
            <w:r>
              <w:rPr>
                <w:rFonts w:eastAsiaTheme="minorEastAsia"/>
                <w:color w:val="000000" w:themeColor="text1"/>
                <w:szCs w:val="21"/>
              </w:rPr>
              <w:t>0.49%</w:t>
            </w:r>
          </w:p>
        </w:tc>
      </w:tr>
      <w:tr w:rsidR="00272C2D">
        <w:tc>
          <w:tcPr>
            <w:tcW w:w="1290" w:type="dxa"/>
            <w:vAlign w:val="center"/>
          </w:tcPr>
          <w:p w:rsidR="00272C2D" w:rsidRDefault="000F2FA8">
            <w:pPr>
              <w:jc w:val="left"/>
            </w:pPr>
            <w:r>
              <w:rPr>
                <w:rFonts w:eastAsiaTheme="minorEastAsia"/>
                <w:color w:val="000000" w:themeColor="text1"/>
                <w:szCs w:val="21"/>
              </w:rPr>
              <w:t>自基金合同生效起至今</w:t>
            </w:r>
          </w:p>
        </w:tc>
        <w:tc>
          <w:tcPr>
            <w:tcW w:w="1291" w:type="dxa"/>
            <w:vAlign w:val="center"/>
          </w:tcPr>
          <w:p w:rsidR="00272C2D" w:rsidRDefault="000F2FA8">
            <w:pPr>
              <w:jc w:val="right"/>
            </w:pPr>
            <w:r>
              <w:rPr>
                <w:rFonts w:eastAsiaTheme="minorEastAsia"/>
                <w:color w:val="000000" w:themeColor="text1"/>
                <w:szCs w:val="21"/>
              </w:rPr>
              <w:t>-15.20%</w:t>
            </w:r>
          </w:p>
        </w:tc>
        <w:tc>
          <w:tcPr>
            <w:tcW w:w="1291" w:type="dxa"/>
            <w:vAlign w:val="center"/>
          </w:tcPr>
          <w:p w:rsidR="00272C2D" w:rsidRDefault="000F2FA8">
            <w:pPr>
              <w:jc w:val="right"/>
            </w:pPr>
            <w:r>
              <w:rPr>
                <w:rFonts w:eastAsiaTheme="minorEastAsia"/>
                <w:color w:val="000000" w:themeColor="text1"/>
                <w:szCs w:val="21"/>
              </w:rPr>
              <w:t>1.35%</w:t>
            </w:r>
          </w:p>
        </w:tc>
        <w:tc>
          <w:tcPr>
            <w:tcW w:w="1291" w:type="dxa"/>
            <w:vAlign w:val="center"/>
          </w:tcPr>
          <w:p w:rsidR="00272C2D" w:rsidRDefault="000F2FA8">
            <w:pPr>
              <w:jc w:val="right"/>
            </w:pPr>
            <w:r>
              <w:rPr>
                <w:rFonts w:eastAsiaTheme="minorEastAsia"/>
                <w:color w:val="000000" w:themeColor="text1"/>
                <w:szCs w:val="21"/>
              </w:rPr>
              <w:t>-14.52%</w:t>
            </w:r>
          </w:p>
        </w:tc>
        <w:tc>
          <w:tcPr>
            <w:tcW w:w="1291" w:type="dxa"/>
            <w:vAlign w:val="center"/>
          </w:tcPr>
          <w:p w:rsidR="00272C2D" w:rsidRDefault="000F2FA8">
            <w:pPr>
              <w:jc w:val="right"/>
            </w:pPr>
            <w:r>
              <w:rPr>
                <w:rFonts w:eastAsiaTheme="minorEastAsia"/>
                <w:color w:val="000000" w:themeColor="text1"/>
                <w:szCs w:val="21"/>
              </w:rPr>
              <w:t>0.80%</w:t>
            </w:r>
          </w:p>
        </w:tc>
        <w:tc>
          <w:tcPr>
            <w:tcW w:w="1291" w:type="dxa"/>
            <w:vAlign w:val="center"/>
          </w:tcPr>
          <w:p w:rsidR="00272C2D" w:rsidRDefault="000F2FA8">
            <w:pPr>
              <w:jc w:val="right"/>
            </w:pPr>
            <w:r>
              <w:rPr>
                <w:rFonts w:eastAsiaTheme="minorEastAsia"/>
                <w:color w:val="000000" w:themeColor="text1"/>
                <w:szCs w:val="21"/>
              </w:rPr>
              <w:t>-0.68%</w:t>
            </w:r>
          </w:p>
        </w:tc>
        <w:tc>
          <w:tcPr>
            <w:tcW w:w="1291" w:type="dxa"/>
            <w:vAlign w:val="center"/>
          </w:tcPr>
          <w:p w:rsidR="00272C2D" w:rsidRDefault="000F2FA8">
            <w:pPr>
              <w:jc w:val="right"/>
            </w:pPr>
            <w:r>
              <w:rPr>
                <w:rFonts w:eastAsiaTheme="minorEastAsia"/>
                <w:color w:val="000000" w:themeColor="text1"/>
                <w:szCs w:val="21"/>
              </w:rPr>
              <w:t>0.55%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摩根动态多因子混合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72C2D">
        <w:tc>
          <w:tcPr>
            <w:tcW w:w="1290" w:type="dxa"/>
            <w:vAlign w:val="center"/>
          </w:tcPr>
          <w:p w:rsidR="00272C2D" w:rsidRDefault="000F2FA8">
            <w:pPr>
              <w:jc w:val="left"/>
            </w:pPr>
            <w:r>
              <w:rPr>
                <w:rFonts w:eastAsiaTheme="minorEastAsia"/>
                <w:color w:val="000000" w:themeColor="text1"/>
                <w:szCs w:val="21"/>
              </w:rPr>
              <w:t>过去三个月</w:t>
            </w:r>
          </w:p>
        </w:tc>
        <w:tc>
          <w:tcPr>
            <w:tcW w:w="1291" w:type="dxa"/>
            <w:vAlign w:val="center"/>
          </w:tcPr>
          <w:p w:rsidR="00272C2D" w:rsidRDefault="000F2FA8">
            <w:pPr>
              <w:jc w:val="right"/>
            </w:pPr>
            <w:r>
              <w:rPr>
                <w:rFonts w:eastAsiaTheme="minorEastAsia"/>
                <w:color w:val="000000" w:themeColor="text1"/>
                <w:szCs w:val="21"/>
              </w:rPr>
              <w:t>-3.86%</w:t>
            </w:r>
          </w:p>
        </w:tc>
        <w:tc>
          <w:tcPr>
            <w:tcW w:w="1291" w:type="dxa"/>
            <w:vAlign w:val="center"/>
          </w:tcPr>
          <w:p w:rsidR="00272C2D" w:rsidRDefault="000F2FA8">
            <w:pPr>
              <w:jc w:val="right"/>
            </w:pPr>
            <w:r>
              <w:rPr>
                <w:rFonts w:eastAsiaTheme="minorEastAsia"/>
                <w:color w:val="000000" w:themeColor="text1"/>
                <w:szCs w:val="21"/>
              </w:rPr>
              <w:t>1.07%</w:t>
            </w:r>
          </w:p>
        </w:tc>
        <w:tc>
          <w:tcPr>
            <w:tcW w:w="1291" w:type="dxa"/>
            <w:vAlign w:val="center"/>
          </w:tcPr>
          <w:p w:rsidR="00272C2D" w:rsidRDefault="000F2FA8">
            <w:pPr>
              <w:jc w:val="right"/>
            </w:pPr>
            <w:r>
              <w:rPr>
                <w:rFonts w:eastAsiaTheme="minorEastAsia"/>
                <w:color w:val="000000" w:themeColor="text1"/>
                <w:szCs w:val="21"/>
              </w:rPr>
              <w:t>-0.89%</w:t>
            </w:r>
          </w:p>
        </w:tc>
        <w:tc>
          <w:tcPr>
            <w:tcW w:w="1291" w:type="dxa"/>
            <w:vAlign w:val="center"/>
          </w:tcPr>
          <w:p w:rsidR="00272C2D" w:rsidRDefault="000F2FA8">
            <w:pPr>
              <w:jc w:val="right"/>
            </w:pPr>
            <w:r>
              <w:rPr>
                <w:rFonts w:eastAsiaTheme="minorEastAsia"/>
                <w:color w:val="000000" w:themeColor="text1"/>
                <w:szCs w:val="21"/>
              </w:rPr>
              <w:t>0.44%</w:t>
            </w:r>
          </w:p>
        </w:tc>
        <w:tc>
          <w:tcPr>
            <w:tcW w:w="1291" w:type="dxa"/>
            <w:vAlign w:val="center"/>
          </w:tcPr>
          <w:p w:rsidR="00272C2D" w:rsidRDefault="000F2FA8">
            <w:pPr>
              <w:jc w:val="right"/>
            </w:pPr>
            <w:r>
              <w:rPr>
                <w:rFonts w:eastAsiaTheme="minorEastAsia"/>
                <w:color w:val="000000" w:themeColor="text1"/>
                <w:szCs w:val="21"/>
              </w:rPr>
              <w:t>-2.97%</w:t>
            </w:r>
          </w:p>
        </w:tc>
        <w:tc>
          <w:tcPr>
            <w:tcW w:w="1291" w:type="dxa"/>
            <w:vAlign w:val="center"/>
          </w:tcPr>
          <w:p w:rsidR="00272C2D" w:rsidRDefault="000F2FA8">
            <w:pPr>
              <w:jc w:val="right"/>
            </w:pPr>
            <w:r>
              <w:rPr>
                <w:rFonts w:eastAsiaTheme="minorEastAsia"/>
                <w:color w:val="000000" w:themeColor="text1"/>
                <w:szCs w:val="21"/>
              </w:rPr>
              <w:t>0.63%</w:t>
            </w:r>
          </w:p>
        </w:tc>
      </w:tr>
      <w:tr w:rsidR="00272C2D">
        <w:tc>
          <w:tcPr>
            <w:tcW w:w="1290" w:type="dxa"/>
            <w:vAlign w:val="center"/>
          </w:tcPr>
          <w:p w:rsidR="00272C2D" w:rsidRDefault="000F2FA8">
            <w:pPr>
              <w:jc w:val="left"/>
            </w:pPr>
            <w:r>
              <w:rPr>
                <w:rFonts w:eastAsiaTheme="minorEastAsia"/>
                <w:color w:val="000000" w:themeColor="text1"/>
                <w:szCs w:val="21"/>
              </w:rPr>
              <w:t>过去六个月</w:t>
            </w:r>
          </w:p>
        </w:tc>
        <w:tc>
          <w:tcPr>
            <w:tcW w:w="1291" w:type="dxa"/>
            <w:vAlign w:val="center"/>
          </w:tcPr>
          <w:p w:rsidR="00272C2D" w:rsidRDefault="000F2FA8">
            <w:pPr>
              <w:jc w:val="right"/>
            </w:pPr>
            <w:r>
              <w:rPr>
                <w:rFonts w:eastAsiaTheme="minorEastAsia"/>
                <w:color w:val="000000" w:themeColor="text1"/>
                <w:szCs w:val="21"/>
              </w:rPr>
              <w:t>-7.63%</w:t>
            </w:r>
          </w:p>
        </w:tc>
        <w:tc>
          <w:tcPr>
            <w:tcW w:w="1291" w:type="dxa"/>
            <w:vAlign w:val="center"/>
          </w:tcPr>
          <w:p w:rsidR="00272C2D" w:rsidRDefault="000F2FA8">
            <w:pPr>
              <w:jc w:val="right"/>
            </w:pPr>
            <w:r>
              <w:rPr>
                <w:rFonts w:eastAsiaTheme="minorEastAsia"/>
                <w:color w:val="000000" w:themeColor="text1"/>
                <w:szCs w:val="21"/>
              </w:rPr>
              <w:t>1.23%</w:t>
            </w:r>
          </w:p>
        </w:tc>
        <w:tc>
          <w:tcPr>
            <w:tcW w:w="1291" w:type="dxa"/>
            <w:vAlign w:val="center"/>
          </w:tcPr>
          <w:p w:rsidR="00272C2D" w:rsidRDefault="000F2FA8">
            <w:pPr>
              <w:jc w:val="right"/>
            </w:pPr>
            <w:r>
              <w:rPr>
                <w:rFonts w:eastAsiaTheme="minorEastAsia"/>
                <w:color w:val="000000" w:themeColor="text1"/>
                <w:szCs w:val="21"/>
              </w:rPr>
              <w:t>1.43%</w:t>
            </w:r>
          </w:p>
        </w:tc>
        <w:tc>
          <w:tcPr>
            <w:tcW w:w="1291" w:type="dxa"/>
            <w:vAlign w:val="center"/>
          </w:tcPr>
          <w:p w:rsidR="00272C2D" w:rsidRDefault="000F2FA8">
            <w:pPr>
              <w:jc w:val="right"/>
            </w:pPr>
            <w:r>
              <w:rPr>
                <w:rFonts w:eastAsiaTheme="minorEastAsia"/>
                <w:color w:val="000000" w:themeColor="text1"/>
                <w:szCs w:val="21"/>
              </w:rPr>
              <w:t>0.53%</w:t>
            </w:r>
          </w:p>
        </w:tc>
        <w:tc>
          <w:tcPr>
            <w:tcW w:w="1291" w:type="dxa"/>
            <w:vAlign w:val="center"/>
          </w:tcPr>
          <w:p w:rsidR="00272C2D" w:rsidRDefault="000F2FA8">
            <w:pPr>
              <w:jc w:val="right"/>
            </w:pPr>
            <w:r>
              <w:rPr>
                <w:rFonts w:eastAsiaTheme="minorEastAsia"/>
                <w:color w:val="000000" w:themeColor="text1"/>
                <w:szCs w:val="21"/>
              </w:rPr>
              <w:t>-9.06%</w:t>
            </w:r>
          </w:p>
        </w:tc>
        <w:tc>
          <w:tcPr>
            <w:tcW w:w="1291" w:type="dxa"/>
            <w:vAlign w:val="center"/>
          </w:tcPr>
          <w:p w:rsidR="00272C2D" w:rsidRDefault="000F2FA8">
            <w:pPr>
              <w:jc w:val="right"/>
            </w:pPr>
            <w:r>
              <w:rPr>
                <w:rFonts w:eastAsiaTheme="minorEastAsia"/>
                <w:color w:val="000000" w:themeColor="text1"/>
                <w:szCs w:val="21"/>
              </w:rPr>
              <w:t>0.70%</w:t>
            </w:r>
          </w:p>
        </w:tc>
      </w:tr>
      <w:tr w:rsidR="00272C2D">
        <w:tc>
          <w:tcPr>
            <w:tcW w:w="1290" w:type="dxa"/>
            <w:vAlign w:val="center"/>
          </w:tcPr>
          <w:p w:rsidR="00272C2D" w:rsidRDefault="000F2FA8">
            <w:pPr>
              <w:jc w:val="left"/>
            </w:pPr>
            <w:r>
              <w:rPr>
                <w:rFonts w:eastAsiaTheme="minorEastAsia"/>
                <w:color w:val="000000" w:themeColor="text1"/>
                <w:szCs w:val="21"/>
              </w:rPr>
              <w:t>过去一年</w:t>
            </w:r>
          </w:p>
        </w:tc>
        <w:tc>
          <w:tcPr>
            <w:tcW w:w="1291" w:type="dxa"/>
            <w:vAlign w:val="center"/>
          </w:tcPr>
          <w:p w:rsidR="00272C2D" w:rsidRDefault="000F2FA8">
            <w:pPr>
              <w:jc w:val="right"/>
            </w:pPr>
            <w:r>
              <w:rPr>
                <w:rFonts w:eastAsiaTheme="minorEastAsia"/>
                <w:color w:val="000000" w:themeColor="text1"/>
                <w:szCs w:val="21"/>
              </w:rPr>
              <w:t>-17.33%</w:t>
            </w:r>
          </w:p>
        </w:tc>
        <w:tc>
          <w:tcPr>
            <w:tcW w:w="1291" w:type="dxa"/>
            <w:vAlign w:val="center"/>
          </w:tcPr>
          <w:p w:rsidR="00272C2D" w:rsidRDefault="000F2FA8">
            <w:pPr>
              <w:jc w:val="right"/>
            </w:pPr>
            <w:r>
              <w:rPr>
                <w:rFonts w:eastAsiaTheme="minorEastAsia"/>
                <w:color w:val="000000" w:themeColor="text1"/>
                <w:szCs w:val="21"/>
              </w:rPr>
              <w:t>1.03%</w:t>
            </w:r>
          </w:p>
        </w:tc>
        <w:tc>
          <w:tcPr>
            <w:tcW w:w="1291" w:type="dxa"/>
            <w:vAlign w:val="center"/>
          </w:tcPr>
          <w:p w:rsidR="00272C2D" w:rsidRDefault="000F2FA8">
            <w:pPr>
              <w:jc w:val="right"/>
            </w:pPr>
            <w:r>
              <w:rPr>
                <w:rFonts w:eastAsiaTheme="minorEastAsia"/>
                <w:color w:val="000000" w:themeColor="text1"/>
                <w:szCs w:val="21"/>
              </w:rPr>
              <w:t>-4.73%</w:t>
            </w:r>
          </w:p>
        </w:tc>
        <w:tc>
          <w:tcPr>
            <w:tcW w:w="1291" w:type="dxa"/>
            <w:vAlign w:val="center"/>
          </w:tcPr>
          <w:p w:rsidR="00272C2D" w:rsidRDefault="000F2FA8">
            <w:pPr>
              <w:jc w:val="right"/>
            </w:pPr>
            <w:r>
              <w:rPr>
                <w:rFonts w:eastAsiaTheme="minorEastAsia"/>
                <w:color w:val="000000" w:themeColor="text1"/>
                <w:szCs w:val="21"/>
              </w:rPr>
              <w:t>0.52%</w:t>
            </w:r>
          </w:p>
        </w:tc>
        <w:tc>
          <w:tcPr>
            <w:tcW w:w="1291" w:type="dxa"/>
            <w:vAlign w:val="center"/>
          </w:tcPr>
          <w:p w:rsidR="00272C2D" w:rsidRDefault="000F2FA8">
            <w:pPr>
              <w:jc w:val="right"/>
            </w:pPr>
            <w:r>
              <w:rPr>
                <w:rFonts w:eastAsiaTheme="minorEastAsia"/>
                <w:color w:val="000000" w:themeColor="text1"/>
                <w:szCs w:val="21"/>
              </w:rPr>
              <w:t>-12.60%</w:t>
            </w:r>
          </w:p>
        </w:tc>
        <w:tc>
          <w:tcPr>
            <w:tcW w:w="1291" w:type="dxa"/>
            <w:vAlign w:val="center"/>
          </w:tcPr>
          <w:p w:rsidR="00272C2D" w:rsidRDefault="000F2FA8">
            <w:pPr>
              <w:jc w:val="right"/>
            </w:pPr>
            <w:r>
              <w:rPr>
                <w:rFonts w:eastAsiaTheme="minorEastAsia"/>
                <w:color w:val="000000" w:themeColor="text1"/>
                <w:szCs w:val="21"/>
              </w:rPr>
              <w:t>0.51%</w:t>
            </w:r>
          </w:p>
        </w:tc>
      </w:tr>
      <w:tr w:rsidR="00272C2D">
        <w:tc>
          <w:tcPr>
            <w:tcW w:w="1290" w:type="dxa"/>
            <w:vAlign w:val="center"/>
          </w:tcPr>
          <w:p w:rsidR="00272C2D" w:rsidRDefault="000F2FA8">
            <w:pPr>
              <w:jc w:val="left"/>
            </w:pPr>
            <w:r>
              <w:rPr>
                <w:rFonts w:eastAsiaTheme="minorEastAsia"/>
                <w:color w:val="000000" w:themeColor="text1"/>
                <w:szCs w:val="21"/>
              </w:rPr>
              <w:t>过去三年</w:t>
            </w:r>
          </w:p>
        </w:tc>
        <w:tc>
          <w:tcPr>
            <w:tcW w:w="1291" w:type="dxa"/>
            <w:vAlign w:val="center"/>
          </w:tcPr>
          <w:p w:rsidR="00272C2D" w:rsidRDefault="000F2FA8">
            <w:pPr>
              <w:jc w:val="right"/>
            </w:pPr>
            <w:r>
              <w:rPr>
                <w:rFonts w:eastAsiaTheme="minorEastAsia"/>
                <w:color w:val="000000" w:themeColor="text1"/>
                <w:szCs w:val="21"/>
              </w:rPr>
              <w:t>-</w:t>
            </w:r>
          </w:p>
        </w:tc>
        <w:tc>
          <w:tcPr>
            <w:tcW w:w="1291" w:type="dxa"/>
            <w:vAlign w:val="center"/>
          </w:tcPr>
          <w:p w:rsidR="00272C2D" w:rsidRDefault="000F2FA8">
            <w:pPr>
              <w:jc w:val="right"/>
            </w:pPr>
            <w:r>
              <w:rPr>
                <w:rFonts w:eastAsiaTheme="minorEastAsia"/>
                <w:color w:val="000000" w:themeColor="text1"/>
                <w:szCs w:val="21"/>
              </w:rPr>
              <w:t>-</w:t>
            </w:r>
          </w:p>
        </w:tc>
        <w:tc>
          <w:tcPr>
            <w:tcW w:w="1291" w:type="dxa"/>
            <w:vAlign w:val="center"/>
          </w:tcPr>
          <w:p w:rsidR="00272C2D" w:rsidRDefault="000F2FA8">
            <w:pPr>
              <w:jc w:val="right"/>
            </w:pPr>
            <w:r>
              <w:rPr>
                <w:rFonts w:eastAsiaTheme="minorEastAsia"/>
                <w:color w:val="000000" w:themeColor="text1"/>
                <w:szCs w:val="21"/>
              </w:rPr>
              <w:t>-</w:t>
            </w:r>
          </w:p>
        </w:tc>
        <w:tc>
          <w:tcPr>
            <w:tcW w:w="1291" w:type="dxa"/>
            <w:vAlign w:val="center"/>
          </w:tcPr>
          <w:p w:rsidR="00272C2D" w:rsidRDefault="000F2FA8">
            <w:pPr>
              <w:jc w:val="right"/>
            </w:pPr>
            <w:r>
              <w:rPr>
                <w:rFonts w:eastAsiaTheme="minorEastAsia"/>
                <w:color w:val="000000" w:themeColor="text1"/>
                <w:szCs w:val="21"/>
              </w:rPr>
              <w:t>-</w:t>
            </w:r>
          </w:p>
        </w:tc>
        <w:tc>
          <w:tcPr>
            <w:tcW w:w="1291" w:type="dxa"/>
            <w:vAlign w:val="center"/>
          </w:tcPr>
          <w:p w:rsidR="00272C2D" w:rsidRDefault="000F2FA8">
            <w:pPr>
              <w:jc w:val="right"/>
            </w:pPr>
            <w:r>
              <w:rPr>
                <w:rFonts w:eastAsiaTheme="minorEastAsia"/>
                <w:color w:val="000000" w:themeColor="text1"/>
                <w:szCs w:val="21"/>
              </w:rPr>
              <w:t>-</w:t>
            </w:r>
          </w:p>
        </w:tc>
        <w:tc>
          <w:tcPr>
            <w:tcW w:w="1291" w:type="dxa"/>
            <w:vAlign w:val="center"/>
          </w:tcPr>
          <w:p w:rsidR="00272C2D" w:rsidRDefault="000F2FA8">
            <w:pPr>
              <w:jc w:val="right"/>
            </w:pPr>
            <w:r>
              <w:rPr>
                <w:rFonts w:eastAsiaTheme="minorEastAsia"/>
                <w:color w:val="000000" w:themeColor="text1"/>
                <w:szCs w:val="21"/>
              </w:rPr>
              <w:t>-</w:t>
            </w:r>
          </w:p>
        </w:tc>
      </w:tr>
      <w:tr w:rsidR="00272C2D">
        <w:tc>
          <w:tcPr>
            <w:tcW w:w="1290" w:type="dxa"/>
            <w:vAlign w:val="center"/>
          </w:tcPr>
          <w:p w:rsidR="00272C2D" w:rsidRDefault="000F2FA8">
            <w:pPr>
              <w:jc w:val="left"/>
            </w:pPr>
            <w:r>
              <w:rPr>
                <w:rFonts w:eastAsiaTheme="minorEastAsia"/>
                <w:color w:val="000000" w:themeColor="text1"/>
                <w:szCs w:val="21"/>
              </w:rPr>
              <w:t>过去五年</w:t>
            </w:r>
          </w:p>
        </w:tc>
        <w:tc>
          <w:tcPr>
            <w:tcW w:w="1291" w:type="dxa"/>
            <w:vAlign w:val="center"/>
          </w:tcPr>
          <w:p w:rsidR="00272C2D" w:rsidRDefault="000F2FA8">
            <w:pPr>
              <w:jc w:val="right"/>
            </w:pPr>
            <w:r>
              <w:rPr>
                <w:rFonts w:eastAsiaTheme="minorEastAsia"/>
                <w:color w:val="000000" w:themeColor="text1"/>
                <w:szCs w:val="21"/>
              </w:rPr>
              <w:t>-</w:t>
            </w:r>
          </w:p>
        </w:tc>
        <w:tc>
          <w:tcPr>
            <w:tcW w:w="1291" w:type="dxa"/>
            <w:vAlign w:val="center"/>
          </w:tcPr>
          <w:p w:rsidR="00272C2D" w:rsidRDefault="000F2FA8">
            <w:pPr>
              <w:jc w:val="right"/>
            </w:pPr>
            <w:r>
              <w:rPr>
                <w:rFonts w:eastAsiaTheme="minorEastAsia"/>
                <w:color w:val="000000" w:themeColor="text1"/>
                <w:szCs w:val="21"/>
              </w:rPr>
              <w:t>-</w:t>
            </w:r>
          </w:p>
        </w:tc>
        <w:tc>
          <w:tcPr>
            <w:tcW w:w="1291" w:type="dxa"/>
            <w:vAlign w:val="center"/>
          </w:tcPr>
          <w:p w:rsidR="00272C2D" w:rsidRDefault="000F2FA8">
            <w:pPr>
              <w:jc w:val="right"/>
            </w:pPr>
            <w:r>
              <w:rPr>
                <w:rFonts w:eastAsiaTheme="minorEastAsia"/>
                <w:color w:val="000000" w:themeColor="text1"/>
                <w:szCs w:val="21"/>
              </w:rPr>
              <w:t>-</w:t>
            </w:r>
          </w:p>
        </w:tc>
        <w:tc>
          <w:tcPr>
            <w:tcW w:w="1291" w:type="dxa"/>
            <w:vAlign w:val="center"/>
          </w:tcPr>
          <w:p w:rsidR="00272C2D" w:rsidRDefault="000F2FA8">
            <w:pPr>
              <w:jc w:val="right"/>
            </w:pPr>
            <w:r>
              <w:rPr>
                <w:rFonts w:eastAsiaTheme="minorEastAsia"/>
                <w:color w:val="000000" w:themeColor="text1"/>
                <w:szCs w:val="21"/>
              </w:rPr>
              <w:t>-</w:t>
            </w:r>
          </w:p>
        </w:tc>
        <w:tc>
          <w:tcPr>
            <w:tcW w:w="1291" w:type="dxa"/>
            <w:vAlign w:val="center"/>
          </w:tcPr>
          <w:p w:rsidR="00272C2D" w:rsidRDefault="000F2FA8">
            <w:pPr>
              <w:jc w:val="right"/>
            </w:pPr>
            <w:r>
              <w:rPr>
                <w:rFonts w:eastAsiaTheme="minorEastAsia"/>
                <w:color w:val="000000" w:themeColor="text1"/>
                <w:szCs w:val="21"/>
              </w:rPr>
              <w:t>-</w:t>
            </w:r>
          </w:p>
        </w:tc>
        <w:tc>
          <w:tcPr>
            <w:tcW w:w="1291" w:type="dxa"/>
            <w:vAlign w:val="center"/>
          </w:tcPr>
          <w:p w:rsidR="00272C2D" w:rsidRDefault="000F2FA8">
            <w:pPr>
              <w:jc w:val="right"/>
            </w:pPr>
            <w:r>
              <w:rPr>
                <w:rFonts w:eastAsiaTheme="minorEastAsia"/>
                <w:color w:val="000000" w:themeColor="text1"/>
                <w:szCs w:val="21"/>
              </w:rPr>
              <w:t>-</w:t>
            </w:r>
          </w:p>
        </w:tc>
      </w:tr>
      <w:tr w:rsidR="00272C2D">
        <w:tc>
          <w:tcPr>
            <w:tcW w:w="1290" w:type="dxa"/>
            <w:vAlign w:val="center"/>
          </w:tcPr>
          <w:p w:rsidR="00272C2D" w:rsidRDefault="000F2FA8">
            <w:pPr>
              <w:jc w:val="left"/>
            </w:pPr>
            <w:r>
              <w:rPr>
                <w:rFonts w:eastAsiaTheme="minorEastAsia"/>
                <w:color w:val="000000" w:themeColor="text1"/>
                <w:szCs w:val="21"/>
              </w:rPr>
              <w:t>自基金合同生效起至今</w:t>
            </w:r>
          </w:p>
        </w:tc>
        <w:tc>
          <w:tcPr>
            <w:tcW w:w="1291" w:type="dxa"/>
            <w:vAlign w:val="center"/>
          </w:tcPr>
          <w:p w:rsidR="00272C2D" w:rsidRDefault="000F2FA8">
            <w:pPr>
              <w:jc w:val="right"/>
            </w:pPr>
            <w:r>
              <w:rPr>
                <w:rFonts w:eastAsiaTheme="minorEastAsia"/>
                <w:color w:val="000000" w:themeColor="text1"/>
                <w:szCs w:val="21"/>
              </w:rPr>
              <w:t>-10.20%</w:t>
            </w:r>
          </w:p>
        </w:tc>
        <w:tc>
          <w:tcPr>
            <w:tcW w:w="1291" w:type="dxa"/>
            <w:vAlign w:val="center"/>
          </w:tcPr>
          <w:p w:rsidR="00272C2D" w:rsidRDefault="000F2FA8">
            <w:pPr>
              <w:jc w:val="right"/>
            </w:pPr>
            <w:r>
              <w:rPr>
                <w:rFonts w:eastAsiaTheme="minorEastAsia"/>
                <w:color w:val="000000" w:themeColor="text1"/>
                <w:szCs w:val="21"/>
              </w:rPr>
              <w:t>1.00%</w:t>
            </w:r>
          </w:p>
        </w:tc>
        <w:tc>
          <w:tcPr>
            <w:tcW w:w="1291" w:type="dxa"/>
            <w:vAlign w:val="center"/>
          </w:tcPr>
          <w:p w:rsidR="00272C2D" w:rsidRDefault="000F2FA8">
            <w:pPr>
              <w:jc w:val="right"/>
            </w:pPr>
            <w:r>
              <w:rPr>
                <w:rFonts w:eastAsiaTheme="minorEastAsia"/>
                <w:color w:val="000000" w:themeColor="text1"/>
                <w:szCs w:val="21"/>
              </w:rPr>
              <w:t>-3.41%</w:t>
            </w:r>
          </w:p>
        </w:tc>
        <w:tc>
          <w:tcPr>
            <w:tcW w:w="1291" w:type="dxa"/>
            <w:vAlign w:val="center"/>
          </w:tcPr>
          <w:p w:rsidR="00272C2D" w:rsidRDefault="000F2FA8">
            <w:pPr>
              <w:jc w:val="right"/>
            </w:pPr>
            <w:r>
              <w:rPr>
                <w:rFonts w:eastAsiaTheme="minorEastAsia"/>
                <w:color w:val="000000" w:themeColor="text1"/>
                <w:szCs w:val="21"/>
              </w:rPr>
              <w:t>0.52%</w:t>
            </w:r>
          </w:p>
        </w:tc>
        <w:tc>
          <w:tcPr>
            <w:tcW w:w="1291" w:type="dxa"/>
            <w:vAlign w:val="center"/>
          </w:tcPr>
          <w:p w:rsidR="00272C2D" w:rsidRDefault="000F2FA8">
            <w:pPr>
              <w:jc w:val="right"/>
            </w:pPr>
            <w:r>
              <w:rPr>
                <w:rFonts w:eastAsiaTheme="minorEastAsia"/>
                <w:color w:val="000000" w:themeColor="text1"/>
                <w:szCs w:val="21"/>
              </w:rPr>
              <w:t>-6.79%</w:t>
            </w:r>
          </w:p>
        </w:tc>
        <w:tc>
          <w:tcPr>
            <w:tcW w:w="1291" w:type="dxa"/>
            <w:vAlign w:val="center"/>
          </w:tcPr>
          <w:p w:rsidR="00272C2D" w:rsidRDefault="000F2FA8">
            <w:pPr>
              <w:jc w:val="right"/>
            </w:pPr>
            <w:r>
              <w:rPr>
                <w:rFonts w:eastAsiaTheme="minorEastAsia"/>
                <w:color w:val="000000" w:themeColor="text1"/>
                <w:szCs w:val="21"/>
              </w:rPr>
              <w:t>0.48%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lastRenderedPageBreak/>
        <w:t>摩根动态多因子策略灵活配置混合型证券投资基金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．摩根动态多因子混合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72C2D" w:rsidRDefault="000F2FA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．摩根动态多因子混合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72C2D" w:rsidRDefault="000F2FA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72C2D">
        <w:tc>
          <w:tcPr>
            <w:tcW w:w="952" w:type="dxa"/>
            <w:vAlign w:val="center"/>
          </w:tcPr>
          <w:p w:rsidR="00272C2D" w:rsidRDefault="000F2FA8">
            <w:pPr>
              <w:jc w:val="center"/>
            </w:pPr>
            <w:r>
              <w:rPr>
                <w:rFonts w:eastAsiaTheme="minorEastAsia"/>
                <w:color w:val="000000" w:themeColor="text1"/>
                <w:szCs w:val="21"/>
              </w:rPr>
              <w:t>胡迪</w:t>
            </w:r>
          </w:p>
        </w:tc>
        <w:tc>
          <w:tcPr>
            <w:tcW w:w="930" w:type="dxa"/>
            <w:vAlign w:val="center"/>
          </w:tcPr>
          <w:p w:rsidR="00272C2D" w:rsidRDefault="000F2FA8">
            <w:pPr>
              <w:jc w:val="center"/>
            </w:pPr>
            <w:r>
              <w:rPr>
                <w:rFonts w:eastAsiaTheme="minorEastAsia"/>
                <w:color w:val="000000" w:themeColor="text1"/>
                <w:szCs w:val="21"/>
              </w:rPr>
              <w:t>本基金基金经理、指数及量化投资部总监</w:t>
            </w:r>
          </w:p>
        </w:tc>
        <w:tc>
          <w:tcPr>
            <w:tcW w:w="1210" w:type="dxa"/>
            <w:vAlign w:val="center"/>
          </w:tcPr>
          <w:p w:rsidR="00272C2D" w:rsidRDefault="000F2FA8">
            <w:pPr>
              <w:jc w:val="center"/>
            </w:pPr>
            <w:r>
              <w:rPr>
                <w:rFonts w:eastAsiaTheme="minorEastAsia"/>
                <w:color w:val="000000" w:themeColor="text1"/>
                <w:szCs w:val="21"/>
              </w:rPr>
              <w:t>2021-01-07</w:t>
            </w:r>
          </w:p>
        </w:tc>
        <w:tc>
          <w:tcPr>
            <w:tcW w:w="1309" w:type="dxa"/>
            <w:vAlign w:val="center"/>
          </w:tcPr>
          <w:p w:rsidR="00272C2D" w:rsidRDefault="000F2FA8">
            <w:pPr>
              <w:jc w:val="center"/>
            </w:pPr>
            <w:r>
              <w:rPr>
                <w:rFonts w:eastAsiaTheme="minorEastAsia"/>
                <w:color w:val="000000" w:themeColor="text1"/>
                <w:szCs w:val="21"/>
              </w:rPr>
              <w:t>-</w:t>
            </w:r>
          </w:p>
        </w:tc>
        <w:tc>
          <w:tcPr>
            <w:tcW w:w="1254" w:type="dxa"/>
            <w:vAlign w:val="center"/>
          </w:tcPr>
          <w:p w:rsidR="00272C2D" w:rsidRDefault="000F2FA8">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272C2D" w:rsidRDefault="000F2FA8">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月加入摩根基金管理（中国）有限公司（原上投摩根基金管理有限公司），现任指数及量化投资部总监兼基金经理。</w:t>
            </w:r>
          </w:p>
        </w:tc>
      </w:tr>
    </w:tbl>
    <w:p w:rsidR="00272C2D" w:rsidRDefault="000F2FA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72C2D" w:rsidRDefault="000F2FA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r>
        <w:rPr>
          <w:rFonts w:eastAsiaTheme="minorEastAsia"/>
          <w:color w:val="000000" w:themeColor="text1"/>
          <w:szCs w:val="21"/>
        </w:rPr>
        <w:t>。</w:t>
      </w:r>
    </w:p>
    <w:p w:rsidR="00272C2D" w:rsidRDefault="000F2FA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72C2D" w:rsidRDefault="000F2FA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72C2D" w:rsidRDefault="000F2FA8">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w:t>
      </w:r>
      <w:r>
        <w:rPr>
          <w:rFonts w:eastAsiaTheme="minorEastAsia"/>
          <w:color w:val="000000" w:themeColor="text1"/>
          <w:szCs w:val="21"/>
        </w:rPr>
        <w:t>A</w:t>
      </w:r>
      <w:r>
        <w:rPr>
          <w:rFonts w:eastAsiaTheme="minorEastAsia"/>
          <w:color w:val="000000" w:themeColor="text1"/>
          <w:szCs w:val="21"/>
        </w:rPr>
        <w:t>股市场保持震荡，</w:t>
      </w:r>
      <w:r>
        <w:rPr>
          <w:rFonts w:eastAsiaTheme="minorEastAsia"/>
          <w:color w:val="000000" w:themeColor="text1"/>
          <w:szCs w:val="21"/>
        </w:rPr>
        <w:t>5</w:t>
      </w:r>
      <w:r>
        <w:rPr>
          <w:rFonts w:eastAsiaTheme="minorEastAsia"/>
          <w:color w:val="000000" w:themeColor="text1"/>
          <w:szCs w:val="21"/>
        </w:rPr>
        <w:t>月起各重要指数回调，交易情绪相对较弱。沪深</w:t>
      </w:r>
      <w:r>
        <w:rPr>
          <w:rFonts w:eastAsiaTheme="minorEastAsia"/>
          <w:color w:val="000000" w:themeColor="text1"/>
          <w:szCs w:val="21"/>
        </w:rPr>
        <w:t>300</w:t>
      </w:r>
      <w:r>
        <w:rPr>
          <w:rFonts w:eastAsiaTheme="minorEastAsia"/>
          <w:color w:val="000000" w:themeColor="text1"/>
          <w:szCs w:val="21"/>
        </w:rPr>
        <w:t>下跌</w:t>
      </w:r>
      <w:r>
        <w:rPr>
          <w:rFonts w:eastAsiaTheme="minorEastAsia"/>
          <w:color w:val="000000" w:themeColor="text1"/>
          <w:szCs w:val="21"/>
        </w:rPr>
        <w:t>3.7%</w:t>
      </w:r>
      <w:r>
        <w:rPr>
          <w:rFonts w:eastAsiaTheme="minorEastAsia"/>
          <w:color w:val="000000" w:themeColor="text1"/>
          <w:szCs w:val="21"/>
        </w:rPr>
        <w:t>，</w:t>
      </w:r>
      <w:r>
        <w:rPr>
          <w:rFonts w:eastAsiaTheme="minorEastAsia"/>
          <w:color w:val="000000" w:themeColor="text1"/>
          <w:szCs w:val="21"/>
        </w:rPr>
        <w:lastRenderedPageBreak/>
        <w:t>中证</w:t>
      </w:r>
      <w:r>
        <w:rPr>
          <w:rFonts w:eastAsiaTheme="minorEastAsia"/>
          <w:color w:val="000000" w:themeColor="text1"/>
          <w:szCs w:val="21"/>
        </w:rPr>
        <w:t>500</w:t>
      </w:r>
      <w:r>
        <w:rPr>
          <w:rFonts w:eastAsiaTheme="minorEastAsia"/>
          <w:color w:val="000000" w:themeColor="text1"/>
          <w:szCs w:val="21"/>
        </w:rPr>
        <w:t>、</w:t>
      </w:r>
      <w:r>
        <w:rPr>
          <w:rFonts w:eastAsiaTheme="minorEastAsia"/>
          <w:color w:val="000000" w:themeColor="text1"/>
          <w:szCs w:val="21"/>
        </w:rPr>
        <w:t>1000</w:t>
      </w:r>
      <w:r>
        <w:rPr>
          <w:rFonts w:eastAsiaTheme="minorEastAsia"/>
          <w:color w:val="000000" w:themeColor="text1"/>
          <w:szCs w:val="21"/>
        </w:rPr>
        <w:t>、</w:t>
      </w:r>
      <w:r>
        <w:rPr>
          <w:rFonts w:eastAsiaTheme="minorEastAsia"/>
          <w:color w:val="000000" w:themeColor="text1"/>
          <w:szCs w:val="21"/>
        </w:rPr>
        <w:t>2000</w:t>
      </w:r>
      <w:r>
        <w:rPr>
          <w:rFonts w:eastAsiaTheme="minorEastAsia"/>
          <w:color w:val="000000" w:themeColor="text1"/>
          <w:szCs w:val="21"/>
        </w:rPr>
        <w:t>各下跌</w:t>
      </w:r>
      <w:r>
        <w:rPr>
          <w:rFonts w:eastAsiaTheme="minorEastAsia"/>
          <w:color w:val="000000" w:themeColor="text1"/>
          <w:szCs w:val="21"/>
        </w:rPr>
        <w:t>7.5%</w:t>
      </w:r>
      <w:r>
        <w:rPr>
          <w:rFonts w:eastAsiaTheme="minorEastAsia"/>
          <w:color w:val="000000" w:themeColor="text1"/>
          <w:szCs w:val="21"/>
        </w:rPr>
        <w:t>，</w:t>
      </w:r>
      <w:r>
        <w:rPr>
          <w:rFonts w:eastAsiaTheme="minorEastAsia"/>
          <w:color w:val="000000" w:themeColor="text1"/>
          <w:szCs w:val="21"/>
        </w:rPr>
        <w:t>12%</w:t>
      </w:r>
      <w:r>
        <w:rPr>
          <w:rFonts w:eastAsiaTheme="minorEastAsia"/>
          <w:color w:val="000000" w:themeColor="text1"/>
          <w:szCs w:val="21"/>
        </w:rPr>
        <w:t>，</w:t>
      </w:r>
      <w:r>
        <w:rPr>
          <w:rFonts w:eastAsiaTheme="minorEastAsia"/>
          <w:color w:val="000000" w:themeColor="text1"/>
          <w:szCs w:val="21"/>
        </w:rPr>
        <w:t>15%</w:t>
      </w:r>
      <w:r>
        <w:rPr>
          <w:rFonts w:eastAsiaTheme="minorEastAsia"/>
          <w:color w:val="000000" w:themeColor="text1"/>
          <w:szCs w:val="21"/>
        </w:rPr>
        <w:t>。</w:t>
      </w:r>
      <w:r>
        <w:rPr>
          <w:rFonts w:eastAsiaTheme="minorEastAsia"/>
          <w:color w:val="000000" w:themeColor="text1"/>
          <w:szCs w:val="21"/>
        </w:rPr>
        <w:t>4</w:t>
      </w:r>
      <w:r>
        <w:rPr>
          <w:rFonts w:eastAsiaTheme="minorEastAsia"/>
          <w:color w:val="000000" w:themeColor="text1"/>
          <w:szCs w:val="21"/>
        </w:rPr>
        <w:t>月下旬中小盘一度强势，</w:t>
      </w:r>
      <w:r>
        <w:rPr>
          <w:rFonts w:eastAsiaTheme="minorEastAsia"/>
          <w:color w:val="000000" w:themeColor="text1"/>
          <w:szCs w:val="21"/>
        </w:rPr>
        <w:t>5</w:t>
      </w:r>
      <w:r>
        <w:rPr>
          <w:rFonts w:eastAsiaTheme="minorEastAsia"/>
          <w:color w:val="000000" w:themeColor="text1"/>
          <w:szCs w:val="21"/>
        </w:rPr>
        <w:t>月中下旬又大幅回落，大盘风格依旧稳健。从行业来看，行业轮动速度小幅回升，银行、公用事业、电子、煤炭和交运涨幅居前，主要下跌的板块为传媒、商贸零售、社会服务和计算机。政策焦点在于</w:t>
      </w:r>
      <w:r>
        <w:rPr>
          <w:rFonts w:eastAsiaTheme="minorEastAsia"/>
          <w:color w:val="000000" w:themeColor="text1"/>
          <w:szCs w:val="21"/>
        </w:rPr>
        <w:t>“</w:t>
      </w:r>
      <w:r>
        <w:rPr>
          <w:rFonts w:eastAsiaTheme="minorEastAsia"/>
          <w:color w:val="000000" w:themeColor="text1"/>
          <w:szCs w:val="21"/>
        </w:rPr>
        <w:t>稳经济，化风险</w:t>
      </w:r>
      <w:r>
        <w:rPr>
          <w:rFonts w:eastAsiaTheme="minorEastAsia"/>
          <w:color w:val="000000" w:themeColor="text1"/>
          <w:szCs w:val="21"/>
        </w:rPr>
        <w:t>”</w:t>
      </w:r>
      <w:r>
        <w:rPr>
          <w:rFonts w:eastAsiaTheme="minorEastAsia"/>
          <w:color w:val="000000" w:themeColor="text1"/>
          <w:szCs w:val="21"/>
        </w:rPr>
        <w:t>，通过设备更新和消费升级政策拉动经济，同时通过财政手段如发行超长期特别国债和房地产金融政策以鼓励房地产市场的稳定发展，保障性住房政策和房贷利率</w:t>
      </w:r>
      <w:r>
        <w:rPr>
          <w:rFonts w:eastAsiaTheme="minorEastAsia"/>
          <w:color w:val="000000" w:themeColor="text1"/>
          <w:szCs w:val="21"/>
        </w:rPr>
        <w:t>调整也有所体现。从</w:t>
      </w:r>
      <w:r>
        <w:rPr>
          <w:rFonts w:eastAsiaTheme="minorEastAsia"/>
          <w:color w:val="000000" w:themeColor="text1"/>
          <w:szCs w:val="21"/>
        </w:rPr>
        <w:t>alpha</w:t>
      </w:r>
      <w:r>
        <w:rPr>
          <w:rFonts w:eastAsiaTheme="minorEastAsia"/>
          <w:color w:val="000000" w:themeColor="text1"/>
          <w:szCs w:val="21"/>
        </w:rPr>
        <w:t>角度看，一季度大幅回撤的机器学习类价量因子在动荡中有所恢复，但较去年波动仍有所放大。基本面</w:t>
      </w:r>
      <w:r>
        <w:rPr>
          <w:rFonts w:eastAsiaTheme="minorEastAsia"/>
          <w:color w:val="000000" w:themeColor="text1"/>
          <w:szCs w:val="21"/>
        </w:rPr>
        <w:t>alpha</w:t>
      </w:r>
      <w:r>
        <w:rPr>
          <w:rFonts w:eastAsiaTheme="minorEastAsia"/>
          <w:color w:val="000000" w:themeColor="text1"/>
          <w:szCs w:val="21"/>
        </w:rPr>
        <w:t>强势复苏，一些质量因子表现突出，和近期基本面复苏的节奏相一致。本基金选股从多因子角度出发，基本面和价量</w:t>
      </w:r>
      <w:r>
        <w:rPr>
          <w:rFonts w:eastAsiaTheme="minorEastAsia"/>
          <w:color w:val="000000" w:themeColor="text1"/>
          <w:szCs w:val="21"/>
        </w:rPr>
        <w:t>Alpha</w:t>
      </w:r>
      <w:r>
        <w:rPr>
          <w:rFonts w:eastAsiaTheme="minorEastAsia"/>
          <w:color w:val="000000" w:themeColor="text1"/>
          <w:szCs w:val="21"/>
        </w:rPr>
        <w:t>配置较为均衡。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往后看，量化选股策略不做择时类的判断，我们仍然保持较高仓位运作。策略方面，在偏高频的价量因子遭遇大幅回撤且波动放大的目前，市场对基本面量化的关注有所提升。传统的基本面因子虽然目前有所回暖，但其波动放大，收益降低的长期趋势不变。对基本面因子的深入研究围绕着局部化、另类数据化、或者与价量相结合，挖掘高维特征的思路进行。与此同时，价量因子的大幅回撤，一方面要求我们尝试通过对收益进行分层预测、改变预测周期、叠加多个预测周期等方式，提高价量因子预测的精度和可解释性，另一方面意味着因子迭代加速，要求我们具备更高效的</w:t>
      </w:r>
      <w:r w:rsidRPr="00B27A29">
        <w:rPr>
          <w:rFonts w:eastAsiaTheme="minorEastAsia"/>
          <w:color w:val="000000" w:themeColor="text1"/>
          <w:szCs w:val="21"/>
        </w:rPr>
        <w:t>alpha</w:t>
      </w:r>
      <w:r w:rsidRPr="00B27A29">
        <w:rPr>
          <w:rFonts w:eastAsiaTheme="minorEastAsia"/>
          <w:color w:val="000000" w:themeColor="text1"/>
          <w:szCs w:val="21"/>
        </w:rPr>
        <w:t>迭代能力。在具体投资策略上，我们在坚持基本面和价量结合的量化多因子选股策略的同时，一方面自上而下由因及果研究主动规律，另一方面自下而上使用机器学习工具由果索因挖掘未知规律，两相结合，构造风险收益特征优于市场基准的投资组合。</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72C2D" w:rsidRDefault="000F2FA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本报告期摩根动态多因子</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:-3.72%</w:t>
      </w:r>
      <w:r>
        <w:rPr>
          <w:rFonts w:eastAsiaTheme="minorEastAsia"/>
          <w:color w:val="000000" w:themeColor="text1"/>
          <w:szCs w:val="21"/>
        </w:rPr>
        <w:t>，同期业绩比较基准收益率为</w:t>
      </w:r>
      <w:r>
        <w:rPr>
          <w:rFonts w:eastAsiaTheme="minorEastAsia"/>
          <w:color w:val="000000" w:themeColor="text1"/>
          <w:szCs w:val="21"/>
        </w:rPr>
        <w:t>:-0.89%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摩根动态多因子</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:-3.86%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:-0.89%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139,552,671.66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89.01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139,552,671.66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89.01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17,132,972.76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97,765.20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156,783,409.62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1,591,987.00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1.02</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112,051,742.24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71.98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1,686,448.00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788,700.00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3,727,467.00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5,452,386.00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1,512,551.30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7,584,502.00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448,919.12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3,990.00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776,160.00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3,137,889.00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789,930.00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139,552,671.66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89.64</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72C2D">
        <w:tc>
          <w:tcPr>
            <w:tcW w:w="817" w:type="dxa"/>
            <w:vAlign w:val="center"/>
          </w:tcPr>
          <w:p w:rsidR="00272C2D" w:rsidRDefault="000F2FA8">
            <w:pPr>
              <w:jc w:val="center"/>
            </w:pPr>
            <w:r>
              <w:rPr>
                <w:rFonts w:eastAsiaTheme="minorEastAsia"/>
                <w:kern w:val="0"/>
                <w:szCs w:val="21"/>
              </w:rPr>
              <w:t>1</w:t>
            </w:r>
          </w:p>
        </w:tc>
        <w:tc>
          <w:tcPr>
            <w:tcW w:w="1276" w:type="dxa"/>
            <w:vAlign w:val="center"/>
          </w:tcPr>
          <w:p w:rsidR="00272C2D" w:rsidRDefault="000F2FA8">
            <w:pPr>
              <w:jc w:val="center"/>
            </w:pPr>
            <w:r>
              <w:rPr>
                <w:rFonts w:eastAsiaTheme="minorEastAsia"/>
                <w:kern w:val="0"/>
                <w:szCs w:val="21"/>
              </w:rPr>
              <w:t>000528</w:t>
            </w:r>
          </w:p>
        </w:tc>
        <w:tc>
          <w:tcPr>
            <w:tcW w:w="1701" w:type="dxa"/>
            <w:vAlign w:val="center"/>
          </w:tcPr>
          <w:p w:rsidR="00272C2D" w:rsidRDefault="000F2FA8">
            <w:pPr>
              <w:jc w:val="center"/>
            </w:pPr>
            <w:r>
              <w:rPr>
                <w:rFonts w:eastAsiaTheme="minorEastAsia"/>
                <w:kern w:val="0"/>
                <w:szCs w:val="21"/>
              </w:rPr>
              <w:t>柳</w:t>
            </w:r>
            <w:r>
              <w:rPr>
                <w:rFonts w:eastAsiaTheme="minorEastAsia"/>
                <w:kern w:val="0"/>
                <w:szCs w:val="21"/>
              </w:rPr>
              <w:t xml:space="preserve">    </w:t>
            </w:r>
            <w:r>
              <w:rPr>
                <w:rFonts w:eastAsiaTheme="minorEastAsia"/>
                <w:kern w:val="0"/>
                <w:szCs w:val="21"/>
              </w:rPr>
              <w:t>工</w:t>
            </w:r>
          </w:p>
        </w:tc>
        <w:tc>
          <w:tcPr>
            <w:tcW w:w="1276" w:type="dxa"/>
            <w:vAlign w:val="center"/>
          </w:tcPr>
          <w:p w:rsidR="00272C2D" w:rsidRDefault="000F2FA8">
            <w:pPr>
              <w:jc w:val="right"/>
            </w:pPr>
            <w:r>
              <w:rPr>
                <w:rFonts w:eastAsiaTheme="minorEastAsia"/>
                <w:kern w:val="0"/>
                <w:szCs w:val="21"/>
              </w:rPr>
              <w:t>176,700.00</w:t>
            </w:r>
          </w:p>
        </w:tc>
        <w:tc>
          <w:tcPr>
            <w:tcW w:w="1842" w:type="dxa"/>
            <w:vAlign w:val="center"/>
          </w:tcPr>
          <w:p w:rsidR="00272C2D" w:rsidRDefault="000F2FA8">
            <w:pPr>
              <w:jc w:val="right"/>
            </w:pPr>
            <w:r>
              <w:rPr>
                <w:rFonts w:eastAsiaTheme="minorEastAsia"/>
                <w:kern w:val="0"/>
                <w:szCs w:val="21"/>
              </w:rPr>
              <w:t>1,977,273.00</w:t>
            </w:r>
          </w:p>
        </w:tc>
        <w:tc>
          <w:tcPr>
            <w:tcW w:w="1616" w:type="dxa"/>
            <w:vAlign w:val="center"/>
          </w:tcPr>
          <w:p w:rsidR="00272C2D" w:rsidRDefault="000F2FA8">
            <w:pPr>
              <w:jc w:val="right"/>
            </w:pPr>
            <w:r>
              <w:rPr>
                <w:rFonts w:eastAsiaTheme="minorEastAsia"/>
                <w:kern w:val="0"/>
                <w:szCs w:val="21"/>
              </w:rPr>
              <w:t>1.27</w:t>
            </w:r>
          </w:p>
        </w:tc>
      </w:tr>
      <w:tr w:rsidR="00272C2D">
        <w:tc>
          <w:tcPr>
            <w:tcW w:w="817" w:type="dxa"/>
            <w:vAlign w:val="center"/>
          </w:tcPr>
          <w:p w:rsidR="00272C2D" w:rsidRDefault="000F2FA8">
            <w:pPr>
              <w:jc w:val="center"/>
            </w:pPr>
            <w:r>
              <w:rPr>
                <w:rFonts w:eastAsiaTheme="minorEastAsia"/>
                <w:kern w:val="0"/>
                <w:szCs w:val="21"/>
              </w:rPr>
              <w:t>2</w:t>
            </w:r>
          </w:p>
        </w:tc>
        <w:tc>
          <w:tcPr>
            <w:tcW w:w="1276" w:type="dxa"/>
            <w:vAlign w:val="center"/>
          </w:tcPr>
          <w:p w:rsidR="00272C2D" w:rsidRDefault="000F2FA8">
            <w:pPr>
              <w:jc w:val="center"/>
            </w:pPr>
            <w:r>
              <w:rPr>
                <w:rFonts w:eastAsiaTheme="minorEastAsia"/>
                <w:kern w:val="0"/>
                <w:szCs w:val="21"/>
              </w:rPr>
              <w:t>601233</w:t>
            </w:r>
          </w:p>
        </w:tc>
        <w:tc>
          <w:tcPr>
            <w:tcW w:w="1701" w:type="dxa"/>
            <w:vAlign w:val="center"/>
          </w:tcPr>
          <w:p w:rsidR="00272C2D" w:rsidRDefault="000F2FA8">
            <w:pPr>
              <w:jc w:val="center"/>
            </w:pPr>
            <w:r>
              <w:rPr>
                <w:rFonts w:eastAsiaTheme="minorEastAsia"/>
                <w:kern w:val="0"/>
                <w:szCs w:val="21"/>
              </w:rPr>
              <w:t>桐昆股份</w:t>
            </w:r>
          </w:p>
        </w:tc>
        <w:tc>
          <w:tcPr>
            <w:tcW w:w="1276" w:type="dxa"/>
            <w:vAlign w:val="center"/>
          </w:tcPr>
          <w:p w:rsidR="00272C2D" w:rsidRDefault="000F2FA8">
            <w:pPr>
              <w:jc w:val="right"/>
            </w:pPr>
            <w:r>
              <w:rPr>
                <w:rFonts w:eastAsiaTheme="minorEastAsia"/>
                <w:kern w:val="0"/>
                <w:szCs w:val="21"/>
              </w:rPr>
              <w:t>123,200.00</w:t>
            </w:r>
          </w:p>
        </w:tc>
        <w:tc>
          <w:tcPr>
            <w:tcW w:w="1842" w:type="dxa"/>
            <w:vAlign w:val="center"/>
          </w:tcPr>
          <w:p w:rsidR="00272C2D" w:rsidRDefault="000F2FA8">
            <w:pPr>
              <w:jc w:val="right"/>
            </w:pPr>
            <w:r>
              <w:rPr>
                <w:rFonts w:eastAsiaTheme="minorEastAsia"/>
                <w:kern w:val="0"/>
                <w:szCs w:val="21"/>
              </w:rPr>
              <w:t>1,966,272.00</w:t>
            </w:r>
          </w:p>
        </w:tc>
        <w:tc>
          <w:tcPr>
            <w:tcW w:w="1616" w:type="dxa"/>
            <w:vAlign w:val="center"/>
          </w:tcPr>
          <w:p w:rsidR="00272C2D" w:rsidRDefault="000F2FA8">
            <w:pPr>
              <w:jc w:val="right"/>
            </w:pPr>
            <w:r>
              <w:rPr>
                <w:rFonts w:eastAsiaTheme="minorEastAsia"/>
                <w:kern w:val="0"/>
                <w:szCs w:val="21"/>
              </w:rPr>
              <w:t>1.26</w:t>
            </w:r>
          </w:p>
        </w:tc>
      </w:tr>
      <w:tr w:rsidR="00272C2D">
        <w:tc>
          <w:tcPr>
            <w:tcW w:w="817" w:type="dxa"/>
            <w:vAlign w:val="center"/>
          </w:tcPr>
          <w:p w:rsidR="00272C2D" w:rsidRDefault="000F2FA8">
            <w:pPr>
              <w:jc w:val="center"/>
            </w:pPr>
            <w:r>
              <w:rPr>
                <w:rFonts w:eastAsiaTheme="minorEastAsia"/>
                <w:kern w:val="0"/>
                <w:szCs w:val="21"/>
              </w:rPr>
              <w:t>3</w:t>
            </w:r>
          </w:p>
        </w:tc>
        <w:tc>
          <w:tcPr>
            <w:tcW w:w="1276" w:type="dxa"/>
            <w:vAlign w:val="center"/>
          </w:tcPr>
          <w:p w:rsidR="00272C2D" w:rsidRDefault="000F2FA8">
            <w:pPr>
              <w:jc w:val="center"/>
            </w:pPr>
            <w:r>
              <w:rPr>
                <w:rFonts w:eastAsiaTheme="minorEastAsia"/>
                <w:kern w:val="0"/>
                <w:szCs w:val="21"/>
              </w:rPr>
              <w:t>688506</w:t>
            </w:r>
          </w:p>
        </w:tc>
        <w:tc>
          <w:tcPr>
            <w:tcW w:w="1701" w:type="dxa"/>
            <w:vAlign w:val="center"/>
          </w:tcPr>
          <w:p w:rsidR="00272C2D" w:rsidRDefault="000F2FA8">
            <w:pPr>
              <w:jc w:val="center"/>
            </w:pPr>
            <w:r>
              <w:rPr>
                <w:rFonts w:eastAsiaTheme="minorEastAsia"/>
                <w:kern w:val="0"/>
                <w:szCs w:val="21"/>
              </w:rPr>
              <w:t>百利天恒</w:t>
            </w:r>
          </w:p>
        </w:tc>
        <w:tc>
          <w:tcPr>
            <w:tcW w:w="1276" w:type="dxa"/>
            <w:vAlign w:val="center"/>
          </w:tcPr>
          <w:p w:rsidR="00272C2D" w:rsidRDefault="000F2FA8">
            <w:pPr>
              <w:jc w:val="right"/>
            </w:pPr>
            <w:r>
              <w:rPr>
                <w:rFonts w:eastAsiaTheme="minorEastAsia"/>
                <w:kern w:val="0"/>
                <w:szCs w:val="21"/>
              </w:rPr>
              <w:t>10,600.00</w:t>
            </w:r>
          </w:p>
        </w:tc>
        <w:tc>
          <w:tcPr>
            <w:tcW w:w="1842" w:type="dxa"/>
            <w:vAlign w:val="center"/>
          </w:tcPr>
          <w:p w:rsidR="00272C2D" w:rsidRDefault="000F2FA8">
            <w:pPr>
              <w:jc w:val="right"/>
            </w:pPr>
            <w:r>
              <w:rPr>
                <w:rFonts w:eastAsiaTheme="minorEastAsia"/>
                <w:kern w:val="0"/>
                <w:szCs w:val="21"/>
              </w:rPr>
              <w:t>1,922,840.00</w:t>
            </w:r>
          </w:p>
        </w:tc>
        <w:tc>
          <w:tcPr>
            <w:tcW w:w="1616" w:type="dxa"/>
            <w:vAlign w:val="center"/>
          </w:tcPr>
          <w:p w:rsidR="00272C2D" w:rsidRDefault="000F2FA8">
            <w:pPr>
              <w:jc w:val="right"/>
            </w:pPr>
            <w:r>
              <w:rPr>
                <w:rFonts w:eastAsiaTheme="minorEastAsia"/>
                <w:kern w:val="0"/>
                <w:szCs w:val="21"/>
              </w:rPr>
              <w:t>1.24</w:t>
            </w:r>
          </w:p>
        </w:tc>
      </w:tr>
      <w:tr w:rsidR="00272C2D">
        <w:tc>
          <w:tcPr>
            <w:tcW w:w="817" w:type="dxa"/>
            <w:vAlign w:val="center"/>
          </w:tcPr>
          <w:p w:rsidR="00272C2D" w:rsidRDefault="000F2FA8">
            <w:pPr>
              <w:jc w:val="center"/>
            </w:pPr>
            <w:r>
              <w:rPr>
                <w:rFonts w:eastAsiaTheme="minorEastAsia"/>
                <w:kern w:val="0"/>
                <w:szCs w:val="21"/>
              </w:rPr>
              <w:t>4</w:t>
            </w:r>
          </w:p>
        </w:tc>
        <w:tc>
          <w:tcPr>
            <w:tcW w:w="1276" w:type="dxa"/>
            <w:vAlign w:val="center"/>
          </w:tcPr>
          <w:p w:rsidR="00272C2D" w:rsidRDefault="000F2FA8">
            <w:pPr>
              <w:jc w:val="center"/>
            </w:pPr>
            <w:r>
              <w:rPr>
                <w:rFonts w:eastAsiaTheme="minorEastAsia"/>
                <w:kern w:val="0"/>
                <w:szCs w:val="21"/>
              </w:rPr>
              <w:t>002106</w:t>
            </w:r>
          </w:p>
        </w:tc>
        <w:tc>
          <w:tcPr>
            <w:tcW w:w="1701" w:type="dxa"/>
            <w:vAlign w:val="center"/>
          </w:tcPr>
          <w:p w:rsidR="00272C2D" w:rsidRDefault="000F2FA8">
            <w:pPr>
              <w:jc w:val="center"/>
            </w:pPr>
            <w:r>
              <w:rPr>
                <w:rFonts w:eastAsiaTheme="minorEastAsia"/>
                <w:kern w:val="0"/>
                <w:szCs w:val="21"/>
              </w:rPr>
              <w:t>莱宝高科</w:t>
            </w:r>
          </w:p>
        </w:tc>
        <w:tc>
          <w:tcPr>
            <w:tcW w:w="1276" w:type="dxa"/>
            <w:vAlign w:val="center"/>
          </w:tcPr>
          <w:p w:rsidR="00272C2D" w:rsidRDefault="000F2FA8">
            <w:pPr>
              <w:jc w:val="right"/>
            </w:pPr>
            <w:r>
              <w:rPr>
                <w:rFonts w:eastAsiaTheme="minorEastAsia"/>
                <w:kern w:val="0"/>
                <w:szCs w:val="21"/>
              </w:rPr>
              <w:t>174,900.00</w:t>
            </w:r>
          </w:p>
        </w:tc>
        <w:tc>
          <w:tcPr>
            <w:tcW w:w="1842" w:type="dxa"/>
            <w:vAlign w:val="center"/>
          </w:tcPr>
          <w:p w:rsidR="00272C2D" w:rsidRDefault="000F2FA8">
            <w:pPr>
              <w:jc w:val="right"/>
            </w:pPr>
            <w:r>
              <w:rPr>
                <w:rFonts w:eastAsiaTheme="minorEastAsia"/>
                <w:kern w:val="0"/>
                <w:szCs w:val="21"/>
              </w:rPr>
              <w:t>1,906,410.00</w:t>
            </w:r>
          </w:p>
        </w:tc>
        <w:tc>
          <w:tcPr>
            <w:tcW w:w="1616" w:type="dxa"/>
            <w:vAlign w:val="center"/>
          </w:tcPr>
          <w:p w:rsidR="00272C2D" w:rsidRDefault="000F2FA8">
            <w:pPr>
              <w:jc w:val="right"/>
            </w:pPr>
            <w:r>
              <w:rPr>
                <w:rFonts w:eastAsiaTheme="minorEastAsia"/>
                <w:kern w:val="0"/>
                <w:szCs w:val="21"/>
              </w:rPr>
              <w:t>1.22</w:t>
            </w:r>
          </w:p>
        </w:tc>
      </w:tr>
      <w:tr w:rsidR="00272C2D">
        <w:tc>
          <w:tcPr>
            <w:tcW w:w="817" w:type="dxa"/>
            <w:vAlign w:val="center"/>
          </w:tcPr>
          <w:p w:rsidR="00272C2D" w:rsidRDefault="000F2FA8">
            <w:pPr>
              <w:jc w:val="center"/>
            </w:pPr>
            <w:r>
              <w:rPr>
                <w:rFonts w:eastAsiaTheme="minorEastAsia"/>
                <w:kern w:val="0"/>
                <w:szCs w:val="21"/>
              </w:rPr>
              <w:t>5</w:t>
            </w:r>
          </w:p>
        </w:tc>
        <w:tc>
          <w:tcPr>
            <w:tcW w:w="1276" w:type="dxa"/>
            <w:vAlign w:val="center"/>
          </w:tcPr>
          <w:p w:rsidR="00272C2D" w:rsidRDefault="000F2FA8">
            <w:pPr>
              <w:jc w:val="center"/>
            </w:pPr>
            <w:r>
              <w:rPr>
                <w:rFonts w:eastAsiaTheme="minorEastAsia"/>
                <w:kern w:val="0"/>
                <w:szCs w:val="21"/>
              </w:rPr>
              <w:t>002138</w:t>
            </w:r>
          </w:p>
        </w:tc>
        <w:tc>
          <w:tcPr>
            <w:tcW w:w="1701" w:type="dxa"/>
            <w:vAlign w:val="center"/>
          </w:tcPr>
          <w:p w:rsidR="00272C2D" w:rsidRDefault="000F2FA8">
            <w:pPr>
              <w:jc w:val="center"/>
            </w:pPr>
            <w:r>
              <w:rPr>
                <w:rFonts w:eastAsiaTheme="minorEastAsia"/>
                <w:kern w:val="0"/>
                <w:szCs w:val="21"/>
              </w:rPr>
              <w:t>顺络电子</w:t>
            </w:r>
          </w:p>
        </w:tc>
        <w:tc>
          <w:tcPr>
            <w:tcW w:w="1276" w:type="dxa"/>
            <w:vAlign w:val="center"/>
          </w:tcPr>
          <w:p w:rsidR="00272C2D" w:rsidRDefault="000F2FA8">
            <w:pPr>
              <w:jc w:val="right"/>
            </w:pPr>
            <w:r>
              <w:rPr>
                <w:rFonts w:eastAsiaTheme="minorEastAsia"/>
                <w:kern w:val="0"/>
                <w:szCs w:val="21"/>
              </w:rPr>
              <w:t>69,400.00</w:t>
            </w:r>
          </w:p>
        </w:tc>
        <w:tc>
          <w:tcPr>
            <w:tcW w:w="1842" w:type="dxa"/>
            <w:vAlign w:val="center"/>
          </w:tcPr>
          <w:p w:rsidR="00272C2D" w:rsidRDefault="000F2FA8">
            <w:pPr>
              <w:jc w:val="right"/>
            </w:pPr>
            <w:r>
              <w:rPr>
                <w:rFonts w:eastAsiaTheme="minorEastAsia"/>
                <w:kern w:val="0"/>
                <w:szCs w:val="21"/>
              </w:rPr>
              <w:t>1,905,724.00</w:t>
            </w:r>
          </w:p>
        </w:tc>
        <w:tc>
          <w:tcPr>
            <w:tcW w:w="1616" w:type="dxa"/>
            <w:vAlign w:val="center"/>
          </w:tcPr>
          <w:p w:rsidR="00272C2D" w:rsidRDefault="000F2FA8">
            <w:pPr>
              <w:jc w:val="right"/>
            </w:pPr>
            <w:r>
              <w:rPr>
                <w:rFonts w:eastAsiaTheme="minorEastAsia"/>
                <w:kern w:val="0"/>
                <w:szCs w:val="21"/>
              </w:rPr>
              <w:t>1.22</w:t>
            </w:r>
          </w:p>
        </w:tc>
      </w:tr>
      <w:tr w:rsidR="00272C2D">
        <w:tc>
          <w:tcPr>
            <w:tcW w:w="817" w:type="dxa"/>
            <w:vAlign w:val="center"/>
          </w:tcPr>
          <w:p w:rsidR="00272C2D" w:rsidRDefault="000F2FA8">
            <w:pPr>
              <w:jc w:val="center"/>
            </w:pPr>
            <w:r>
              <w:rPr>
                <w:rFonts w:eastAsiaTheme="minorEastAsia"/>
                <w:kern w:val="0"/>
                <w:szCs w:val="21"/>
              </w:rPr>
              <w:t>6</w:t>
            </w:r>
          </w:p>
        </w:tc>
        <w:tc>
          <w:tcPr>
            <w:tcW w:w="1276" w:type="dxa"/>
            <w:vAlign w:val="center"/>
          </w:tcPr>
          <w:p w:rsidR="00272C2D" w:rsidRDefault="000F2FA8">
            <w:pPr>
              <w:jc w:val="center"/>
            </w:pPr>
            <w:r>
              <w:rPr>
                <w:rFonts w:eastAsiaTheme="minorEastAsia"/>
                <w:kern w:val="0"/>
                <w:szCs w:val="21"/>
              </w:rPr>
              <w:t>601633</w:t>
            </w:r>
          </w:p>
        </w:tc>
        <w:tc>
          <w:tcPr>
            <w:tcW w:w="1701" w:type="dxa"/>
            <w:vAlign w:val="center"/>
          </w:tcPr>
          <w:p w:rsidR="00272C2D" w:rsidRDefault="000F2FA8">
            <w:pPr>
              <w:jc w:val="center"/>
            </w:pPr>
            <w:r>
              <w:rPr>
                <w:rFonts w:eastAsiaTheme="minorEastAsia"/>
                <w:kern w:val="0"/>
                <w:szCs w:val="21"/>
              </w:rPr>
              <w:t>长城汽车</w:t>
            </w:r>
          </w:p>
        </w:tc>
        <w:tc>
          <w:tcPr>
            <w:tcW w:w="1276" w:type="dxa"/>
            <w:vAlign w:val="center"/>
          </w:tcPr>
          <w:p w:rsidR="00272C2D" w:rsidRDefault="000F2FA8">
            <w:pPr>
              <w:jc w:val="right"/>
            </w:pPr>
            <w:r>
              <w:rPr>
                <w:rFonts w:eastAsiaTheme="minorEastAsia"/>
                <w:kern w:val="0"/>
                <w:szCs w:val="21"/>
              </w:rPr>
              <w:t>71,300.00</w:t>
            </w:r>
          </w:p>
        </w:tc>
        <w:tc>
          <w:tcPr>
            <w:tcW w:w="1842" w:type="dxa"/>
            <w:vAlign w:val="center"/>
          </w:tcPr>
          <w:p w:rsidR="00272C2D" w:rsidRDefault="000F2FA8">
            <w:pPr>
              <w:jc w:val="right"/>
            </w:pPr>
            <w:r>
              <w:rPr>
                <w:rFonts w:eastAsiaTheme="minorEastAsia"/>
                <w:kern w:val="0"/>
                <w:szCs w:val="21"/>
              </w:rPr>
              <w:t>1,803,890.00</w:t>
            </w:r>
          </w:p>
        </w:tc>
        <w:tc>
          <w:tcPr>
            <w:tcW w:w="1616" w:type="dxa"/>
            <w:vAlign w:val="center"/>
          </w:tcPr>
          <w:p w:rsidR="00272C2D" w:rsidRDefault="000F2FA8">
            <w:pPr>
              <w:jc w:val="right"/>
            </w:pPr>
            <w:r>
              <w:rPr>
                <w:rFonts w:eastAsiaTheme="minorEastAsia"/>
                <w:kern w:val="0"/>
                <w:szCs w:val="21"/>
              </w:rPr>
              <w:t>1.16</w:t>
            </w:r>
          </w:p>
        </w:tc>
      </w:tr>
      <w:tr w:rsidR="00272C2D">
        <w:tc>
          <w:tcPr>
            <w:tcW w:w="817" w:type="dxa"/>
            <w:vAlign w:val="center"/>
          </w:tcPr>
          <w:p w:rsidR="00272C2D" w:rsidRDefault="000F2FA8">
            <w:pPr>
              <w:jc w:val="center"/>
            </w:pPr>
            <w:r>
              <w:rPr>
                <w:rFonts w:eastAsiaTheme="minorEastAsia"/>
                <w:kern w:val="0"/>
                <w:szCs w:val="21"/>
              </w:rPr>
              <w:t>7</w:t>
            </w:r>
          </w:p>
        </w:tc>
        <w:tc>
          <w:tcPr>
            <w:tcW w:w="1276" w:type="dxa"/>
            <w:vAlign w:val="center"/>
          </w:tcPr>
          <w:p w:rsidR="00272C2D" w:rsidRDefault="000F2FA8">
            <w:pPr>
              <w:jc w:val="center"/>
            </w:pPr>
            <w:r>
              <w:rPr>
                <w:rFonts w:eastAsiaTheme="minorEastAsia"/>
                <w:kern w:val="0"/>
                <w:szCs w:val="21"/>
              </w:rPr>
              <w:t>600521</w:t>
            </w:r>
          </w:p>
        </w:tc>
        <w:tc>
          <w:tcPr>
            <w:tcW w:w="1701" w:type="dxa"/>
            <w:vAlign w:val="center"/>
          </w:tcPr>
          <w:p w:rsidR="00272C2D" w:rsidRDefault="000F2FA8">
            <w:pPr>
              <w:jc w:val="center"/>
            </w:pPr>
            <w:r>
              <w:rPr>
                <w:rFonts w:eastAsiaTheme="minorEastAsia"/>
                <w:kern w:val="0"/>
                <w:szCs w:val="21"/>
              </w:rPr>
              <w:t>华海药业</w:t>
            </w:r>
          </w:p>
        </w:tc>
        <w:tc>
          <w:tcPr>
            <w:tcW w:w="1276" w:type="dxa"/>
            <w:vAlign w:val="center"/>
          </w:tcPr>
          <w:p w:rsidR="00272C2D" w:rsidRDefault="000F2FA8">
            <w:pPr>
              <w:jc w:val="right"/>
            </w:pPr>
            <w:r>
              <w:rPr>
                <w:rFonts w:eastAsiaTheme="minorEastAsia"/>
                <w:kern w:val="0"/>
                <w:szCs w:val="21"/>
              </w:rPr>
              <w:t>104,700.00</w:t>
            </w:r>
          </w:p>
        </w:tc>
        <w:tc>
          <w:tcPr>
            <w:tcW w:w="1842" w:type="dxa"/>
            <w:vAlign w:val="center"/>
          </w:tcPr>
          <w:p w:rsidR="00272C2D" w:rsidRDefault="000F2FA8">
            <w:pPr>
              <w:jc w:val="right"/>
            </w:pPr>
            <w:r>
              <w:rPr>
                <w:rFonts w:eastAsiaTheme="minorEastAsia"/>
                <w:kern w:val="0"/>
                <w:szCs w:val="21"/>
              </w:rPr>
              <w:t>1,785,135.00</w:t>
            </w:r>
          </w:p>
        </w:tc>
        <w:tc>
          <w:tcPr>
            <w:tcW w:w="1616" w:type="dxa"/>
            <w:vAlign w:val="center"/>
          </w:tcPr>
          <w:p w:rsidR="00272C2D" w:rsidRDefault="000F2FA8">
            <w:pPr>
              <w:jc w:val="right"/>
            </w:pPr>
            <w:r>
              <w:rPr>
                <w:rFonts w:eastAsiaTheme="minorEastAsia"/>
                <w:kern w:val="0"/>
                <w:szCs w:val="21"/>
              </w:rPr>
              <w:t>1.15</w:t>
            </w:r>
          </w:p>
        </w:tc>
      </w:tr>
      <w:tr w:rsidR="00272C2D">
        <w:tc>
          <w:tcPr>
            <w:tcW w:w="817" w:type="dxa"/>
            <w:vAlign w:val="center"/>
          </w:tcPr>
          <w:p w:rsidR="00272C2D" w:rsidRDefault="000F2FA8">
            <w:pPr>
              <w:jc w:val="center"/>
            </w:pPr>
            <w:r>
              <w:rPr>
                <w:rFonts w:eastAsiaTheme="minorEastAsia"/>
                <w:kern w:val="0"/>
                <w:szCs w:val="21"/>
              </w:rPr>
              <w:t>8</w:t>
            </w:r>
          </w:p>
        </w:tc>
        <w:tc>
          <w:tcPr>
            <w:tcW w:w="1276" w:type="dxa"/>
            <w:vAlign w:val="center"/>
          </w:tcPr>
          <w:p w:rsidR="00272C2D" w:rsidRDefault="000F2FA8">
            <w:pPr>
              <w:jc w:val="center"/>
            </w:pPr>
            <w:r>
              <w:rPr>
                <w:rFonts w:eastAsiaTheme="minorEastAsia"/>
                <w:kern w:val="0"/>
                <w:szCs w:val="21"/>
              </w:rPr>
              <w:t>300181</w:t>
            </w:r>
          </w:p>
        </w:tc>
        <w:tc>
          <w:tcPr>
            <w:tcW w:w="1701" w:type="dxa"/>
            <w:vAlign w:val="center"/>
          </w:tcPr>
          <w:p w:rsidR="00272C2D" w:rsidRDefault="000F2FA8">
            <w:pPr>
              <w:jc w:val="center"/>
            </w:pPr>
            <w:r>
              <w:rPr>
                <w:rFonts w:eastAsiaTheme="minorEastAsia"/>
                <w:kern w:val="0"/>
                <w:szCs w:val="21"/>
              </w:rPr>
              <w:t>佐力药业</w:t>
            </w:r>
          </w:p>
        </w:tc>
        <w:tc>
          <w:tcPr>
            <w:tcW w:w="1276" w:type="dxa"/>
            <w:vAlign w:val="center"/>
          </w:tcPr>
          <w:p w:rsidR="00272C2D" w:rsidRDefault="000F2FA8">
            <w:pPr>
              <w:jc w:val="right"/>
            </w:pPr>
            <w:r>
              <w:rPr>
                <w:rFonts w:eastAsiaTheme="minorEastAsia"/>
                <w:kern w:val="0"/>
                <w:szCs w:val="21"/>
              </w:rPr>
              <w:t>117,400.00</w:t>
            </w:r>
          </w:p>
        </w:tc>
        <w:tc>
          <w:tcPr>
            <w:tcW w:w="1842" w:type="dxa"/>
            <w:vAlign w:val="center"/>
          </w:tcPr>
          <w:p w:rsidR="00272C2D" w:rsidRDefault="000F2FA8">
            <w:pPr>
              <w:jc w:val="right"/>
            </w:pPr>
            <w:r>
              <w:rPr>
                <w:rFonts w:eastAsiaTheme="minorEastAsia"/>
                <w:kern w:val="0"/>
                <w:szCs w:val="21"/>
              </w:rPr>
              <w:t>1,775,088.00</w:t>
            </w:r>
          </w:p>
        </w:tc>
        <w:tc>
          <w:tcPr>
            <w:tcW w:w="1616" w:type="dxa"/>
            <w:vAlign w:val="center"/>
          </w:tcPr>
          <w:p w:rsidR="00272C2D" w:rsidRDefault="000F2FA8">
            <w:pPr>
              <w:jc w:val="right"/>
            </w:pPr>
            <w:r>
              <w:rPr>
                <w:rFonts w:eastAsiaTheme="minorEastAsia"/>
                <w:kern w:val="0"/>
                <w:szCs w:val="21"/>
              </w:rPr>
              <w:t>1.14</w:t>
            </w:r>
          </w:p>
        </w:tc>
      </w:tr>
      <w:tr w:rsidR="00272C2D">
        <w:tc>
          <w:tcPr>
            <w:tcW w:w="817" w:type="dxa"/>
            <w:vAlign w:val="center"/>
          </w:tcPr>
          <w:p w:rsidR="00272C2D" w:rsidRDefault="000F2FA8">
            <w:pPr>
              <w:jc w:val="center"/>
            </w:pPr>
            <w:r>
              <w:rPr>
                <w:rFonts w:eastAsiaTheme="minorEastAsia"/>
                <w:kern w:val="0"/>
                <w:szCs w:val="21"/>
              </w:rPr>
              <w:t>9</w:t>
            </w:r>
          </w:p>
        </w:tc>
        <w:tc>
          <w:tcPr>
            <w:tcW w:w="1276" w:type="dxa"/>
            <w:vAlign w:val="center"/>
          </w:tcPr>
          <w:p w:rsidR="00272C2D" w:rsidRDefault="000F2FA8">
            <w:pPr>
              <w:jc w:val="center"/>
            </w:pPr>
            <w:r>
              <w:rPr>
                <w:rFonts w:eastAsiaTheme="minorEastAsia"/>
                <w:kern w:val="0"/>
                <w:szCs w:val="21"/>
              </w:rPr>
              <w:t>600066</w:t>
            </w:r>
          </w:p>
        </w:tc>
        <w:tc>
          <w:tcPr>
            <w:tcW w:w="1701" w:type="dxa"/>
            <w:vAlign w:val="center"/>
          </w:tcPr>
          <w:p w:rsidR="00272C2D" w:rsidRDefault="000F2FA8">
            <w:pPr>
              <w:jc w:val="center"/>
            </w:pPr>
            <w:r>
              <w:rPr>
                <w:rFonts w:eastAsiaTheme="minorEastAsia"/>
                <w:kern w:val="0"/>
                <w:szCs w:val="21"/>
              </w:rPr>
              <w:t>宇通客车</w:t>
            </w:r>
          </w:p>
        </w:tc>
        <w:tc>
          <w:tcPr>
            <w:tcW w:w="1276" w:type="dxa"/>
            <w:vAlign w:val="center"/>
          </w:tcPr>
          <w:p w:rsidR="00272C2D" w:rsidRDefault="000F2FA8">
            <w:pPr>
              <w:jc w:val="right"/>
            </w:pPr>
            <w:r>
              <w:rPr>
                <w:rFonts w:eastAsiaTheme="minorEastAsia"/>
                <w:kern w:val="0"/>
                <w:szCs w:val="21"/>
              </w:rPr>
              <w:t>68,081.00</w:t>
            </w:r>
          </w:p>
        </w:tc>
        <w:tc>
          <w:tcPr>
            <w:tcW w:w="1842" w:type="dxa"/>
            <w:vAlign w:val="center"/>
          </w:tcPr>
          <w:p w:rsidR="00272C2D" w:rsidRDefault="000F2FA8">
            <w:pPr>
              <w:jc w:val="right"/>
            </w:pPr>
            <w:r>
              <w:rPr>
                <w:rFonts w:eastAsiaTheme="minorEastAsia"/>
                <w:kern w:val="0"/>
                <w:szCs w:val="21"/>
              </w:rPr>
              <w:t>1,756,489.80</w:t>
            </w:r>
          </w:p>
        </w:tc>
        <w:tc>
          <w:tcPr>
            <w:tcW w:w="1616" w:type="dxa"/>
            <w:vAlign w:val="center"/>
          </w:tcPr>
          <w:p w:rsidR="00272C2D" w:rsidRDefault="000F2FA8">
            <w:pPr>
              <w:jc w:val="right"/>
            </w:pPr>
            <w:r>
              <w:rPr>
                <w:rFonts w:eastAsiaTheme="minorEastAsia"/>
                <w:kern w:val="0"/>
                <w:szCs w:val="21"/>
              </w:rPr>
              <w:t>1.13</w:t>
            </w:r>
          </w:p>
        </w:tc>
      </w:tr>
      <w:tr w:rsidR="00272C2D">
        <w:tc>
          <w:tcPr>
            <w:tcW w:w="817" w:type="dxa"/>
            <w:vAlign w:val="center"/>
          </w:tcPr>
          <w:p w:rsidR="00272C2D" w:rsidRDefault="000F2FA8">
            <w:pPr>
              <w:jc w:val="center"/>
            </w:pPr>
            <w:r>
              <w:rPr>
                <w:rFonts w:eastAsiaTheme="minorEastAsia"/>
                <w:kern w:val="0"/>
                <w:szCs w:val="21"/>
              </w:rPr>
              <w:t>10</w:t>
            </w:r>
          </w:p>
        </w:tc>
        <w:tc>
          <w:tcPr>
            <w:tcW w:w="1276" w:type="dxa"/>
            <w:vAlign w:val="center"/>
          </w:tcPr>
          <w:p w:rsidR="00272C2D" w:rsidRDefault="000F2FA8">
            <w:pPr>
              <w:jc w:val="center"/>
            </w:pPr>
            <w:r>
              <w:rPr>
                <w:rFonts w:eastAsiaTheme="minorEastAsia"/>
                <w:kern w:val="0"/>
                <w:szCs w:val="21"/>
              </w:rPr>
              <w:t>600420</w:t>
            </w:r>
          </w:p>
        </w:tc>
        <w:tc>
          <w:tcPr>
            <w:tcW w:w="1701" w:type="dxa"/>
            <w:vAlign w:val="center"/>
          </w:tcPr>
          <w:p w:rsidR="00272C2D" w:rsidRDefault="000F2FA8">
            <w:pPr>
              <w:jc w:val="center"/>
            </w:pPr>
            <w:r>
              <w:rPr>
                <w:rFonts w:eastAsiaTheme="minorEastAsia"/>
                <w:kern w:val="0"/>
                <w:szCs w:val="21"/>
              </w:rPr>
              <w:t>国药现代</w:t>
            </w:r>
          </w:p>
        </w:tc>
        <w:tc>
          <w:tcPr>
            <w:tcW w:w="1276" w:type="dxa"/>
            <w:vAlign w:val="center"/>
          </w:tcPr>
          <w:p w:rsidR="00272C2D" w:rsidRDefault="000F2FA8">
            <w:pPr>
              <w:jc w:val="right"/>
            </w:pPr>
            <w:r>
              <w:rPr>
                <w:rFonts w:eastAsiaTheme="minorEastAsia"/>
                <w:kern w:val="0"/>
                <w:szCs w:val="21"/>
              </w:rPr>
              <w:t>158,800.00</w:t>
            </w:r>
          </w:p>
        </w:tc>
        <w:tc>
          <w:tcPr>
            <w:tcW w:w="1842" w:type="dxa"/>
            <w:vAlign w:val="center"/>
          </w:tcPr>
          <w:p w:rsidR="00272C2D" w:rsidRDefault="000F2FA8">
            <w:pPr>
              <w:jc w:val="right"/>
            </w:pPr>
            <w:r>
              <w:rPr>
                <w:rFonts w:eastAsiaTheme="minorEastAsia"/>
                <w:kern w:val="0"/>
                <w:szCs w:val="21"/>
              </w:rPr>
              <w:t>1,695,984.00</w:t>
            </w:r>
          </w:p>
        </w:tc>
        <w:tc>
          <w:tcPr>
            <w:tcW w:w="1616" w:type="dxa"/>
            <w:vAlign w:val="center"/>
          </w:tcPr>
          <w:p w:rsidR="00272C2D" w:rsidRDefault="000F2FA8">
            <w:pPr>
              <w:jc w:val="right"/>
            </w:pPr>
            <w:r>
              <w:rPr>
                <w:rFonts w:eastAsiaTheme="minorEastAsia"/>
                <w:kern w:val="0"/>
                <w:szCs w:val="21"/>
              </w:rPr>
              <w:t>1.09</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djustRightInd w:val="0"/>
        <w:snapToGrid w:val="0"/>
        <w:spacing w:line="360" w:lineRule="auto"/>
        <w:rPr>
          <w:rFonts w:eastAsiaTheme="minorEastAsia"/>
          <w:b/>
          <w:color w:val="000000" w:themeColor="text1"/>
          <w:szCs w:val="21"/>
        </w:rPr>
      </w:pPr>
      <w:r w:rsidRPr="00B27A29">
        <w:rPr>
          <w:rFonts w:eastAsiaTheme="minorEastAsia"/>
          <w:b/>
          <w:color w:val="000000" w:themeColor="text1"/>
          <w:szCs w:val="21"/>
        </w:rPr>
        <w:t xml:space="preserve">5.9.1 </w:t>
      </w:r>
      <w:r w:rsidRPr="00B27A29">
        <w:rPr>
          <w:rFonts w:eastAsiaTheme="minorEastAsia"/>
          <w:b/>
          <w:color w:val="000000" w:themeColor="text1"/>
          <w:szCs w:val="21"/>
        </w:rPr>
        <w:t>报告期末本基金投资的股指期货持仓和损益明细</w:t>
      </w:r>
    </w:p>
    <w:tbl>
      <w:tblPr>
        <w:tblW w:w="8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22"/>
        <w:gridCol w:w="1422"/>
        <w:gridCol w:w="1422"/>
        <w:gridCol w:w="1423"/>
        <w:gridCol w:w="1416"/>
      </w:tblGrid>
      <w:tr w:rsidR="005E6DF3" w:rsidRPr="00B27A29">
        <w:trPr>
          <w:trHeight w:val="105"/>
        </w:trPr>
        <w:tc>
          <w:tcPr>
            <w:tcW w:w="1422" w:type="dxa"/>
            <w:vAlign w:val="center"/>
          </w:tcPr>
          <w:p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代码</w:t>
            </w:r>
          </w:p>
        </w:tc>
        <w:tc>
          <w:tcPr>
            <w:tcW w:w="1422" w:type="dxa"/>
            <w:vAlign w:val="center"/>
          </w:tcPr>
          <w:p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名称</w:t>
            </w:r>
          </w:p>
        </w:tc>
        <w:tc>
          <w:tcPr>
            <w:tcW w:w="1422" w:type="dxa"/>
            <w:vAlign w:val="center"/>
          </w:tcPr>
          <w:p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持仓量</w:t>
            </w:r>
          </w:p>
        </w:tc>
        <w:tc>
          <w:tcPr>
            <w:tcW w:w="1422" w:type="dxa"/>
            <w:vAlign w:val="center"/>
          </w:tcPr>
          <w:p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合约市值</w:t>
            </w:r>
            <w:r w:rsidRPr="00B27A29">
              <w:rPr>
                <w:rFonts w:ascii="Times New Roman" w:eastAsiaTheme="minorEastAsia" w:hAnsi="Times New Roman" w:cs="Times New Roman"/>
                <w:color w:val="000000" w:themeColor="text1"/>
                <w:sz w:val="21"/>
                <w:szCs w:val="21"/>
              </w:rPr>
              <w:t>(</w:t>
            </w:r>
            <w:r w:rsidRPr="00B27A29">
              <w:rPr>
                <w:rFonts w:ascii="Times New Roman" w:eastAsiaTheme="minorEastAsia" w:hAnsi="Times New Roman" w:cs="Times New Roman"/>
                <w:color w:val="000000" w:themeColor="text1"/>
                <w:sz w:val="21"/>
                <w:szCs w:val="21"/>
              </w:rPr>
              <w:t>元</w:t>
            </w:r>
            <w:r w:rsidRPr="00B27A29">
              <w:rPr>
                <w:rFonts w:ascii="Times New Roman" w:eastAsiaTheme="minorEastAsia" w:hAnsi="Times New Roman" w:cs="Times New Roman"/>
                <w:color w:val="000000" w:themeColor="text1"/>
                <w:sz w:val="21"/>
                <w:szCs w:val="21"/>
              </w:rPr>
              <w:t>)</w:t>
            </w:r>
          </w:p>
        </w:tc>
        <w:tc>
          <w:tcPr>
            <w:tcW w:w="1423" w:type="dxa"/>
            <w:vAlign w:val="center"/>
          </w:tcPr>
          <w:p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公允价值变动</w:t>
            </w:r>
            <w:r w:rsidRPr="00B27A29">
              <w:rPr>
                <w:rFonts w:ascii="Times New Roman" w:eastAsiaTheme="minorEastAsia" w:hAnsi="Times New Roman" w:cs="Times New Roman"/>
                <w:color w:val="000000" w:themeColor="text1"/>
                <w:sz w:val="21"/>
                <w:szCs w:val="21"/>
              </w:rPr>
              <w:t>(</w:t>
            </w:r>
            <w:r w:rsidRPr="00B27A29">
              <w:rPr>
                <w:rFonts w:ascii="Times New Roman" w:eastAsiaTheme="minorEastAsia" w:hAnsi="Times New Roman" w:cs="Times New Roman"/>
                <w:color w:val="000000" w:themeColor="text1"/>
                <w:sz w:val="21"/>
                <w:szCs w:val="21"/>
              </w:rPr>
              <w:t>元</w:t>
            </w:r>
            <w:r w:rsidRPr="00B27A29">
              <w:rPr>
                <w:rFonts w:ascii="Times New Roman" w:eastAsiaTheme="minorEastAsia" w:hAnsi="Times New Roman" w:cs="Times New Roman"/>
                <w:color w:val="000000" w:themeColor="text1"/>
                <w:sz w:val="21"/>
                <w:szCs w:val="21"/>
              </w:rPr>
              <w:t>)</w:t>
            </w:r>
          </w:p>
        </w:tc>
        <w:tc>
          <w:tcPr>
            <w:tcW w:w="1416" w:type="dxa"/>
            <w:vAlign w:val="center"/>
          </w:tcPr>
          <w:p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风险说明</w:t>
            </w:r>
          </w:p>
        </w:tc>
      </w:tr>
      <w:tr w:rsidR="00272C2D">
        <w:tc>
          <w:tcPr>
            <w:tcW w:w="1422" w:type="dxa"/>
            <w:vAlign w:val="center"/>
          </w:tcPr>
          <w:p w:rsidR="00272C2D" w:rsidRDefault="000F2FA8">
            <w:pPr>
              <w:jc w:val="center"/>
            </w:pPr>
            <w:r>
              <w:rPr>
                <w:rFonts w:eastAsiaTheme="minorEastAsia"/>
                <w:color w:val="000000" w:themeColor="text1"/>
                <w:szCs w:val="21"/>
              </w:rPr>
              <w:t>-</w:t>
            </w:r>
          </w:p>
        </w:tc>
        <w:tc>
          <w:tcPr>
            <w:tcW w:w="1422" w:type="dxa"/>
            <w:vAlign w:val="center"/>
          </w:tcPr>
          <w:p w:rsidR="00272C2D" w:rsidRDefault="000F2FA8">
            <w:pPr>
              <w:jc w:val="center"/>
            </w:pPr>
            <w:r>
              <w:rPr>
                <w:rFonts w:eastAsiaTheme="minorEastAsia"/>
                <w:color w:val="000000" w:themeColor="text1"/>
                <w:szCs w:val="21"/>
              </w:rPr>
              <w:t>-</w:t>
            </w:r>
          </w:p>
        </w:tc>
        <w:tc>
          <w:tcPr>
            <w:tcW w:w="1422" w:type="dxa"/>
            <w:vAlign w:val="center"/>
          </w:tcPr>
          <w:p w:rsidR="00272C2D" w:rsidRDefault="000F2FA8">
            <w:pPr>
              <w:jc w:val="center"/>
            </w:pPr>
            <w:r>
              <w:rPr>
                <w:rFonts w:eastAsiaTheme="minorEastAsia"/>
                <w:color w:val="000000" w:themeColor="text1"/>
                <w:szCs w:val="21"/>
              </w:rPr>
              <w:t>-</w:t>
            </w:r>
          </w:p>
        </w:tc>
        <w:tc>
          <w:tcPr>
            <w:tcW w:w="1422" w:type="dxa"/>
            <w:vAlign w:val="center"/>
          </w:tcPr>
          <w:p w:rsidR="00272C2D" w:rsidRDefault="000F2FA8">
            <w:pPr>
              <w:jc w:val="center"/>
            </w:pPr>
            <w:r>
              <w:rPr>
                <w:rFonts w:eastAsiaTheme="minorEastAsia"/>
                <w:color w:val="000000" w:themeColor="text1"/>
                <w:szCs w:val="21"/>
              </w:rPr>
              <w:t>-</w:t>
            </w:r>
          </w:p>
        </w:tc>
        <w:tc>
          <w:tcPr>
            <w:tcW w:w="1423" w:type="dxa"/>
            <w:vAlign w:val="center"/>
          </w:tcPr>
          <w:p w:rsidR="00272C2D" w:rsidRDefault="000F2FA8">
            <w:pPr>
              <w:jc w:val="center"/>
            </w:pPr>
            <w:r>
              <w:rPr>
                <w:rFonts w:eastAsiaTheme="minorEastAsia"/>
                <w:color w:val="000000" w:themeColor="text1"/>
                <w:szCs w:val="21"/>
              </w:rPr>
              <w:t>-</w:t>
            </w:r>
          </w:p>
        </w:tc>
        <w:tc>
          <w:tcPr>
            <w:tcW w:w="1416" w:type="dxa"/>
            <w:vAlign w:val="center"/>
          </w:tcPr>
          <w:p w:rsidR="00272C2D" w:rsidRDefault="000F2FA8">
            <w:pPr>
              <w:jc w:val="center"/>
            </w:pPr>
            <w:r>
              <w:rPr>
                <w:rFonts w:eastAsiaTheme="minorEastAsia"/>
                <w:color w:val="000000" w:themeColor="text1"/>
                <w:szCs w:val="21"/>
              </w:rPr>
              <w:t>-</w:t>
            </w:r>
          </w:p>
        </w:tc>
      </w:tr>
      <w:tr w:rsidR="005E6DF3" w:rsidRPr="00B27A29">
        <w:trPr>
          <w:trHeight w:val="105"/>
        </w:trPr>
        <w:tc>
          <w:tcPr>
            <w:tcW w:w="7111" w:type="dxa"/>
            <w:gridSpan w:val="5"/>
            <w:vAlign w:val="center"/>
          </w:tcPr>
          <w:p w:rsidR="005E6DF3" w:rsidRPr="00B27A29" w:rsidRDefault="005C671B">
            <w:pPr>
              <w:pStyle w:val="Default"/>
              <w:jc w:val="both"/>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公允价值变动总额合计</w:t>
            </w:r>
            <w:r w:rsidRPr="00B27A29">
              <w:rPr>
                <w:rFonts w:ascii="Times New Roman" w:eastAsiaTheme="minorEastAsia" w:hAnsi="Times New Roman" w:cs="Times New Roman"/>
                <w:color w:val="000000" w:themeColor="text1"/>
                <w:sz w:val="21"/>
                <w:szCs w:val="21"/>
              </w:rPr>
              <w:t>(</w:t>
            </w:r>
            <w:r w:rsidRPr="00B27A29">
              <w:rPr>
                <w:rFonts w:ascii="Times New Roman" w:eastAsiaTheme="minorEastAsia" w:hAnsi="Times New Roman" w:cs="Times New Roman"/>
                <w:color w:val="000000" w:themeColor="text1"/>
                <w:sz w:val="21"/>
                <w:szCs w:val="21"/>
              </w:rPr>
              <w:t>元</w:t>
            </w:r>
            <w:r w:rsidRPr="00B27A29">
              <w:rPr>
                <w:rFonts w:ascii="Times New Roman" w:eastAsiaTheme="minorEastAsia" w:hAnsi="Times New Roman" w:cs="Times New Roman"/>
                <w:color w:val="000000" w:themeColor="text1"/>
                <w:sz w:val="21"/>
                <w:szCs w:val="21"/>
              </w:rPr>
              <w:t>)</w:t>
            </w:r>
          </w:p>
        </w:tc>
        <w:tc>
          <w:tcPr>
            <w:tcW w:w="1416" w:type="dxa"/>
            <w:vAlign w:val="center"/>
          </w:tcPr>
          <w:p w:rsidR="005E6DF3" w:rsidRPr="00B27A29" w:rsidRDefault="005C671B">
            <w:pPr>
              <w:pStyle w:val="Default"/>
              <w:jc w:val="right"/>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0.00</w:t>
            </w:r>
          </w:p>
        </w:tc>
      </w:tr>
      <w:tr w:rsidR="005E6DF3" w:rsidRPr="00B27A29">
        <w:trPr>
          <w:trHeight w:val="105"/>
        </w:trPr>
        <w:tc>
          <w:tcPr>
            <w:tcW w:w="7111" w:type="dxa"/>
            <w:gridSpan w:val="5"/>
            <w:vAlign w:val="center"/>
          </w:tcPr>
          <w:p w:rsidR="005E6DF3" w:rsidRPr="00B27A29" w:rsidRDefault="005C671B">
            <w:pPr>
              <w:pStyle w:val="Default"/>
              <w:jc w:val="both"/>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股指期货投资本期收益</w:t>
            </w:r>
            <w:r w:rsidRPr="00B27A29">
              <w:rPr>
                <w:rFonts w:ascii="Times New Roman" w:eastAsiaTheme="minorEastAsia" w:hAnsi="Times New Roman" w:cs="Times New Roman"/>
                <w:color w:val="000000" w:themeColor="text1"/>
                <w:sz w:val="21"/>
                <w:szCs w:val="21"/>
              </w:rPr>
              <w:t>(</w:t>
            </w:r>
            <w:r w:rsidRPr="00B27A29">
              <w:rPr>
                <w:rFonts w:ascii="Times New Roman" w:eastAsiaTheme="minorEastAsia" w:hAnsi="Times New Roman" w:cs="Times New Roman"/>
                <w:color w:val="000000" w:themeColor="text1"/>
                <w:sz w:val="21"/>
                <w:szCs w:val="21"/>
              </w:rPr>
              <w:t>元</w:t>
            </w:r>
            <w:r w:rsidRPr="00B27A29">
              <w:rPr>
                <w:rFonts w:ascii="Times New Roman" w:eastAsiaTheme="minorEastAsia" w:hAnsi="Times New Roman" w:cs="Times New Roman"/>
                <w:color w:val="000000" w:themeColor="text1"/>
                <w:sz w:val="21"/>
                <w:szCs w:val="21"/>
              </w:rPr>
              <w:t>)</w:t>
            </w:r>
          </w:p>
        </w:tc>
        <w:tc>
          <w:tcPr>
            <w:tcW w:w="1416" w:type="dxa"/>
            <w:vAlign w:val="center"/>
          </w:tcPr>
          <w:p w:rsidR="005E6DF3" w:rsidRPr="00B27A29" w:rsidRDefault="005C671B">
            <w:pPr>
              <w:pStyle w:val="Default"/>
              <w:jc w:val="right"/>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278,704.29</w:t>
            </w:r>
          </w:p>
        </w:tc>
      </w:tr>
      <w:tr w:rsidR="005E6DF3" w:rsidRPr="00B27A29">
        <w:trPr>
          <w:trHeight w:val="105"/>
        </w:trPr>
        <w:tc>
          <w:tcPr>
            <w:tcW w:w="7111" w:type="dxa"/>
            <w:gridSpan w:val="5"/>
            <w:vAlign w:val="center"/>
          </w:tcPr>
          <w:p w:rsidR="005E6DF3" w:rsidRPr="00B27A29" w:rsidRDefault="005C671B">
            <w:pPr>
              <w:pStyle w:val="Default"/>
              <w:jc w:val="both"/>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股指期货投资本期公允价值变动</w:t>
            </w:r>
            <w:r w:rsidRPr="00B27A29">
              <w:rPr>
                <w:rFonts w:ascii="Times New Roman" w:eastAsiaTheme="minorEastAsia" w:hAnsi="Times New Roman" w:cs="Times New Roman"/>
                <w:color w:val="000000" w:themeColor="text1"/>
                <w:sz w:val="21"/>
                <w:szCs w:val="21"/>
              </w:rPr>
              <w:t>(</w:t>
            </w:r>
            <w:r w:rsidRPr="00B27A29">
              <w:rPr>
                <w:rFonts w:ascii="Times New Roman" w:eastAsiaTheme="minorEastAsia" w:hAnsi="Times New Roman" w:cs="Times New Roman"/>
                <w:color w:val="000000" w:themeColor="text1"/>
                <w:sz w:val="21"/>
                <w:szCs w:val="21"/>
              </w:rPr>
              <w:t>元</w:t>
            </w:r>
            <w:r w:rsidRPr="00B27A29">
              <w:rPr>
                <w:rFonts w:ascii="Times New Roman" w:eastAsiaTheme="minorEastAsia" w:hAnsi="Times New Roman" w:cs="Times New Roman"/>
                <w:color w:val="000000" w:themeColor="text1"/>
                <w:sz w:val="21"/>
                <w:szCs w:val="21"/>
              </w:rPr>
              <w:t>)</w:t>
            </w:r>
          </w:p>
        </w:tc>
        <w:tc>
          <w:tcPr>
            <w:tcW w:w="1416" w:type="dxa"/>
            <w:vAlign w:val="center"/>
          </w:tcPr>
          <w:p w:rsidR="005E6DF3" w:rsidRPr="00B27A29" w:rsidRDefault="005C671B">
            <w:pPr>
              <w:pStyle w:val="Default"/>
              <w:jc w:val="right"/>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8,555.00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5.9.2 </w:t>
      </w:r>
      <w:r w:rsidRPr="00B27A29">
        <w:rPr>
          <w:rFonts w:eastAsiaTheme="minorEastAsia"/>
          <w:b/>
          <w:color w:val="000000" w:themeColor="text1"/>
          <w:szCs w:val="21"/>
        </w:rPr>
        <w:t>本基金投资股指期货的投资政策</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本报告期内，基金投资股指期货的目的是为了提升基金的流动性水平，以及在期货贴水时作为现货的替代。</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87,807.34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9,957.86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97,765.20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178,922,813.05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82,847,690.17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1,376,212.47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325,927.29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28,318,528.56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51,253,719.31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151,980,496.96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31,919,898.15</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338,920.48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466,138.02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146,603.80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w:t>
            </w:r>
            <w:r w:rsidRPr="00B27A29">
              <w:rPr>
                <w:color w:val="000000" w:themeColor="text1"/>
                <w:szCs w:val="21"/>
              </w:rPr>
              <w:lastRenderedPageBreak/>
              <w:t>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lastRenderedPageBreak/>
              <w:t>658,454.70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0.36</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272C2D">
        <w:tc>
          <w:tcPr>
            <w:tcW w:w="1070" w:type="dxa"/>
            <w:vAlign w:val="center"/>
          </w:tcPr>
          <w:p w:rsidR="00272C2D" w:rsidRDefault="000F2FA8">
            <w:pPr>
              <w:jc w:val="center"/>
            </w:pPr>
            <w:r>
              <w:rPr>
                <w:rFonts w:eastAsiaTheme="minorEastAsia"/>
                <w:color w:val="000000" w:themeColor="text1"/>
                <w:szCs w:val="21"/>
              </w:rPr>
              <w:t>1</w:t>
            </w:r>
          </w:p>
        </w:tc>
        <w:tc>
          <w:tcPr>
            <w:tcW w:w="1851" w:type="dxa"/>
            <w:vAlign w:val="center"/>
          </w:tcPr>
          <w:p w:rsidR="00272C2D" w:rsidRDefault="000F2FA8">
            <w:pPr>
              <w:jc w:val="center"/>
            </w:pPr>
            <w:r>
              <w:rPr>
                <w:rFonts w:eastAsiaTheme="minorEastAsia"/>
                <w:color w:val="000000" w:themeColor="text1"/>
                <w:szCs w:val="21"/>
              </w:rPr>
              <w:t>赎回</w:t>
            </w:r>
          </w:p>
        </w:tc>
        <w:tc>
          <w:tcPr>
            <w:tcW w:w="1370" w:type="dxa"/>
            <w:vAlign w:val="center"/>
          </w:tcPr>
          <w:p w:rsidR="00272C2D" w:rsidRDefault="000F2FA8">
            <w:pPr>
              <w:jc w:val="center"/>
            </w:pPr>
            <w:r>
              <w:rPr>
                <w:rFonts w:eastAsiaTheme="minorEastAsia"/>
                <w:color w:val="000000" w:themeColor="text1"/>
                <w:szCs w:val="21"/>
              </w:rPr>
              <w:t>2024-04-23</w:t>
            </w:r>
          </w:p>
        </w:tc>
        <w:tc>
          <w:tcPr>
            <w:tcW w:w="1701" w:type="dxa"/>
            <w:vAlign w:val="center"/>
          </w:tcPr>
          <w:p w:rsidR="00272C2D" w:rsidRDefault="000F2FA8">
            <w:pPr>
              <w:jc w:val="right"/>
            </w:pPr>
            <w:r>
              <w:rPr>
                <w:rFonts w:eastAsiaTheme="minorEastAsia"/>
                <w:color w:val="000000" w:themeColor="text1"/>
                <w:szCs w:val="21"/>
              </w:rPr>
              <w:t>146,603.80</w:t>
            </w:r>
          </w:p>
        </w:tc>
        <w:tc>
          <w:tcPr>
            <w:tcW w:w="1842" w:type="dxa"/>
            <w:vAlign w:val="center"/>
          </w:tcPr>
          <w:p w:rsidR="00272C2D" w:rsidRDefault="000F2FA8">
            <w:pPr>
              <w:jc w:val="right"/>
            </w:pPr>
            <w:r>
              <w:rPr>
                <w:rFonts w:eastAsiaTheme="minorEastAsia"/>
                <w:color w:val="000000" w:themeColor="text1"/>
                <w:szCs w:val="21"/>
              </w:rPr>
              <w:t>-128,968.85</w:t>
            </w:r>
          </w:p>
        </w:tc>
        <w:tc>
          <w:tcPr>
            <w:tcW w:w="1397" w:type="dxa"/>
            <w:vAlign w:val="center"/>
          </w:tcPr>
          <w:p w:rsidR="00272C2D" w:rsidRDefault="000F2FA8">
            <w:pPr>
              <w:jc w:val="right"/>
            </w:pPr>
            <w:r>
              <w:rPr>
                <w:rFonts w:eastAsiaTheme="minorEastAsia"/>
                <w:color w:val="000000" w:themeColor="text1"/>
                <w:szCs w:val="21"/>
              </w:rPr>
              <w:t>0.35%</w:t>
            </w:r>
          </w:p>
        </w:tc>
      </w:tr>
      <w:tr w:rsidR="00272C2D">
        <w:tc>
          <w:tcPr>
            <w:tcW w:w="1070" w:type="dxa"/>
            <w:vAlign w:val="center"/>
          </w:tcPr>
          <w:p w:rsidR="00272C2D" w:rsidRDefault="000F2FA8">
            <w:pPr>
              <w:jc w:val="center"/>
            </w:pPr>
            <w:r>
              <w:rPr>
                <w:rFonts w:eastAsiaTheme="minorEastAsia"/>
                <w:color w:val="000000" w:themeColor="text1"/>
                <w:szCs w:val="21"/>
              </w:rPr>
              <w:t>2</w:t>
            </w:r>
          </w:p>
        </w:tc>
        <w:tc>
          <w:tcPr>
            <w:tcW w:w="1851" w:type="dxa"/>
            <w:vAlign w:val="center"/>
          </w:tcPr>
          <w:p w:rsidR="00272C2D" w:rsidRDefault="000F2FA8">
            <w:pPr>
              <w:jc w:val="center"/>
            </w:pPr>
            <w:r>
              <w:rPr>
                <w:rFonts w:eastAsiaTheme="minorEastAsia"/>
                <w:color w:val="000000" w:themeColor="text1"/>
                <w:szCs w:val="21"/>
              </w:rPr>
              <w:t>申购</w:t>
            </w:r>
          </w:p>
        </w:tc>
        <w:tc>
          <w:tcPr>
            <w:tcW w:w="1370" w:type="dxa"/>
            <w:vAlign w:val="center"/>
          </w:tcPr>
          <w:p w:rsidR="00272C2D" w:rsidRDefault="000F2FA8">
            <w:pPr>
              <w:jc w:val="center"/>
            </w:pPr>
            <w:r>
              <w:rPr>
                <w:rFonts w:eastAsiaTheme="minorEastAsia"/>
                <w:color w:val="000000" w:themeColor="text1"/>
                <w:szCs w:val="21"/>
              </w:rPr>
              <w:t>2024-05-15</w:t>
            </w:r>
          </w:p>
        </w:tc>
        <w:tc>
          <w:tcPr>
            <w:tcW w:w="1701" w:type="dxa"/>
            <w:vAlign w:val="center"/>
          </w:tcPr>
          <w:p w:rsidR="00272C2D" w:rsidRDefault="000F2FA8">
            <w:pPr>
              <w:jc w:val="right"/>
            </w:pPr>
            <w:r>
              <w:rPr>
                <w:rFonts w:eastAsiaTheme="minorEastAsia"/>
                <w:color w:val="000000" w:themeColor="text1"/>
                <w:szCs w:val="21"/>
              </w:rPr>
              <w:t>466,138.02</w:t>
            </w:r>
          </w:p>
        </w:tc>
        <w:tc>
          <w:tcPr>
            <w:tcW w:w="1842" w:type="dxa"/>
            <w:vAlign w:val="center"/>
          </w:tcPr>
          <w:p w:rsidR="00272C2D" w:rsidRDefault="000F2FA8">
            <w:pPr>
              <w:jc w:val="right"/>
            </w:pPr>
            <w:r>
              <w:rPr>
                <w:rFonts w:eastAsiaTheme="minorEastAsia"/>
                <w:color w:val="000000" w:themeColor="text1"/>
                <w:szCs w:val="21"/>
              </w:rPr>
              <w:t>435,000.00</w:t>
            </w:r>
          </w:p>
        </w:tc>
        <w:tc>
          <w:tcPr>
            <w:tcW w:w="1397" w:type="dxa"/>
            <w:vAlign w:val="center"/>
          </w:tcPr>
          <w:p w:rsidR="00272C2D" w:rsidRDefault="000F2FA8">
            <w:pPr>
              <w:jc w:val="right"/>
            </w:pPr>
            <w:r>
              <w:rPr>
                <w:rFonts w:eastAsiaTheme="minorEastAsia"/>
                <w:color w:val="000000" w:themeColor="text1"/>
                <w:szCs w:val="21"/>
              </w:rPr>
              <w:t>-</w:t>
            </w:r>
          </w:p>
        </w:tc>
      </w:tr>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612,741.82</w:t>
            </w:r>
          </w:p>
        </w:tc>
        <w:tc>
          <w:tcPr>
            <w:tcW w:w="1842"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306,031.15</w:t>
            </w:r>
          </w:p>
        </w:tc>
        <w:tc>
          <w:tcPr>
            <w:tcW w:w="1397" w:type="dxa"/>
            <w:vAlign w:val="center"/>
          </w:tcPr>
          <w:p w:rsidR="005E6DF3" w:rsidRPr="00B27A29" w:rsidRDefault="005E6DF3">
            <w:pPr>
              <w:adjustRightInd w:val="0"/>
              <w:snapToGrid w:val="0"/>
              <w:spacing w:line="360" w:lineRule="exact"/>
              <w:jc w:val="right"/>
              <w:rPr>
                <w:color w:val="000000" w:themeColor="text1"/>
                <w:kern w:val="0"/>
                <w:szCs w:val="21"/>
              </w:rPr>
            </w:pP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注：基金管理人运用固有资金投资本基金相关的费用符合基金招募说明书和相关公告的规定。</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272C2D" w:rsidRDefault="000F2FA8">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r>
        <w:rPr>
          <w:rFonts w:eastAsiaTheme="minorEastAsia"/>
          <w:color w:val="000000" w:themeColor="text1"/>
          <w:szCs w:val="21"/>
        </w:rPr>
        <w:t xml:space="preserve"> </w:t>
      </w:r>
    </w:p>
    <w:p w:rsidR="00272C2D" w:rsidRDefault="000F2FA8">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、《摩根动态多因子策略灵活配置混合型证券投资基金基金合同》；</w:t>
      </w:r>
      <w:r>
        <w:rPr>
          <w:rFonts w:eastAsiaTheme="minorEastAsia"/>
          <w:color w:val="000000" w:themeColor="text1"/>
          <w:szCs w:val="21"/>
        </w:rPr>
        <w:t xml:space="preserve"> </w:t>
      </w:r>
    </w:p>
    <w:p w:rsidR="00272C2D" w:rsidRDefault="000F2FA8">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、《摩根动态多因子策略灵活配置混合型证券投资基金托管协议》；</w:t>
      </w:r>
      <w:r>
        <w:rPr>
          <w:rFonts w:eastAsiaTheme="minorEastAsia"/>
          <w:color w:val="000000" w:themeColor="text1"/>
          <w:szCs w:val="21"/>
        </w:rPr>
        <w:t xml:space="preserve"> </w:t>
      </w:r>
    </w:p>
    <w:p w:rsidR="00272C2D" w:rsidRDefault="000F2FA8">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r>
        <w:rPr>
          <w:rFonts w:eastAsiaTheme="minorEastAsia"/>
          <w:color w:val="000000" w:themeColor="text1"/>
          <w:szCs w:val="21"/>
        </w:rPr>
        <w:t xml:space="preserve"> </w:t>
      </w:r>
    </w:p>
    <w:p w:rsidR="00272C2D" w:rsidRDefault="000F2FA8">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F2FA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F2FA8">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F2FA8">
      <w:rPr>
        <w:rStyle w:val="af6"/>
        <w:noProof/>
      </w:rPr>
      <w:t>10</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摩根动态多因子策略灵活配置混合型证券投资基金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2FA8"/>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2C2D"/>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3E01D0-D108-4DE1-B1D3-E4D8F145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1291</Words>
  <Characters>7364</Characters>
  <Application>Microsoft Office Word</Application>
  <DocSecurity>0</DocSecurity>
  <Lines>61</Lines>
  <Paragraphs>17</Paragraphs>
  <ScaleCrop>false</ScaleCrop>
  <Company>TRT. Ltd. Co.</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220</cp:revision>
  <cp:lastPrinted>2007-07-19T00:46:00Z</cp:lastPrinted>
  <dcterms:created xsi:type="dcterms:W3CDTF">2013-06-21T06:56:00Z</dcterms:created>
  <dcterms:modified xsi:type="dcterms:W3CDTF">2024-07-18T06:35:00Z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