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55014" w:rsidRDefault="00E55014">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E55014" w:rsidRDefault="00E55014">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55014" w:rsidRDefault="00E55014">
      <w:pPr>
        <w:spacing w:line="360" w:lineRule="auto"/>
        <w:jc w:val="center"/>
        <w:rPr>
          <w:rFonts w:hint="eastAsia"/>
        </w:rPr>
      </w:pPr>
      <w:r>
        <w:rPr>
          <w:rFonts w:ascii="宋体" w:hAnsi="宋体" w:hint="eastAsia"/>
          <w:b/>
          <w:bCs/>
          <w:color w:val="000000" w:themeColor="text1"/>
          <w:sz w:val="48"/>
          <w:szCs w:val="30"/>
        </w:rPr>
        <w:t>摩根动态多因子策略灵活配置混合型证券投资基金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55014" w:rsidRDefault="00E5501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55014" w:rsidRDefault="00E5501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55014" w:rsidRDefault="00E55014">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55014" w:rsidRDefault="00E55014">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E55014" w:rsidRDefault="00E55014">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55014" w:rsidRDefault="00E55014">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E55014" w:rsidRDefault="00E55014">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55014" w:rsidRDefault="00E55014">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370955288"/>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E55014" w:rsidRDefault="00E55014">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szCs w:val="24"/>
                <w:lang w:eastAsia="zh-Hans"/>
              </w:rPr>
              <w:t>摩根动态多因子混</w:t>
            </w:r>
            <w:r>
              <w:rPr>
                <w:rFonts w:ascii="宋体" w:hAnsi="宋体" w:hint="eastAsia"/>
                <w:szCs w:val="24"/>
                <w:lang w:eastAsia="zh-Hans"/>
              </w:rPr>
              <w:t>合</w:t>
            </w:r>
            <w:r>
              <w:rPr>
                <w:rFonts w:ascii="宋体" w:hAnsi="宋体" w:hint="eastAsia"/>
                <w:lang w:eastAsia="zh-Hans"/>
              </w:rPr>
              <w:t xml:space="preserve"> </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00121</w:t>
            </w:r>
            <w:r>
              <w:rPr>
                <w:rFonts w:ascii="宋体" w:hAnsi="宋体" w:hint="eastAsia"/>
                <w:lang w:eastAsia="zh-Hans"/>
              </w:rPr>
              <w:t>9</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契约型开放</w:t>
            </w:r>
            <w:r>
              <w:rPr>
                <w:rFonts w:ascii="宋体" w:hAnsi="宋体" w:hint="eastAsia"/>
                <w:lang w:eastAsia="zh-Hans"/>
              </w:rPr>
              <w:t>式</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62,021,242.0</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在严格控制风险的基础上，采用量化投资对基金资产进行积极管理，力争获取超越业绩基准的投资收益</w:t>
            </w:r>
            <w:r>
              <w:rPr>
                <w:rFonts w:ascii="宋体" w:hAnsi="宋体" w:hint="eastAsia"/>
                <w:lang w:eastAsia="zh-Hans"/>
              </w:rPr>
              <w:t>。</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本基金采用数量化选股模型驱动的选股策略进行个股选择，并结合适当的资产配置策略搭建基金投资组合。</w:t>
            </w:r>
            <w:r>
              <w:rPr>
                <w:rFonts w:ascii="宋体" w:hAnsi="宋体" w:hint="eastAsia"/>
                <w:lang w:eastAsia="zh-Hans"/>
              </w:rPr>
              <w:br/>
            </w:r>
            <w:r>
              <w:rPr>
                <w:rFonts w:ascii="宋体" w:hAnsi="宋体" w:hint="eastAsia"/>
                <w:lang w:eastAsia="zh-Hans"/>
              </w:rPr>
              <w:t>在资产配置过程中，本基金将从多角度综合评估各个行业的投资价值，对基金资产在行业间分配进行安排，同时将采用多种数量化的投资方法控制净值大幅回撤风险，改善投资组合的风险收益特征。</w:t>
            </w:r>
            <w:r>
              <w:rPr>
                <w:rFonts w:ascii="宋体" w:hAnsi="宋体" w:hint="eastAsia"/>
                <w:lang w:eastAsia="zh-Hans"/>
              </w:rPr>
              <w:br/>
            </w:r>
            <w:r>
              <w:rPr>
                <w:rFonts w:ascii="宋体" w:hAnsi="宋体" w:hint="eastAsia"/>
                <w:lang w:eastAsia="zh-Hans"/>
              </w:rPr>
              <w:t>在股票投资过程中，本基金将保持通过动态多因子模型选股构建股票投资组合的投资策略，强调投资纪律、降低随意性投资带来的风险，力争实现基金资产的长期稳定增值。</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动态优化投资组合。在资产配置过程中，本基金将采用多种数量化的投资方法控制净值大幅回撤的风险，改善投资组合的风险收益特性。</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通过基金管理人开发的动态多因子模型进行股票选择并据此构建股票投资组合。动态多因子模型在实际运行过程中将定期或不定期地进行修正，优化股票投资组合。</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w:t>
            </w:r>
            <w:r>
              <w:rPr>
                <w:rFonts w:ascii="宋体" w:hAnsi="宋体" w:hint="eastAsia"/>
                <w:lang w:eastAsia="zh-Hans"/>
              </w:rPr>
              <w:t>础上实施积极主动的组合管理，并主要通过类属配置与债券选择两个层次进行投资管理。</w:t>
            </w:r>
            <w:r>
              <w:rPr>
                <w:rFonts w:ascii="宋体" w:hAnsi="宋体" w:hint="eastAsia"/>
                <w:lang w:eastAsia="zh-Hans"/>
              </w:rPr>
              <w:br/>
            </w:r>
            <w:r>
              <w:rPr>
                <w:rFonts w:ascii="宋体" w:hAnsi="宋体" w:hint="eastAsia"/>
                <w:lang w:eastAsia="zh-Hans"/>
              </w:rPr>
              <w:t>在类属配置层次，结合对宏观经济、市场利率、债券供求等因素的综合分析，根据交易所市场与银行间市场类属资产的风险收益特征，定期对投资组合类属资产进行优化配置和调整，确定类属资产的最优权重。</w:t>
            </w:r>
            <w:r>
              <w:rPr>
                <w:rFonts w:ascii="宋体" w:hAnsi="宋体" w:hint="eastAsia"/>
                <w:lang w:eastAsia="zh-Hans"/>
              </w:rPr>
              <w:br/>
            </w:r>
            <w:r>
              <w:rPr>
                <w:rFonts w:ascii="宋体" w:hAnsi="宋体" w:hint="eastAsia"/>
                <w:lang w:eastAsia="zh-Hans"/>
              </w:rPr>
              <w:t>在券种选择上，本基金以中长期利率趋势分析为基础，结合经济趋势、货币政策及不同债券品种的收益率水平、流动性和信用风险等因素，重点选择那些流动性较好、风险水平合理、到期收益率与信用质量相对较高的债券品种。</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、其他投资策略：包括可转换债券投资策略、中小企业私募债投资策略、股指期货投资策略、资产支持证券投资策略、股票期权投资策略、存托凭证投资策略</w:t>
            </w:r>
            <w:r>
              <w:rPr>
                <w:rFonts w:ascii="宋体" w:hAnsi="宋体" w:hint="eastAsia"/>
                <w:lang w:eastAsia="zh-Hans"/>
              </w:rPr>
              <w:t>。</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中证</w:t>
            </w:r>
            <w:r>
              <w:rPr>
                <w:rFonts w:ascii="宋体" w:hAnsi="宋体" w:hint="eastAsia"/>
                <w:lang w:eastAsia="zh-Hans"/>
              </w:rPr>
              <w:t>1000</w:t>
            </w:r>
            <w:r>
              <w:rPr>
                <w:rFonts w:ascii="宋体" w:hAnsi="宋体" w:hint="eastAsia"/>
                <w:lang w:eastAsia="zh-Hans"/>
              </w:rPr>
              <w:t>指数收益率</w:t>
            </w:r>
            <w:r>
              <w:rPr>
                <w:rFonts w:ascii="宋体" w:hAnsi="宋体" w:hint="eastAsia"/>
                <w:lang w:eastAsia="zh-Hans"/>
              </w:rPr>
              <w:t>*90%+</w:t>
            </w:r>
            <w:r>
              <w:rPr>
                <w:rFonts w:ascii="宋体" w:hAnsi="宋体" w:hint="eastAsia"/>
                <w:lang w:eastAsia="zh-Hans"/>
              </w:rPr>
              <w:t>银行活期存款利率（税后）</w:t>
            </w:r>
            <w:r>
              <w:rPr>
                <w:rFonts w:ascii="宋体" w:hAnsi="宋体" w:hint="eastAsia"/>
                <w:lang w:eastAsia="zh-Hans"/>
              </w:rPr>
              <w:t>*10</w:t>
            </w:r>
            <w:r>
              <w:rPr>
                <w:rFonts w:ascii="宋体" w:hAnsi="宋体" w:hint="eastAsia"/>
                <w:lang w:eastAsia="zh-Hans"/>
              </w:rPr>
              <w:t>%</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本基金属于混合型基金产品，预期风险和收益水平高于债券型基金和货币市场基金，低于股票型基金，属于较高风险收益水平的基金产品。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37095528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37095528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lang w:eastAsia="zh-Hans"/>
              </w:rPr>
              <w:t>摩根动态多因子混合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lang w:eastAsia="zh-Hans"/>
              </w:rPr>
              <w:t>摩根动态多因子混合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37095528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lang w:eastAsia="zh-Hans"/>
              </w:rPr>
              <w:t>00121</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lang w:eastAsia="zh-Hans"/>
              </w:rPr>
              <w:t>01717</w:t>
            </w:r>
            <w:r>
              <w:rPr>
                <w:rFonts w:ascii="宋体" w:hAnsi="宋体" w:hint="eastAsia"/>
                <w:lang w:eastAsia="zh-Hans"/>
              </w:rPr>
              <w:t>6</w:t>
            </w:r>
            <w:r>
              <w:rPr>
                <w:rFonts w:ascii="宋体" w:hAnsi="宋体" w:hint="eastAsia"/>
                <w:kern w:val="0"/>
                <w:sz w:val="20"/>
                <w:lang w:eastAsia="zh-Hans"/>
              </w:rPr>
              <w:t xml:space="preserve"> </w:t>
            </w:r>
          </w:p>
        </w:tc>
      </w:tr>
      <w:bookmarkEnd w:id="32"/>
      <w:bookmarkEnd w:id="33"/>
      <w:tr w:rsidR="00000000">
        <w:trPr>
          <w:divId w:val="137095528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55014" w:rsidRDefault="00E5501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lang w:eastAsia="zh-Hans"/>
              </w:rPr>
              <w:t>61,171,340.4</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lang w:eastAsia="zh-Hans"/>
              </w:rPr>
              <w:t>849,901.6</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E55014" w:rsidRDefault="00E55014">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E55014" w:rsidRDefault="00E55014">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E55014" w:rsidRDefault="00E55014">
      <w:pPr>
        <w:jc w:val="right"/>
        <w:divId w:val="50633564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50633564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55014" w:rsidRDefault="00E55014">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55014" w:rsidRDefault="00E5501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0633564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5014" w:rsidRDefault="00E55014">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55014" w:rsidRDefault="00E55014">
            <w:pPr>
              <w:jc w:val="center"/>
              <w:rPr>
                <w:rFonts w:hint="eastAsia"/>
              </w:rPr>
            </w:pPr>
            <w:r>
              <w:rPr>
                <w:rFonts w:ascii="宋体" w:hAnsi="宋体" w:hint="eastAsia"/>
                <w:szCs w:val="24"/>
                <w:lang w:eastAsia="zh-Hans"/>
              </w:rPr>
              <w:t>摩根动态多因子混合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55014" w:rsidRDefault="00E55014">
            <w:pPr>
              <w:jc w:val="center"/>
            </w:pPr>
            <w:r>
              <w:rPr>
                <w:rFonts w:ascii="宋体" w:hAnsi="宋体" w:hint="eastAsia"/>
                <w:szCs w:val="24"/>
                <w:lang w:eastAsia="zh-Hans"/>
              </w:rPr>
              <w:t>摩根动态多因子混合</w:t>
            </w:r>
            <w:r>
              <w:rPr>
                <w:rFonts w:ascii="宋体" w:hAnsi="宋体" w:hint="eastAsia"/>
                <w:szCs w:val="24"/>
                <w:lang w:eastAsia="zh-Hans"/>
              </w:rPr>
              <w:t>C</w:t>
            </w:r>
          </w:p>
        </w:tc>
      </w:tr>
      <w:tr w:rsidR="00000000">
        <w:trPr>
          <w:divId w:val="5063356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rPr>
                <w:rFonts w:hint="eastAsia"/>
              </w:rPr>
            </w:pPr>
            <w:r>
              <w:rPr>
                <w:rFonts w:ascii="宋体" w:hAnsi="宋体" w:hint="eastAsia"/>
                <w:szCs w:val="24"/>
                <w:lang w:eastAsia="zh-Hans"/>
              </w:rPr>
              <w:t>4,340,979.1</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pPr>
            <w:r>
              <w:rPr>
                <w:rFonts w:ascii="宋体" w:hAnsi="宋体" w:hint="eastAsia"/>
                <w:szCs w:val="24"/>
                <w:lang w:eastAsia="zh-Hans"/>
              </w:rPr>
              <w:t>57,656.3</w:t>
            </w:r>
            <w:r>
              <w:rPr>
                <w:rFonts w:ascii="宋体" w:hAnsi="宋体" w:hint="eastAsia"/>
                <w:szCs w:val="24"/>
                <w:lang w:eastAsia="zh-Hans"/>
              </w:rPr>
              <w:t>6</w:t>
            </w:r>
          </w:p>
        </w:tc>
      </w:tr>
      <w:tr w:rsidR="00000000">
        <w:trPr>
          <w:divId w:val="5063356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rPr>
                <w:rFonts w:hint="eastAsia"/>
              </w:rPr>
            </w:pPr>
            <w:r>
              <w:rPr>
                <w:rFonts w:ascii="宋体" w:hAnsi="宋体" w:hint="eastAsia"/>
                <w:szCs w:val="24"/>
                <w:lang w:eastAsia="zh-Hans"/>
              </w:rPr>
              <w:t>8,591,777.7</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pPr>
            <w:r>
              <w:rPr>
                <w:rFonts w:ascii="宋体" w:hAnsi="宋体" w:hint="eastAsia"/>
                <w:szCs w:val="24"/>
                <w:lang w:eastAsia="zh-Hans"/>
              </w:rPr>
              <w:t>111,240.6</w:t>
            </w:r>
            <w:r>
              <w:rPr>
                <w:rFonts w:ascii="宋体" w:hAnsi="宋体" w:hint="eastAsia"/>
                <w:szCs w:val="24"/>
                <w:lang w:eastAsia="zh-Hans"/>
              </w:rPr>
              <w:t>8</w:t>
            </w:r>
          </w:p>
        </w:tc>
      </w:tr>
      <w:tr w:rsidR="00000000">
        <w:trPr>
          <w:divId w:val="5063356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rPr>
                <w:rFonts w:hint="eastAsia"/>
              </w:rPr>
            </w:pPr>
            <w:r>
              <w:rPr>
                <w:rFonts w:ascii="宋体" w:hAnsi="宋体" w:hint="eastAsia"/>
                <w:szCs w:val="24"/>
                <w:lang w:eastAsia="zh-Hans"/>
              </w:rPr>
              <w:t>0.132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pPr>
            <w:r>
              <w:rPr>
                <w:rFonts w:ascii="宋体" w:hAnsi="宋体" w:hint="eastAsia"/>
                <w:szCs w:val="24"/>
                <w:lang w:eastAsia="zh-Hans"/>
              </w:rPr>
              <w:t>0.122</w:t>
            </w:r>
            <w:r>
              <w:rPr>
                <w:rFonts w:ascii="宋体" w:hAnsi="宋体" w:hint="eastAsia"/>
                <w:szCs w:val="24"/>
                <w:lang w:eastAsia="zh-Hans"/>
              </w:rPr>
              <w:t>2</w:t>
            </w:r>
          </w:p>
        </w:tc>
      </w:tr>
      <w:tr w:rsidR="00000000">
        <w:trPr>
          <w:divId w:val="5063356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rPr>
                <w:rFonts w:hint="eastAsia"/>
              </w:rPr>
            </w:pPr>
            <w:r>
              <w:rPr>
                <w:rFonts w:ascii="宋体" w:hAnsi="宋体" w:hint="eastAsia"/>
                <w:szCs w:val="24"/>
                <w:lang w:eastAsia="zh-Hans"/>
              </w:rPr>
              <w:t>82,188,983.5</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pPr>
            <w:r>
              <w:rPr>
                <w:rFonts w:ascii="宋体" w:hAnsi="宋体" w:hint="eastAsia"/>
                <w:szCs w:val="24"/>
                <w:lang w:eastAsia="zh-Hans"/>
              </w:rPr>
              <w:t>1,116,398.7</w:t>
            </w:r>
            <w:r>
              <w:rPr>
                <w:rFonts w:ascii="宋体" w:hAnsi="宋体" w:hint="eastAsia"/>
                <w:szCs w:val="24"/>
                <w:lang w:eastAsia="zh-Hans"/>
              </w:rPr>
              <w:t>0</w:t>
            </w:r>
          </w:p>
        </w:tc>
      </w:tr>
      <w:tr w:rsidR="00000000">
        <w:trPr>
          <w:divId w:val="50633564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rPr>
                <w:rFonts w:hint="eastAsia"/>
              </w:rPr>
            </w:pPr>
            <w:r>
              <w:rPr>
                <w:rFonts w:ascii="宋体" w:hAnsi="宋体" w:hint="eastAsia"/>
                <w:szCs w:val="24"/>
                <w:lang w:eastAsia="zh-Hans"/>
              </w:rPr>
              <w:t>1.343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55014" w:rsidRDefault="00E55014">
            <w:pPr>
              <w:jc w:val="right"/>
            </w:pPr>
            <w:r>
              <w:rPr>
                <w:rFonts w:ascii="宋体" w:hAnsi="宋体" w:hint="eastAsia"/>
                <w:szCs w:val="24"/>
                <w:lang w:eastAsia="zh-Hans"/>
              </w:rPr>
              <w:t>1.313</w:t>
            </w:r>
            <w:r>
              <w:rPr>
                <w:rFonts w:ascii="宋体" w:hAnsi="宋体" w:hint="eastAsia"/>
                <w:szCs w:val="24"/>
                <w:lang w:eastAsia="zh-Hans"/>
              </w:rPr>
              <w:t>6</w:t>
            </w:r>
          </w:p>
        </w:tc>
      </w:tr>
    </w:tbl>
    <w:p w:rsidR="00E55014" w:rsidRDefault="00E55014">
      <w:pPr>
        <w:wordWrap w:val="0"/>
        <w:spacing w:line="360" w:lineRule="auto"/>
        <w:jc w:val="left"/>
        <w:divId w:val="52560795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55014" w:rsidRDefault="00E55014">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E55014" w:rsidRDefault="00E55014">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E55014" w:rsidRDefault="00E55014">
      <w:pPr>
        <w:spacing w:line="360" w:lineRule="auto"/>
        <w:jc w:val="center"/>
        <w:divId w:val="1973830160"/>
        <w:rPr>
          <w:rFonts w:hint="eastAsia"/>
        </w:rPr>
      </w:pPr>
      <w:r>
        <w:rPr>
          <w:rFonts w:ascii="宋体" w:hAnsi="宋体" w:hint="eastAsia"/>
        </w:rPr>
        <w:t>摩根动态多因子混合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97383016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②－④</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10.7</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-3.3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12.3</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14.4</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-2.0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28.3</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34.7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-6.4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31.7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43.3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-11.5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0.2</w:t>
            </w:r>
            <w:r>
              <w:rPr>
                <w:rFonts w:ascii="宋体" w:hAnsi="宋体" w:hint="eastAsia"/>
              </w:rPr>
              <w:t>7</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21.5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22.6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83.0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46.4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36.6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59.1</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64.6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-5.4</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r>
      <w:tr w:rsidR="00000000">
        <w:trPr>
          <w:divId w:val="197383016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34.3</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27.3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7.0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r>
    </w:tbl>
    <w:p w:rsidR="00E55014" w:rsidRDefault="00E55014">
      <w:pPr>
        <w:spacing w:line="360" w:lineRule="auto"/>
        <w:jc w:val="center"/>
        <w:divId w:val="2016151152"/>
      </w:pPr>
      <w:r>
        <w:rPr>
          <w:rFonts w:ascii="宋体" w:hAnsi="宋体" w:hint="eastAsia"/>
        </w:rPr>
        <w:t>摩根动态多因子混合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1615115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0161511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10.5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1.5</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-3.5</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20161511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14.4</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-2.3</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20161511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27.5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34.7</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-7.2</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20161511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29.3</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43.3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-13.9</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0.2</w:t>
            </w:r>
            <w:r>
              <w:rPr>
                <w:rFonts w:ascii="宋体" w:hAnsi="宋体" w:hint="eastAsia"/>
              </w:rPr>
              <w:t>7</w:t>
            </w:r>
            <w:r>
              <w:rPr>
                <w:rFonts w:ascii="宋体" w:hAnsi="宋体" w:hint="eastAsia"/>
              </w:rPr>
              <w:t>%</w:t>
            </w:r>
            <w:r>
              <w:rPr>
                <w:rFonts w:ascii="宋体" w:hAnsi="宋体" w:hint="eastAsia"/>
              </w:rPr>
              <w:t xml:space="preserve"> </w:t>
            </w:r>
          </w:p>
        </w:tc>
      </w:tr>
      <w:tr w:rsidR="00000000">
        <w:trPr>
          <w:divId w:val="20161511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40.5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45.3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55014" w:rsidRDefault="00E55014">
            <w:pPr>
              <w:spacing w:line="360" w:lineRule="auto"/>
              <w:jc w:val="right"/>
            </w:pPr>
            <w:r>
              <w:rPr>
                <w:rFonts w:ascii="宋体" w:hAnsi="宋体" w:hint="eastAsia"/>
              </w:rPr>
              <w:t>-4.7</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spacing w:line="360" w:lineRule="auto"/>
              <w:jc w:val="right"/>
            </w:pPr>
            <w:r>
              <w:rPr>
                <w:rFonts w:ascii="宋体" w:hAnsi="宋体" w:hint="eastAsia"/>
              </w:rPr>
              <w:t>0.2</w:t>
            </w:r>
            <w:r>
              <w:rPr>
                <w:rFonts w:ascii="宋体" w:hAnsi="宋体" w:hint="eastAsia"/>
              </w:rPr>
              <w:t>8</w:t>
            </w:r>
            <w:r>
              <w:rPr>
                <w:rFonts w:ascii="宋体" w:hAnsi="宋体" w:hint="eastAsia"/>
              </w:rPr>
              <w:t>%</w:t>
            </w:r>
            <w:r>
              <w:rPr>
                <w:rFonts w:ascii="宋体" w:hAnsi="宋体" w:hint="eastAsia"/>
              </w:rPr>
              <w:t xml:space="preserve"> </w:t>
            </w:r>
          </w:p>
        </w:tc>
      </w:tr>
    </w:tbl>
    <w:p w:rsidR="00E55014" w:rsidRDefault="00E55014">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E55014" w:rsidRDefault="00E55014">
      <w:pPr>
        <w:spacing w:line="360" w:lineRule="auto"/>
        <w:jc w:val="left"/>
        <w:divId w:val="31136941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55014" w:rsidRDefault="00E55014">
      <w:pPr>
        <w:spacing w:line="360" w:lineRule="auto"/>
        <w:jc w:val="left"/>
        <w:divId w:val="18359307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55014" w:rsidRDefault="00E55014">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2</w:t>
      </w:r>
      <w:r>
        <w:rPr>
          <w:rFonts w:ascii="宋体" w:hAnsi="宋体" w:hint="eastAsia"/>
          <w:lang w:eastAsia="zh-Hans"/>
        </w:rPr>
        <w:t>日，</w:t>
      </w:r>
      <w:r>
        <w:rPr>
          <w:rFonts w:ascii="宋体" w:hAnsi="宋体" w:hint="eastAsia"/>
          <w:lang w:eastAsia="zh-Hans"/>
        </w:rPr>
        <w:t xml:space="preserve"> </w:t>
      </w:r>
      <w:r>
        <w:rPr>
          <w:rFonts w:ascii="宋体" w:hAnsi="宋体" w:hint="eastAsia"/>
          <w:lang w:eastAsia="zh-Hans"/>
        </w:rPr>
        <w:t>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E55014" w:rsidRDefault="00E55014">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E55014" w:rsidRDefault="00E55014">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7717767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7717767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5014" w:rsidRDefault="00E5501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5014" w:rsidRDefault="00E5501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5014" w:rsidRDefault="00E5501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5014" w:rsidRDefault="00E55014">
            <w:pPr>
              <w:widowControl/>
              <w:jc w:val="left"/>
            </w:pPr>
          </w:p>
        </w:tc>
      </w:tr>
      <w:tr w:rsidR="00000000">
        <w:trPr>
          <w:divId w:val="2771776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胡</w:t>
            </w:r>
            <w:r>
              <w:rPr>
                <w:rFonts w:ascii="宋体" w:hAnsi="宋体" w:hint="eastAsia"/>
                <w:szCs w:val="24"/>
                <w:lang w:eastAsia="zh-Hans"/>
              </w:rPr>
              <w:t>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szCs w:val="24"/>
                <w:lang w:eastAsia="zh-Hans"/>
              </w:rPr>
              <w:t>本基金基金经理、指数及量化投资部总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18</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月加入摩根基金管理（中国）有限公司（原上投摩根基金管理有限公司），现任指数及量化投资部总监兼基金经理</w:t>
            </w:r>
            <w:r>
              <w:rPr>
                <w:rFonts w:ascii="宋体" w:hAnsi="宋体" w:hint="eastAsia"/>
                <w:szCs w:val="24"/>
                <w:lang w:eastAsia="zh-Hans"/>
              </w:rPr>
              <w:t>。</w:t>
            </w:r>
          </w:p>
        </w:tc>
      </w:tr>
    </w:tbl>
    <w:p w:rsidR="00E55014" w:rsidRDefault="00E55014">
      <w:pPr>
        <w:wordWrap w:val="0"/>
        <w:spacing w:line="360" w:lineRule="auto"/>
        <w:jc w:val="left"/>
        <w:divId w:val="177925617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55014" w:rsidRDefault="00E55014">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E55014" w:rsidRDefault="00E55014">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55014" w:rsidRDefault="00E55014">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E55014" w:rsidRDefault="00E55014">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E55014" w:rsidRDefault="00E5501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55014" w:rsidRDefault="00E55014">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E55014" w:rsidRDefault="00E5501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55014" w:rsidRDefault="00E55014">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股市场走出极致的</w:t>
      </w:r>
      <w:r>
        <w:rPr>
          <w:rFonts w:ascii="宋体" w:hAnsi="宋体" w:cs="宋体" w:hint="eastAsia"/>
          <w:color w:val="000000"/>
          <w:kern w:val="0"/>
        </w:rPr>
        <w:t>K</w:t>
      </w:r>
      <w:r>
        <w:rPr>
          <w:rFonts w:ascii="宋体" w:hAnsi="宋体" w:cs="宋体" w:hint="eastAsia"/>
          <w:color w:val="000000"/>
          <w:kern w:val="0"/>
        </w:rPr>
        <w:t>型分化行情。一季度末伊朗冲突引发的全球避险情绪在</w:t>
      </w:r>
      <w:r>
        <w:rPr>
          <w:rFonts w:ascii="宋体" w:hAnsi="宋体" w:cs="宋体" w:hint="eastAsia"/>
          <w:color w:val="000000"/>
          <w:kern w:val="0"/>
        </w:rPr>
        <w:t>4</w:t>
      </w:r>
      <w:r>
        <w:rPr>
          <w:rFonts w:ascii="宋体" w:hAnsi="宋体" w:cs="宋体" w:hint="eastAsia"/>
          <w:color w:val="000000"/>
          <w:kern w:val="0"/>
        </w:rPr>
        <w:t>月快速消退，叠加一季报窗口期</w:t>
      </w:r>
      <w:r>
        <w:rPr>
          <w:rFonts w:ascii="宋体" w:hAnsi="宋体" w:cs="宋体" w:hint="eastAsia"/>
          <w:color w:val="000000"/>
          <w:kern w:val="0"/>
        </w:rPr>
        <w:t>AI</w:t>
      </w:r>
      <w:r>
        <w:rPr>
          <w:rFonts w:ascii="宋体" w:hAnsi="宋体" w:cs="宋体" w:hint="eastAsia"/>
          <w:color w:val="000000"/>
          <w:kern w:val="0"/>
        </w:rPr>
        <w:t>算力产业链业绩集中爆发，市场风险偏好急剧回升，科技成长风格接棒成为主线。与此同时，传统周期、消费和红利板块在资金虹吸效应下持续失血，市场结构极致分化。</w:t>
      </w:r>
      <w:r>
        <w:rPr>
          <w:rFonts w:ascii="宋体" w:hAnsi="宋体" w:cs="宋体" w:hint="eastAsia"/>
          <w:color w:val="000000"/>
          <w:kern w:val="0"/>
        </w:rPr>
        <w:br/>
      </w:r>
      <w:r>
        <w:rPr>
          <w:rFonts w:ascii="宋体" w:hAnsi="宋体" w:cs="宋体" w:hint="eastAsia"/>
          <w:color w:val="000000"/>
          <w:kern w:val="0"/>
        </w:rPr>
        <w:t xml:space="preserve">　　策略运行方面，量化选股策略不做择时类判断，我们仍然保持较高仓位运作。二季度极致的风格分化对多因子模型的因子多样性和风险控制提出了更高要求，传统估值和价值因子普遍回撤，成长和动量因子表现突出。</w:t>
      </w:r>
      <w:r>
        <w:rPr>
          <w:rFonts w:ascii="宋体" w:hAnsi="宋体" w:cs="宋体" w:hint="eastAsia"/>
          <w:color w:val="000000"/>
          <w:kern w:val="0"/>
        </w:rPr>
        <w:br/>
      </w:r>
      <w:r>
        <w:rPr>
          <w:rFonts w:ascii="宋体" w:hAnsi="宋体" w:cs="宋体" w:hint="eastAsia"/>
          <w:color w:val="000000"/>
          <w:kern w:val="0"/>
        </w:rPr>
        <w:t xml:space="preserve">　　往后看，三季度市场分歧依然较大。一方面</w:t>
      </w:r>
      <w:r>
        <w:rPr>
          <w:rFonts w:ascii="宋体" w:hAnsi="宋体" w:cs="宋体" w:hint="eastAsia"/>
          <w:color w:val="000000"/>
          <w:kern w:val="0"/>
        </w:rPr>
        <w:t>AI</w:t>
      </w:r>
      <w:r>
        <w:rPr>
          <w:rFonts w:ascii="宋体" w:hAnsi="宋体" w:cs="宋体" w:hint="eastAsia"/>
          <w:color w:val="000000"/>
          <w:kern w:val="0"/>
        </w:rPr>
        <w:t>科技行情已经历半年度的极致演绎，板块交易拥挤度和估值均处于历史高位，</w:t>
      </w:r>
      <w:r>
        <w:rPr>
          <w:rFonts w:ascii="宋体" w:hAnsi="宋体" w:cs="宋体" w:hint="eastAsia"/>
          <w:color w:val="000000"/>
          <w:kern w:val="0"/>
        </w:rPr>
        <w:t>7-8</w:t>
      </w:r>
      <w:r>
        <w:rPr>
          <w:rFonts w:ascii="宋体" w:hAnsi="宋体" w:cs="宋体" w:hint="eastAsia"/>
          <w:color w:val="000000"/>
          <w:kern w:val="0"/>
        </w:rPr>
        <w:t>月中报季将是</w:t>
      </w:r>
      <w:r>
        <w:rPr>
          <w:rFonts w:ascii="宋体" w:hAnsi="宋体" w:cs="宋体" w:hint="eastAsia"/>
          <w:color w:val="000000"/>
          <w:kern w:val="0"/>
        </w:rPr>
        <w:t>"</w:t>
      </w:r>
      <w:r>
        <w:rPr>
          <w:rFonts w:ascii="宋体" w:hAnsi="宋体" w:cs="宋体" w:hint="eastAsia"/>
          <w:color w:val="000000"/>
          <w:kern w:val="0"/>
        </w:rPr>
        <w:t>去伪存真</w:t>
      </w:r>
      <w:r>
        <w:rPr>
          <w:rFonts w:ascii="宋体" w:hAnsi="宋体" w:cs="宋体" w:hint="eastAsia"/>
          <w:color w:val="000000"/>
          <w:kern w:val="0"/>
        </w:rPr>
        <w:t>"</w:t>
      </w:r>
      <w:r>
        <w:rPr>
          <w:rFonts w:ascii="宋体" w:hAnsi="宋体" w:cs="宋体" w:hint="eastAsia"/>
          <w:color w:val="000000"/>
          <w:kern w:val="0"/>
        </w:rPr>
        <w:t>的关键窗口，业绩无法兑现的标的面临较大回撤风险；另一方面，国内经济复苏预期稳固，政治局会议有望进一步定调稳增长政策，传统板块在过度悲观定价下存在修复空间。多数机构预计市场风格可能从极致分化走向适度再平衡，这将为低频</w:t>
      </w:r>
      <w:r>
        <w:rPr>
          <w:rFonts w:ascii="宋体" w:hAnsi="宋体" w:cs="宋体" w:hint="eastAsia"/>
          <w:color w:val="000000"/>
          <w:kern w:val="0"/>
        </w:rPr>
        <w:t>alpha</w:t>
      </w:r>
      <w:r>
        <w:rPr>
          <w:rFonts w:ascii="宋体" w:hAnsi="宋体" w:cs="宋体" w:hint="eastAsia"/>
          <w:color w:val="000000"/>
          <w:kern w:val="0"/>
        </w:rPr>
        <w:t>策略提供更友好的运行环境。</w:t>
      </w:r>
      <w:r>
        <w:rPr>
          <w:rFonts w:ascii="宋体" w:hAnsi="宋体" w:cs="宋体" w:hint="eastAsia"/>
          <w:color w:val="000000"/>
          <w:kern w:val="0"/>
        </w:rPr>
        <w:br/>
      </w:r>
      <w:r>
        <w:rPr>
          <w:rFonts w:ascii="宋体" w:hAnsi="宋体" w:cs="宋体" w:hint="eastAsia"/>
          <w:color w:val="000000"/>
          <w:kern w:val="0"/>
        </w:rPr>
        <w:t xml:space="preserve">　　我们继续坚持基本面和价量结合的量化多因子选股策略，坚持自上而下的传统研究与自下而上的机器学习启发式研究并重，在风格再平衡的过程中力争构造风险收益特征优于市场基准的投资组合。</w:t>
      </w:r>
      <w:r>
        <w:rPr>
          <w:rFonts w:ascii="宋体" w:hAnsi="宋体" w:cs="宋体" w:hint="eastAsia"/>
          <w:color w:val="000000"/>
          <w:kern w:val="0"/>
        </w:rPr>
        <w:br/>
      </w:r>
      <w:r>
        <w:rPr>
          <w:rFonts w:ascii="宋体" w:hAnsi="宋体" w:cs="宋体" w:hint="eastAsia"/>
          <w:color w:val="000000"/>
          <w:kern w:val="0"/>
        </w:rPr>
        <w:t xml:space="preserve">　　策略研究方面，我们在上季度规划的三个方向均取得阶段性进展：</w:t>
      </w:r>
      <w:r>
        <w:rPr>
          <w:rFonts w:ascii="宋体" w:hAnsi="宋体" w:cs="宋体" w:hint="eastAsia"/>
          <w:color w:val="000000"/>
          <w:kern w:val="0"/>
        </w:rPr>
        <w:t>1.</w:t>
      </w:r>
      <w:r>
        <w:rPr>
          <w:rFonts w:ascii="宋体" w:hAnsi="宋体" w:cs="宋体" w:hint="eastAsia"/>
          <w:color w:val="000000"/>
          <w:kern w:val="0"/>
        </w:rPr>
        <w:t>数据源扩充方面，优化器和风险模型已完成升级并投入实盘辅助组合优化，研究效率显著提升；另类数据（专利、供应链、预期数据等）的采购和接入工作持续推进。</w:t>
      </w:r>
      <w:r>
        <w:rPr>
          <w:rFonts w:ascii="宋体" w:hAnsi="宋体" w:cs="宋体" w:hint="eastAsia"/>
          <w:color w:val="000000"/>
          <w:kern w:val="0"/>
        </w:rPr>
        <w:t>2.</w:t>
      </w:r>
      <w:r>
        <w:rPr>
          <w:rFonts w:ascii="宋体" w:hAnsi="宋体" w:cs="宋体" w:hint="eastAsia"/>
          <w:color w:val="000000"/>
          <w:kern w:val="0"/>
        </w:rPr>
        <w:t>因子研究高维化、分类化、局部化方面，针对二季度极端的市场风格，我们着力提升了因子体系在风格剧变环境下的适应性，通过构造不同结构的低相关子模型来捕捉数据中蕴含的不同侧面信息，基本面的先验知识表达和价量信息的特征工程挖掘均取得一定进展。</w:t>
      </w:r>
      <w:r>
        <w:rPr>
          <w:rFonts w:ascii="宋体" w:hAnsi="宋体" w:cs="宋体" w:hint="eastAsia"/>
          <w:color w:val="000000"/>
          <w:kern w:val="0"/>
        </w:rPr>
        <w:t>3.</w:t>
      </w:r>
      <w:r>
        <w:rPr>
          <w:rFonts w:ascii="宋体" w:hAnsi="宋体" w:cs="宋体" w:hint="eastAsia"/>
          <w:color w:val="000000"/>
          <w:kern w:val="0"/>
        </w:rPr>
        <w:t>高性能高频数据处理及仿真交易平台的建设按计划推进，为逐步提升交易频率做好基础设施准备</w:t>
      </w:r>
      <w:r>
        <w:rPr>
          <w:rFonts w:ascii="宋体" w:hAnsi="宋体" w:cs="宋体" w:hint="eastAsia"/>
          <w:color w:val="000000"/>
          <w:kern w:val="0"/>
        </w:rPr>
        <w:t>。</w:t>
      </w:r>
    </w:p>
    <w:p w:rsidR="00E55014" w:rsidRDefault="00E55014">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E55014" w:rsidRDefault="00E55014">
      <w:pPr>
        <w:spacing w:line="360" w:lineRule="auto"/>
        <w:ind w:firstLineChars="200" w:firstLine="420"/>
        <w:rPr>
          <w:rFonts w:hint="eastAsia"/>
        </w:rPr>
      </w:pPr>
      <w:r>
        <w:rPr>
          <w:rFonts w:ascii="宋体" w:hAnsi="宋体" w:hint="eastAsia"/>
        </w:rPr>
        <w:t>本报告期摩根动态多因子混合</w:t>
      </w:r>
      <w:r>
        <w:rPr>
          <w:rFonts w:ascii="宋体" w:hAnsi="宋体" w:hint="eastAsia"/>
        </w:rPr>
        <w:t>A</w:t>
      </w:r>
      <w:r>
        <w:rPr>
          <w:rFonts w:ascii="宋体" w:hAnsi="宋体" w:hint="eastAsia"/>
        </w:rPr>
        <w:t>份额净值增长率为：</w:t>
      </w:r>
      <w:r>
        <w:rPr>
          <w:rFonts w:ascii="宋体" w:hAnsi="宋体" w:hint="eastAsia"/>
        </w:rPr>
        <w:t>10.72%</w:t>
      </w:r>
      <w:r>
        <w:rPr>
          <w:rFonts w:ascii="宋体" w:hAnsi="宋体" w:hint="eastAsia"/>
        </w:rPr>
        <w:t>，同期业绩比较基准收益率为：</w:t>
      </w:r>
      <w:r>
        <w:rPr>
          <w:rFonts w:ascii="宋体" w:hAnsi="宋体" w:hint="eastAsia"/>
        </w:rPr>
        <w:t>14.06%</w:t>
      </w:r>
      <w:r>
        <w:rPr>
          <w:rFonts w:ascii="宋体" w:hAnsi="宋体" w:hint="eastAsia"/>
        </w:rPr>
        <w:t>；</w:t>
      </w:r>
      <w:r>
        <w:rPr>
          <w:rFonts w:ascii="宋体" w:hAnsi="宋体" w:hint="eastAsia"/>
        </w:rPr>
        <w:br/>
      </w:r>
      <w:r>
        <w:rPr>
          <w:rFonts w:ascii="宋体" w:hAnsi="宋体" w:hint="eastAsia"/>
        </w:rPr>
        <w:t xml:space="preserve">　　摩根动态多因子混合</w:t>
      </w:r>
      <w:r>
        <w:rPr>
          <w:rFonts w:ascii="宋体" w:hAnsi="宋体" w:hint="eastAsia"/>
        </w:rPr>
        <w:t>C</w:t>
      </w:r>
      <w:r>
        <w:rPr>
          <w:rFonts w:ascii="宋体" w:hAnsi="宋体" w:hint="eastAsia"/>
        </w:rPr>
        <w:t>份额净值增长率为：</w:t>
      </w:r>
      <w:r>
        <w:rPr>
          <w:rFonts w:ascii="宋体" w:hAnsi="宋体" w:hint="eastAsia"/>
        </w:rPr>
        <w:t>10.55%</w:t>
      </w:r>
      <w:r>
        <w:rPr>
          <w:rFonts w:ascii="宋体" w:hAnsi="宋体" w:hint="eastAsia"/>
        </w:rPr>
        <w:t>，同期业绩比较基准收益率为：</w:t>
      </w:r>
      <w:r>
        <w:rPr>
          <w:rFonts w:ascii="宋体" w:hAnsi="宋体" w:hint="eastAsia"/>
        </w:rPr>
        <w:t>14.06%</w:t>
      </w:r>
      <w:r>
        <w:rPr>
          <w:rFonts w:ascii="宋体" w:hAnsi="宋体" w:hint="eastAsia"/>
        </w:rPr>
        <w:t>。</w:t>
      </w:r>
    </w:p>
    <w:p w:rsidR="00E55014" w:rsidRDefault="00E55014">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55014" w:rsidRDefault="00E55014">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E55014" w:rsidRDefault="00E55014">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76,625,494.5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89.3</w:t>
            </w:r>
            <w:r>
              <w:rPr>
                <w:rFonts w:ascii="宋体" w:hAnsi="宋体" w:hint="eastAsia"/>
                <w:szCs w:val="24"/>
                <w:lang w:eastAsia="zh-Hans"/>
              </w:rPr>
              <w:t>1</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76,625,494.5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89.3</w:t>
            </w:r>
            <w:r>
              <w:rPr>
                <w:rFonts w:ascii="宋体" w:hAnsi="宋体" w:hint="eastAsia"/>
                <w:szCs w:val="24"/>
                <w:lang w:eastAsia="zh-Hans"/>
              </w:rPr>
              <w:t>1</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7,868,029.3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9.1</w:t>
            </w:r>
            <w:r>
              <w:rPr>
                <w:rFonts w:ascii="宋体" w:hAnsi="宋体" w:hint="eastAsia"/>
                <w:szCs w:val="24"/>
                <w:lang w:eastAsia="zh-Hans"/>
              </w:rPr>
              <w:t>7</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1,300,778.6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1.5</w:t>
            </w:r>
            <w:r>
              <w:rPr>
                <w:rFonts w:ascii="宋体" w:hAnsi="宋体" w:hint="eastAsia"/>
                <w:szCs w:val="24"/>
                <w:lang w:eastAsia="zh-Hans"/>
              </w:rPr>
              <w:t>2</w:t>
            </w:r>
          </w:p>
        </w:tc>
      </w:tr>
      <w:tr w:rsidR="00000000">
        <w:trPr>
          <w:divId w:val="106182461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55014" w:rsidRDefault="00E55014">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55014" w:rsidRDefault="00E5501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85,794,302.6</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E55014" w:rsidRDefault="00E55014">
            <w:pPr>
              <w:jc w:val="right"/>
            </w:pPr>
            <w:r>
              <w:rPr>
                <w:rFonts w:ascii="宋体" w:hAnsi="宋体" w:hint="eastAsia"/>
                <w:szCs w:val="24"/>
                <w:lang w:eastAsia="zh-Hans"/>
              </w:rPr>
              <w:t>100.0</w:t>
            </w:r>
            <w:r>
              <w:rPr>
                <w:rFonts w:ascii="宋体" w:hAnsi="宋体" w:hint="eastAsia"/>
                <w:szCs w:val="24"/>
                <w:lang w:eastAsia="zh-Hans"/>
              </w:rPr>
              <w:t>0</w:t>
            </w:r>
          </w:p>
        </w:tc>
      </w:tr>
    </w:tbl>
    <w:p w:rsidR="00E55014" w:rsidRDefault="00E55014">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E55014" w:rsidRDefault="00E55014">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94511158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55014" w:rsidRDefault="00E55014">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E55014" w:rsidRDefault="00E55014">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443,539.4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0.5</w:t>
            </w:r>
            <w:r>
              <w:rPr>
                <w:rFonts w:ascii="宋体" w:hAnsi="宋体" w:hint="eastAsia"/>
                <w:szCs w:val="24"/>
                <w:lang w:eastAsia="zh-Hans"/>
              </w:rPr>
              <w:t>3</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2,504,686.0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3.0</w:t>
            </w:r>
            <w:r>
              <w:rPr>
                <w:rFonts w:ascii="宋体" w:hAnsi="宋体" w:hint="eastAsia"/>
                <w:szCs w:val="24"/>
                <w:lang w:eastAsia="zh-Hans"/>
              </w:rPr>
              <w:t>1</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54,153,652.0</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65.0</w:t>
            </w:r>
            <w:r>
              <w:rPr>
                <w:rFonts w:ascii="宋体" w:hAnsi="宋体" w:hint="eastAsia"/>
                <w:szCs w:val="24"/>
                <w:lang w:eastAsia="zh-Hans"/>
              </w:rPr>
              <w:t>1</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1,745,141.0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2.0</w:t>
            </w:r>
            <w:r>
              <w:rPr>
                <w:rFonts w:ascii="宋体" w:hAnsi="宋体" w:hint="eastAsia"/>
                <w:szCs w:val="24"/>
                <w:lang w:eastAsia="zh-Hans"/>
              </w:rPr>
              <w:t>9</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1,201,051.0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1.4</w:t>
            </w:r>
            <w:r>
              <w:rPr>
                <w:rFonts w:ascii="宋体" w:hAnsi="宋体" w:hint="eastAsia"/>
                <w:szCs w:val="24"/>
                <w:lang w:eastAsia="zh-Hans"/>
              </w:rPr>
              <w:t>4</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2,092,667.0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2.5</w:t>
            </w:r>
            <w:r>
              <w:rPr>
                <w:rFonts w:ascii="宋体" w:hAnsi="宋体" w:hint="eastAsia"/>
                <w:szCs w:val="24"/>
                <w:lang w:eastAsia="zh-Hans"/>
              </w:rPr>
              <w:t>1</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1,877,767.1</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2.2</w:t>
            </w:r>
            <w:r>
              <w:rPr>
                <w:rFonts w:ascii="宋体" w:hAnsi="宋体" w:hint="eastAsia"/>
                <w:szCs w:val="24"/>
                <w:lang w:eastAsia="zh-Hans"/>
              </w:rPr>
              <w:t>5</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7,117,578.0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8.5</w:t>
            </w:r>
            <w:r>
              <w:rPr>
                <w:rFonts w:ascii="宋体" w:hAnsi="宋体" w:hint="eastAsia"/>
                <w:szCs w:val="24"/>
                <w:lang w:eastAsia="zh-Hans"/>
              </w:rPr>
              <w:t>4</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1,798,983.0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2.1</w:t>
            </w:r>
            <w:r>
              <w:rPr>
                <w:rFonts w:ascii="宋体" w:hAnsi="宋体" w:hint="eastAsia"/>
                <w:szCs w:val="24"/>
                <w:lang w:eastAsia="zh-Hans"/>
              </w:rPr>
              <w:t>6</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1,066,537.0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8</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435,258.0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0.5</w:t>
            </w:r>
            <w:r>
              <w:rPr>
                <w:rFonts w:ascii="宋体" w:hAnsi="宋体" w:hint="eastAsia"/>
                <w:szCs w:val="24"/>
                <w:lang w:eastAsia="zh-Hans"/>
              </w:rPr>
              <w:t>2</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92,901.0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0.1</w:t>
            </w:r>
            <w:r>
              <w:rPr>
                <w:rFonts w:ascii="宋体" w:hAnsi="宋体" w:hint="eastAsia"/>
                <w:szCs w:val="24"/>
                <w:lang w:eastAsia="zh-Hans"/>
              </w:rPr>
              <w:t>1</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1,002,240.0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0</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1,093,494.0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1.3</w:t>
            </w:r>
            <w:r>
              <w:rPr>
                <w:rFonts w:ascii="宋体" w:hAnsi="宋体" w:hint="eastAsia"/>
                <w:szCs w:val="24"/>
                <w:lang w:eastAsia="zh-Hans"/>
              </w:rPr>
              <w:t>1</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w:t>
            </w:r>
          </w:p>
        </w:tc>
      </w:tr>
      <w:tr w:rsidR="00000000">
        <w:trPr>
          <w:divId w:val="194511158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55014" w:rsidRDefault="00E55014">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55014" w:rsidRDefault="00E55014">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55014" w:rsidRDefault="00E55014">
            <w:pPr>
              <w:jc w:val="right"/>
            </w:pPr>
            <w:r>
              <w:rPr>
                <w:rFonts w:ascii="宋体" w:hAnsi="宋体" w:hint="eastAsia"/>
                <w:szCs w:val="24"/>
                <w:lang w:eastAsia="zh-Hans"/>
              </w:rPr>
              <w:t>76,625,494.5</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55014" w:rsidRDefault="00E55014">
            <w:pPr>
              <w:jc w:val="right"/>
            </w:pPr>
            <w:r>
              <w:rPr>
                <w:rFonts w:ascii="宋体" w:hAnsi="宋体" w:hint="eastAsia"/>
                <w:szCs w:val="24"/>
                <w:lang w:eastAsia="zh-Hans"/>
              </w:rPr>
              <w:t>91.9</w:t>
            </w:r>
            <w:r>
              <w:rPr>
                <w:rFonts w:ascii="宋体" w:hAnsi="宋体" w:hint="eastAsia"/>
                <w:szCs w:val="24"/>
                <w:lang w:eastAsia="zh-Hans"/>
              </w:rPr>
              <w:t>8</w:t>
            </w:r>
          </w:p>
        </w:tc>
      </w:tr>
    </w:tbl>
    <w:p w:rsidR="00E55014" w:rsidRDefault="00E55014">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E55014" w:rsidRDefault="00E55014">
      <w:pPr>
        <w:spacing w:line="360" w:lineRule="auto"/>
        <w:ind w:firstLineChars="200" w:firstLine="420"/>
        <w:divId w:val="129898987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55014" w:rsidRDefault="00E55014">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E55014" w:rsidRDefault="00E55014">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549177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60537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博迁新</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6,70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1,817,710.0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2.1</w:t>
            </w:r>
            <w:r>
              <w:rPr>
                <w:rFonts w:ascii="宋体" w:hAnsi="宋体" w:hint="eastAsia"/>
                <w:szCs w:val="24"/>
                <w:lang w:eastAsia="zh-Hans"/>
              </w:rPr>
              <w:t>8</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68811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东芯股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6,90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1,405,530.0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1.6</w:t>
            </w:r>
            <w:r>
              <w:rPr>
                <w:rFonts w:ascii="宋体" w:hAnsi="宋体" w:hint="eastAsia"/>
                <w:szCs w:val="24"/>
                <w:lang w:eastAsia="zh-Hans"/>
              </w:rPr>
              <w:t>9</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30039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飞凯材</w:t>
            </w:r>
            <w:r>
              <w:rPr>
                <w:rFonts w:ascii="宋体" w:hAnsi="宋体" w:hint="eastAsia"/>
                <w:szCs w:val="24"/>
                <w:lang w:eastAsia="zh-Hans"/>
              </w:rPr>
              <w:t>料</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20,70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1,278,225.0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1.5</w:t>
            </w:r>
            <w:r>
              <w:rPr>
                <w:rFonts w:ascii="宋体" w:hAnsi="宋体" w:hint="eastAsia"/>
                <w:szCs w:val="24"/>
                <w:lang w:eastAsia="zh-Hans"/>
              </w:rPr>
              <w:t>3</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60308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剑桥科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4,50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1,146,915.0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1.3</w:t>
            </w:r>
            <w:r>
              <w:rPr>
                <w:rFonts w:ascii="宋体" w:hAnsi="宋体" w:hint="eastAsia"/>
                <w:szCs w:val="24"/>
                <w:lang w:eastAsia="zh-Hans"/>
              </w:rPr>
              <w:t>8</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60511</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新洁</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11,50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1,140,110.0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1.3</w:t>
            </w:r>
            <w:r>
              <w:rPr>
                <w:rFonts w:ascii="宋体" w:hAnsi="宋体" w:hint="eastAsia"/>
                <w:szCs w:val="24"/>
                <w:lang w:eastAsia="zh-Hans"/>
              </w:rPr>
              <w:t>7</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60328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赛腾股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13,70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1,109,426.0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1.3</w:t>
            </w:r>
            <w:r>
              <w:rPr>
                <w:rFonts w:ascii="宋体" w:hAnsi="宋体" w:hint="eastAsia"/>
                <w:szCs w:val="24"/>
                <w:lang w:eastAsia="zh-Hans"/>
              </w:rPr>
              <w:t>3</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60088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新疆众</w:t>
            </w:r>
            <w:r>
              <w:rPr>
                <w:rFonts w:ascii="宋体" w:hAnsi="宋体" w:hint="eastAsia"/>
                <w:szCs w:val="24"/>
                <w:lang w:eastAsia="zh-Hans"/>
              </w:rPr>
              <w:t>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66,20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1,051,918.0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6</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30032</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华灿光</w:t>
            </w:r>
            <w:r>
              <w:rPr>
                <w:rFonts w:ascii="宋体" w:hAnsi="宋体" w:hint="eastAsia"/>
                <w:szCs w:val="24"/>
                <w:lang w:eastAsia="zh-Hans"/>
              </w:rPr>
              <w:t>电</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50,40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1,028,160.0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3</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00264</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万润股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48,40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1,013,980.0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2</w:t>
            </w:r>
          </w:p>
        </w:tc>
      </w:tr>
      <w:tr w:rsidR="00000000">
        <w:trPr>
          <w:divId w:val="454917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60358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szCs w:val="24"/>
                <w:lang w:eastAsia="zh-Hans"/>
              </w:rPr>
              <w:t>高能环</w:t>
            </w:r>
            <w:r>
              <w:rPr>
                <w:rFonts w:ascii="宋体" w:hAnsi="宋体" w:hint="eastAsia"/>
                <w:szCs w:val="24"/>
                <w:lang w:eastAsia="zh-Hans"/>
              </w:rPr>
              <w:t>境</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52,20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1,002,240.0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1.2</w:t>
            </w:r>
            <w:r>
              <w:rPr>
                <w:rFonts w:ascii="宋体" w:hAnsi="宋体" w:hint="eastAsia"/>
                <w:szCs w:val="24"/>
                <w:lang w:eastAsia="zh-Hans"/>
              </w:rPr>
              <w:t>0</w:t>
            </w:r>
          </w:p>
        </w:tc>
      </w:tr>
    </w:tbl>
    <w:p w:rsidR="00E55014" w:rsidRDefault="00E55014">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E55014" w:rsidRDefault="00E55014">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E55014" w:rsidRDefault="00E55014">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55014" w:rsidRDefault="00E55014">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E55014" w:rsidRDefault="00E55014">
      <w:pPr>
        <w:spacing w:line="360" w:lineRule="auto"/>
        <w:ind w:firstLineChars="200" w:firstLine="420"/>
        <w:divId w:val="23023490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55014" w:rsidRDefault="00E55014">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E55014" w:rsidRDefault="00E55014">
      <w:pPr>
        <w:spacing w:line="360" w:lineRule="auto"/>
        <w:ind w:firstLineChars="200" w:firstLine="420"/>
        <w:divId w:val="188659733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55014" w:rsidRDefault="00E55014">
      <w:pPr>
        <w:pStyle w:val="XBRLTitle2"/>
        <w:spacing w:before="156"/>
        <w:ind w:left="454"/>
      </w:pPr>
      <w:bookmarkStart w:id="242" w:name="_Toc17898206"/>
      <w:r>
        <w:rPr>
          <w:rFonts w:hint="eastAsia"/>
        </w:rPr>
        <w:t>报告期末本基金投资的股指期货交易情况说</w:t>
      </w:r>
      <w:r>
        <w:rPr>
          <w:rFonts w:hint="eastAsia"/>
        </w:rPr>
        <w:t>明</w:t>
      </w:r>
      <w:bookmarkEnd w:id="183"/>
      <w:bookmarkEnd w:id="184"/>
      <w:bookmarkEnd w:id="185"/>
      <w:bookmarkEnd w:id="186"/>
      <w:bookmarkEnd w:id="187"/>
      <w:bookmarkEnd w:id="188"/>
      <w:bookmarkEnd w:id="189"/>
      <w:bookmarkEnd w:id="242"/>
    </w:p>
    <w:p w:rsidR="00E55014" w:rsidRDefault="00E55014">
      <w:pPr>
        <w:pStyle w:val="XBRLTitle3"/>
        <w:spacing w:before="156"/>
        <w:ind w:left="0"/>
        <w:rPr>
          <w:rFonts w:hint="eastAsia"/>
        </w:rPr>
      </w:pPr>
      <w:bookmarkStart w:id="243" w:name="_Toc17898207"/>
      <w:r>
        <w:rPr>
          <w:rFonts w:hAnsi="宋体" w:hint="eastAsia"/>
        </w:rPr>
        <w:t>报告期末本基金投资的股指期货持仓和损益明</w:t>
      </w:r>
      <w:r>
        <w:rPr>
          <w:rFonts w:hAnsi="宋体" w:hint="eastAsia"/>
        </w:rPr>
        <w:t>细</w:t>
      </w:r>
      <w:bookmarkEnd w:id="192"/>
      <w:bookmarkEnd w:id="193"/>
      <w:bookmarkEnd w:id="2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1090"/>
        <w:gridCol w:w="1504"/>
        <w:gridCol w:w="1504"/>
        <w:gridCol w:w="1650"/>
        <w:gridCol w:w="2059"/>
      </w:tblGrid>
      <w:tr w:rsidR="00000000">
        <w:trPr>
          <w:divId w:val="2021471185"/>
          <w:trHeight w:val="315"/>
        </w:trPr>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rPr>
                <w:rFonts w:hint="eastAsia"/>
              </w:rPr>
            </w:pPr>
            <w:r>
              <w:rPr>
                <w:rFonts w:ascii="宋体" w:hAnsi="宋体" w:hint="eastAsia"/>
              </w:rPr>
              <w:t>代码</w:t>
            </w:r>
            <w:r>
              <w:rPr>
                <w:rFonts w:ascii="宋体" w:hAnsi="宋体" w:hint="eastAsia"/>
              </w:rPr>
              <w:t xml:space="preserve"> </w:t>
            </w:r>
          </w:p>
        </w:tc>
        <w:tc>
          <w:tcPr>
            <w:tcW w:w="6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名称</w:t>
            </w:r>
            <w:r>
              <w:rPr>
                <w:rFonts w:ascii="宋体" w:hAnsi="宋体" w:hint="eastAsia"/>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持仓量（买</w:t>
            </w:r>
            <w:r>
              <w:rPr>
                <w:rFonts w:ascii="宋体" w:hAnsi="宋体" w:hint="eastAsia"/>
              </w:rPr>
              <w:t>/</w:t>
            </w:r>
            <w:r>
              <w:rPr>
                <w:rFonts w:ascii="宋体" w:hAnsi="宋体" w:hint="eastAsia"/>
              </w:rPr>
              <w:t>卖）</w:t>
            </w:r>
            <w:r>
              <w:rPr>
                <w:rFonts w:ascii="宋体" w:hAnsi="宋体" w:hint="eastAsia"/>
              </w:rPr>
              <w:t xml:space="preserve"> </w:t>
            </w:r>
          </w:p>
        </w:tc>
        <w:tc>
          <w:tcPr>
            <w:tcW w:w="8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合约市值</w:t>
            </w:r>
            <w:r>
              <w:rPr>
                <w:rFonts w:ascii="宋体" w:hAnsi="宋体" w:hint="eastAsia"/>
              </w:rPr>
              <w:t>(</w:t>
            </w:r>
            <w:r>
              <w:rPr>
                <w:rFonts w:ascii="宋体" w:hAnsi="宋体" w:hint="eastAsia"/>
              </w:rPr>
              <w:t>元</w:t>
            </w:r>
            <w:r>
              <w:rPr>
                <w:rFonts w:ascii="宋体" w:hAnsi="宋体" w:hint="eastAsia"/>
              </w:rPr>
              <w:t xml:space="preserve">) </w:t>
            </w:r>
          </w:p>
        </w:tc>
        <w:tc>
          <w:tcPr>
            <w:tcW w:w="9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公允价值变动（元）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风险说明</w:t>
            </w:r>
            <w:r>
              <w:rPr>
                <w:rFonts w:ascii="宋体" w:hAnsi="宋体" w:hint="eastAsia"/>
              </w:rPr>
              <w:t xml:space="preserve"> </w:t>
            </w:r>
          </w:p>
        </w:tc>
      </w:tr>
      <w:tr w:rsidR="00000000">
        <w:trPr>
          <w:divId w:val="2021471185"/>
          <w:trHeight w:val="285"/>
        </w:trPr>
        <w:tc>
          <w:tcPr>
            <w:tcW w:w="5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center"/>
            </w:pPr>
            <w:r>
              <w:rPr>
                <w:rFonts w:ascii="宋体" w:hAnsi="宋体" w:hint="eastAsia"/>
              </w:rPr>
              <w:t>IM260</w:t>
            </w:r>
            <w:r>
              <w:rPr>
                <w:rFonts w:ascii="宋体" w:hAnsi="宋体" w:hint="eastAsia"/>
              </w:rPr>
              <w:t>7</w:t>
            </w:r>
          </w:p>
        </w:tc>
        <w:tc>
          <w:tcPr>
            <w:tcW w:w="6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center"/>
            </w:pPr>
            <w:r>
              <w:rPr>
                <w:rFonts w:ascii="宋体" w:hAnsi="宋体" w:hint="eastAsia"/>
              </w:rPr>
              <w:t>IM260</w:t>
            </w:r>
            <w:r>
              <w:rPr>
                <w:rFonts w:ascii="宋体" w:hAnsi="宋体" w:hint="eastAsia"/>
              </w:rPr>
              <w:t>7</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right"/>
            </w:pPr>
            <w:r>
              <w:rPr>
                <w:rFonts w:ascii="宋体" w:hAnsi="宋体" w:hint="eastAsia"/>
              </w:rPr>
              <w:t>1</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right"/>
            </w:pPr>
            <w:r>
              <w:rPr>
                <w:rFonts w:ascii="宋体" w:hAnsi="宋体" w:hint="eastAsia"/>
              </w:rPr>
              <w:t>1,737,920.0</w:t>
            </w:r>
            <w:r>
              <w:rPr>
                <w:rFonts w:ascii="宋体" w:hAnsi="宋体" w:hint="eastAsia"/>
              </w:rPr>
              <w:t>0</w:t>
            </w:r>
          </w:p>
        </w:tc>
        <w:tc>
          <w:tcPr>
            <w:tcW w:w="9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right"/>
            </w:pPr>
            <w:r>
              <w:rPr>
                <w:rFonts w:ascii="宋体" w:hAnsi="宋体" w:hint="eastAsia"/>
              </w:rPr>
              <w:t>49,080.0</w:t>
            </w:r>
            <w:r>
              <w:rPr>
                <w:rFonts w:ascii="宋体" w:hAnsi="宋体" w:hint="eastAsia"/>
              </w:rPr>
              <w:t>0</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center"/>
            </w:pPr>
            <w:r>
              <w:rPr>
                <w:rFonts w:ascii="宋体" w:hAnsi="宋体" w:hint="eastAsia"/>
              </w:rPr>
              <w:t>-</w:t>
            </w:r>
          </w:p>
        </w:tc>
      </w:tr>
      <w:tr w:rsidR="00000000">
        <w:trPr>
          <w:divId w:val="2021471185"/>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rPr>
              <w:t>公允价值变动总额合计（元）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snapToGrid w:val="0"/>
              <w:jc w:val="right"/>
            </w:pPr>
            <w:r>
              <w:rPr>
                <w:rFonts w:ascii="宋体" w:hAnsi="宋体" w:hint="eastAsia"/>
              </w:rPr>
              <w:t>49,080.0</w:t>
            </w:r>
            <w:r>
              <w:rPr>
                <w:rFonts w:ascii="宋体" w:hAnsi="宋体" w:hint="eastAsia"/>
              </w:rPr>
              <w:t>0</w:t>
            </w:r>
          </w:p>
        </w:tc>
      </w:tr>
      <w:tr w:rsidR="00000000">
        <w:trPr>
          <w:divId w:val="2021471185"/>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rPr>
              <w:t>股指期货投资本期收益（元）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snapToGrid w:val="0"/>
              <w:jc w:val="right"/>
            </w:pPr>
            <w:r>
              <w:rPr>
                <w:rFonts w:ascii="宋体" w:hAnsi="宋体" w:hint="eastAsia"/>
              </w:rPr>
              <w:t>197,294.3</w:t>
            </w:r>
            <w:r>
              <w:rPr>
                <w:rFonts w:ascii="宋体" w:hAnsi="宋体" w:hint="eastAsia"/>
              </w:rPr>
              <w:t>8</w:t>
            </w:r>
          </w:p>
        </w:tc>
      </w:tr>
      <w:tr w:rsidR="00000000">
        <w:trPr>
          <w:divId w:val="2021471185"/>
          <w:trHeight w:val="285"/>
        </w:trPr>
        <w:tc>
          <w:tcPr>
            <w:tcW w:w="3835"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jc w:val="left"/>
            </w:pPr>
            <w:r>
              <w:rPr>
                <w:rFonts w:ascii="宋体" w:hAnsi="宋体" w:hint="eastAsia"/>
              </w:rPr>
              <w:t>股指期货投资本期公允价值变动（元）</w:t>
            </w:r>
            <w:r>
              <w:rPr>
                <w:rFonts w:ascii="宋体" w:hAnsi="宋体" w:hint="eastAsia"/>
              </w:rPr>
              <w:t xml:space="preserve"> </w:t>
            </w:r>
          </w:p>
        </w:tc>
        <w:tc>
          <w:tcPr>
            <w:tcW w:w="11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E55014" w:rsidRDefault="00E55014">
            <w:pPr>
              <w:snapToGrid w:val="0"/>
              <w:jc w:val="right"/>
            </w:pPr>
            <w:r>
              <w:rPr>
                <w:rFonts w:ascii="宋体" w:hAnsi="宋体" w:hint="eastAsia"/>
              </w:rPr>
              <w:t>88,320.0</w:t>
            </w:r>
            <w:r>
              <w:rPr>
                <w:rFonts w:ascii="宋体" w:hAnsi="宋体" w:hint="eastAsia"/>
              </w:rPr>
              <w:t>0</w:t>
            </w:r>
          </w:p>
        </w:tc>
      </w:tr>
    </w:tbl>
    <w:p w:rsidR="00E55014" w:rsidRDefault="00E55014">
      <w:pPr>
        <w:pStyle w:val="XBRLTitle3"/>
        <w:spacing w:before="156"/>
        <w:ind w:left="0"/>
      </w:pPr>
      <w:bookmarkStart w:id="244" w:name="_Toc17898208"/>
      <w:bookmarkStart w:id="245" w:name="_Toc485300377"/>
      <w:bookmarkStart w:id="246" w:name="_Toc497398257"/>
      <w:r>
        <w:rPr>
          <w:rFonts w:hAnsi="宋体" w:hint="eastAsia"/>
        </w:rPr>
        <w:t>本基金投资股指期货的投资政</w:t>
      </w:r>
      <w:r>
        <w:rPr>
          <w:rFonts w:hAnsi="宋体" w:hint="eastAsia"/>
        </w:rPr>
        <w:t>策</w:t>
      </w:r>
      <w:bookmarkEnd w:id="16"/>
      <w:bookmarkEnd w:id="70"/>
      <w:bookmarkEnd w:id="71"/>
      <w:bookmarkEnd w:id="190"/>
      <w:bookmarkEnd w:id="194"/>
      <w:bookmarkEnd w:id="195"/>
      <w:bookmarkEnd w:id="244"/>
      <w:bookmarkEnd w:id="245"/>
      <w:bookmarkEnd w:id="246"/>
    </w:p>
    <w:p w:rsidR="00E55014" w:rsidRDefault="00E55014">
      <w:pPr>
        <w:spacing w:line="360" w:lineRule="auto"/>
        <w:ind w:firstLineChars="200" w:firstLine="420"/>
        <w:rPr>
          <w:rFonts w:hint="eastAsia"/>
        </w:rPr>
      </w:pPr>
      <w:r>
        <w:rPr>
          <w:rFonts w:ascii="宋体" w:hAnsi="宋体" w:hint="eastAsia"/>
        </w:rPr>
        <w:t>本报告期内，基金投资股指期货的目的是为了提升基金的流动性水平，以及在期货贴水时作为现货的替代</w:t>
      </w:r>
      <w:r>
        <w:rPr>
          <w:rFonts w:ascii="宋体" w:hAnsi="宋体" w:hint="eastAsia"/>
        </w:rPr>
        <w:t>。</w:t>
      </w:r>
    </w:p>
    <w:p w:rsidR="00E55014" w:rsidRDefault="00E55014">
      <w:pPr>
        <w:pStyle w:val="XBRLTitle2"/>
        <w:spacing w:before="156" w:line="360" w:lineRule="auto"/>
        <w:ind w:left="454"/>
      </w:pPr>
      <w:bookmarkStart w:id="247" w:name="_Toc17898209"/>
      <w:bookmarkStart w:id="248" w:name="_Toc17897959"/>
      <w:bookmarkStart w:id="249" w:name="_Toc512519510"/>
      <w:bookmarkStart w:id="250" w:name="_Toc481075078"/>
      <w:bookmarkStart w:id="251" w:name="_Toc490050031"/>
      <w:bookmarkStart w:id="252" w:name="_Toc513295868"/>
      <w:bookmarkStart w:id="253" w:name="_Toc513295922"/>
      <w:bookmarkStart w:id="254" w:name="_Toc438646476"/>
      <w:r>
        <w:rPr>
          <w:rFonts w:hAnsi="宋体" w:hint="eastAsia"/>
        </w:rPr>
        <w:t>报告期末本基金投资的国债期货交易情况说</w:t>
      </w:r>
      <w:r>
        <w:rPr>
          <w:rFonts w:hAnsi="宋体" w:hint="eastAsia"/>
        </w:rPr>
        <w:t>明</w:t>
      </w:r>
      <w:bookmarkEnd w:id="247"/>
      <w:bookmarkEnd w:id="248"/>
      <w:bookmarkEnd w:id="249"/>
      <w:bookmarkEnd w:id="250"/>
      <w:bookmarkEnd w:id="251"/>
      <w:bookmarkEnd w:id="252"/>
      <w:bookmarkEnd w:id="253"/>
      <w:r>
        <w:rPr>
          <w:rFonts w:hAnsi="宋体" w:hint="eastAsia"/>
        </w:rPr>
        <w:t xml:space="preserve"> </w:t>
      </w:r>
      <w:bookmarkEnd w:id="254"/>
    </w:p>
    <w:p w:rsidR="00E55014" w:rsidRDefault="00E55014">
      <w:pPr>
        <w:spacing w:line="360" w:lineRule="auto"/>
        <w:ind w:firstLineChars="200" w:firstLine="420"/>
        <w:divId w:val="1811941975"/>
        <w:rPr>
          <w:rFonts w:hint="eastAsia"/>
        </w:rPr>
      </w:pPr>
      <w:bookmarkStart w:id="255" w:name="m510_01_1597"/>
      <w:bookmarkStart w:id="256" w:name="m510_01_1598"/>
      <w:bookmarkEnd w:id="255"/>
      <w:r>
        <w:rPr>
          <w:rFonts w:ascii="宋体" w:hAnsi="宋体" w:hint="eastAsia"/>
          <w:szCs w:val="21"/>
          <w:lang w:eastAsia="zh-Hans"/>
        </w:rPr>
        <w:t>本基金本报告期末未持有国债期货</w:t>
      </w:r>
      <w:r>
        <w:rPr>
          <w:rFonts w:ascii="宋体" w:hAnsi="宋体" w:hint="eastAsia"/>
          <w:szCs w:val="21"/>
          <w:lang w:eastAsia="zh-Hans"/>
        </w:rPr>
        <w:t>。</w:t>
      </w:r>
    </w:p>
    <w:p w:rsidR="00E55014" w:rsidRDefault="00E55014">
      <w:pPr>
        <w:pStyle w:val="XBRLTitle2"/>
        <w:spacing w:before="156" w:line="360" w:lineRule="auto"/>
        <w:ind w:left="454"/>
      </w:pPr>
      <w:bookmarkStart w:id="257" w:name="_Toc17898213"/>
      <w:bookmarkStart w:id="258" w:name="_Toc17897960"/>
      <w:bookmarkStart w:id="259" w:name="_Toc512519514"/>
      <w:bookmarkStart w:id="260" w:name="_Toc481075082"/>
      <w:bookmarkStart w:id="261" w:name="_Toc490050035"/>
      <w:bookmarkStart w:id="262" w:name="_Toc513295869"/>
      <w:bookmarkStart w:id="263" w:name="_Toc513295926"/>
      <w:r>
        <w:rPr>
          <w:rFonts w:hAnsi="宋体" w:hint="eastAsia"/>
        </w:rPr>
        <w:t>投资组合报告附</w:t>
      </w:r>
      <w:r>
        <w:rPr>
          <w:rFonts w:hAnsi="宋体" w:hint="eastAsia"/>
        </w:rPr>
        <w:t>注</w:t>
      </w:r>
      <w:bookmarkEnd w:id="257"/>
      <w:bookmarkEnd w:id="258"/>
      <w:bookmarkEnd w:id="259"/>
      <w:bookmarkEnd w:id="260"/>
      <w:bookmarkEnd w:id="261"/>
      <w:bookmarkEnd w:id="262"/>
      <w:bookmarkEnd w:id="263"/>
      <w:r>
        <w:rPr>
          <w:rFonts w:hAnsi="宋体" w:hint="eastAsia"/>
        </w:rPr>
        <w:t xml:space="preserve"> </w:t>
      </w:r>
    </w:p>
    <w:p w:rsidR="00E55014" w:rsidRDefault="00E55014">
      <w:pPr>
        <w:pStyle w:val="XBRLTitle3"/>
        <w:spacing w:before="156"/>
        <w:ind w:left="0"/>
        <w:rPr>
          <w:rFonts w:hint="eastAsia"/>
        </w:rPr>
      </w:pPr>
      <w:bookmarkStart w:id="264" w:name="_Toc513295927"/>
      <w:bookmarkStart w:id="265" w:name="_Toc490050036"/>
      <w:bookmarkStart w:id="266" w:name="_Toc481075083"/>
      <w:bookmarkStart w:id="267" w:name="_Toc512519515"/>
      <w:bookmarkStart w:id="268" w:name="_Toc17898214"/>
      <w:bookmarkEnd w:id="264"/>
      <w:bookmarkEnd w:id="265"/>
      <w:bookmarkEnd w:id="266"/>
      <w:bookmarkEnd w:id="267"/>
      <w:r>
        <w:rPr>
          <w:rFonts w:hint="eastAsia"/>
        </w:rPr>
        <w:t> </w:t>
      </w:r>
      <w:bookmarkEnd w:id="268"/>
    </w:p>
    <w:p w:rsidR="00E55014" w:rsidRDefault="00E55014">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55014" w:rsidRDefault="00E55014">
      <w:pPr>
        <w:pStyle w:val="XBRLTitle3"/>
        <w:spacing w:before="156"/>
        <w:ind w:left="0"/>
      </w:pPr>
      <w:bookmarkStart w:id="269" w:name="_Toc490050037"/>
      <w:bookmarkStart w:id="270" w:name="_Toc481075084"/>
      <w:bookmarkStart w:id="271" w:name="_Toc512519516"/>
      <w:bookmarkStart w:id="272" w:name="_Toc513295928"/>
      <w:bookmarkStart w:id="273" w:name="_Toc17898215"/>
      <w:bookmarkEnd w:id="269"/>
      <w:bookmarkEnd w:id="270"/>
      <w:bookmarkEnd w:id="271"/>
      <w:r>
        <w:rPr>
          <w:rFonts w:hint="eastAsia"/>
        </w:rPr>
        <w:t> </w:t>
      </w:r>
      <w:bookmarkEnd w:id="272"/>
      <w:bookmarkEnd w:id="273"/>
    </w:p>
    <w:p w:rsidR="00E55014" w:rsidRDefault="00E55014">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55014" w:rsidRDefault="00E55014">
      <w:pPr>
        <w:pStyle w:val="XBRLTitle3"/>
        <w:spacing w:before="156"/>
        <w:ind w:left="0"/>
      </w:pPr>
      <w:bookmarkStart w:id="274" w:name="_Toc17898216"/>
      <w:bookmarkStart w:id="275" w:name="_Toc481075085"/>
      <w:bookmarkStart w:id="276" w:name="_Toc490050038"/>
      <w:bookmarkStart w:id="277" w:name="_Toc512519517"/>
      <w:bookmarkStart w:id="278" w:name="_Toc513295929"/>
      <w:bookmarkStart w:id="279" w:name="m510_02"/>
      <w:bookmarkEnd w:id="256"/>
      <w:r>
        <w:rPr>
          <w:rFonts w:hint="eastAsia"/>
        </w:rPr>
        <w:t>其他资产构</w:t>
      </w:r>
      <w:r>
        <w:rPr>
          <w:rFonts w:hint="eastAsia"/>
        </w:rPr>
        <w:t>成</w:t>
      </w:r>
      <w:bookmarkEnd w:id="274"/>
      <w:bookmarkEnd w:id="275"/>
      <w:bookmarkEnd w:id="276"/>
      <w:bookmarkEnd w:id="277"/>
      <w:bookmarkEnd w:id="2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64889616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55014" w:rsidRDefault="00E55014">
            <w:pPr>
              <w:jc w:val="center"/>
            </w:pPr>
            <w:r>
              <w:rPr>
                <w:rFonts w:ascii="宋体" w:hAnsi="宋体" w:hint="eastAsia"/>
              </w:rPr>
              <w:t>金额（元</w:t>
            </w:r>
            <w:r>
              <w:rPr>
                <w:rFonts w:ascii="宋体" w:hAnsi="宋体" w:hint="eastAsia"/>
              </w:rPr>
              <w:t>）</w:t>
            </w:r>
            <w:r>
              <w:t xml:space="preserve"> </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231,256.9</w:t>
            </w:r>
            <w:r>
              <w:rPr>
                <w:rFonts w:ascii="宋体" w:hAnsi="宋体" w:hint="eastAsia"/>
              </w:rPr>
              <w:t>7</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1,064,749.5</w:t>
            </w:r>
            <w:r>
              <w:rPr>
                <w:rFonts w:ascii="宋体" w:hAnsi="宋体" w:hint="eastAsia"/>
              </w:rPr>
              <w:t>0</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4,772.2</w:t>
            </w:r>
            <w:r>
              <w:rPr>
                <w:rFonts w:ascii="宋体" w:hAnsi="宋体" w:hint="eastAsia"/>
              </w:rPr>
              <w:t>2</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w:t>
            </w:r>
          </w:p>
        </w:tc>
      </w:tr>
      <w:tr w:rsidR="00000000">
        <w:trPr>
          <w:divId w:val="164889616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1,300,778.6</w:t>
            </w:r>
            <w:r>
              <w:rPr>
                <w:rFonts w:ascii="宋体" w:hAnsi="宋体" w:hint="eastAsia"/>
              </w:rPr>
              <w:t>9</w:t>
            </w:r>
          </w:p>
        </w:tc>
      </w:tr>
    </w:tbl>
    <w:p w:rsidR="00E55014" w:rsidRDefault="00E55014">
      <w:pPr>
        <w:pStyle w:val="XBRLTitle3"/>
        <w:spacing w:before="156"/>
        <w:ind w:left="0"/>
      </w:pPr>
      <w:bookmarkStart w:id="280" w:name="_Toc17898217"/>
      <w:bookmarkStart w:id="281" w:name="_Toc481075086"/>
      <w:bookmarkStart w:id="282" w:name="_Toc490050039"/>
      <w:bookmarkStart w:id="283" w:name="_Toc512519518"/>
      <w:bookmarkStart w:id="284" w:name="_Toc513295930"/>
      <w:bookmarkStart w:id="285" w:name="m510_03"/>
      <w:bookmarkEnd w:id="279"/>
      <w:r>
        <w:rPr>
          <w:rFonts w:hint="eastAsia"/>
        </w:rPr>
        <w:t>报告期末持有的处于转股期的可转换债券明</w:t>
      </w:r>
      <w:r>
        <w:rPr>
          <w:rFonts w:hint="eastAsia"/>
        </w:rPr>
        <w:t>细</w:t>
      </w:r>
      <w:bookmarkEnd w:id="280"/>
      <w:bookmarkEnd w:id="281"/>
      <w:bookmarkEnd w:id="282"/>
      <w:bookmarkEnd w:id="283"/>
      <w:bookmarkEnd w:id="284"/>
    </w:p>
    <w:p w:rsidR="00E55014" w:rsidRDefault="00E55014">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55014" w:rsidRDefault="00E55014">
      <w:pPr>
        <w:pStyle w:val="XBRLTitle3"/>
        <w:spacing w:before="156"/>
        <w:ind w:left="0"/>
      </w:pPr>
      <w:bookmarkStart w:id="286" w:name="_Toc17898218"/>
      <w:bookmarkStart w:id="287" w:name="_Toc481075087"/>
      <w:bookmarkStart w:id="288" w:name="_Toc490050040"/>
      <w:bookmarkStart w:id="289" w:name="_Toc512519519"/>
      <w:bookmarkStart w:id="290" w:name="_Toc513295931"/>
      <w:bookmarkStart w:id="291" w:name="m510_04"/>
      <w:bookmarkEnd w:id="285"/>
      <w:r>
        <w:rPr>
          <w:rFonts w:hint="eastAsia"/>
        </w:rPr>
        <w:t>报告期末前十名股票中存在流通受限情况的说</w:t>
      </w:r>
      <w:r>
        <w:rPr>
          <w:rFonts w:hint="eastAsia"/>
        </w:rPr>
        <w:t>明</w:t>
      </w:r>
      <w:bookmarkEnd w:id="286"/>
      <w:bookmarkEnd w:id="287"/>
      <w:bookmarkEnd w:id="288"/>
      <w:bookmarkEnd w:id="289"/>
      <w:bookmarkEnd w:id="290"/>
    </w:p>
    <w:p w:rsidR="00E55014" w:rsidRDefault="00E55014">
      <w:pPr>
        <w:spacing w:line="360" w:lineRule="auto"/>
        <w:ind w:firstLineChars="200" w:firstLine="420"/>
        <w:jc w:val="left"/>
        <w:divId w:val="660043055"/>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E55014" w:rsidRDefault="00E55014">
      <w:pPr>
        <w:pStyle w:val="XBRLTitle3"/>
        <w:spacing w:before="156"/>
        <w:ind w:left="0"/>
      </w:pPr>
      <w:bookmarkStart w:id="292" w:name="_Toc17898219"/>
      <w:bookmarkStart w:id="293" w:name="_Toc512519520"/>
      <w:bookmarkStart w:id="294" w:name="_Toc481075088"/>
      <w:bookmarkStart w:id="295" w:name="_Toc490050041"/>
      <w:bookmarkStart w:id="296" w:name="_Toc513295932"/>
      <w:bookmarkStart w:id="297" w:name="m510_05_1678"/>
      <w:bookmarkEnd w:id="291"/>
      <w:r>
        <w:rPr>
          <w:rFonts w:hint="eastAsia"/>
        </w:rPr>
        <w:t>投资组合报告附注的其他文字描述部</w:t>
      </w:r>
      <w:r>
        <w:rPr>
          <w:rFonts w:hint="eastAsia"/>
        </w:rPr>
        <w:t>分</w:t>
      </w:r>
      <w:bookmarkEnd w:id="292"/>
      <w:bookmarkEnd w:id="293"/>
      <w:bookmarkEnd w:id="294"/>
      <w:bookmarkEnd w:id="295"/>
      <w:bookmarkEnd w:id="296"/>
      <w:r>
        <w:rPr>
          <w:rFonts w:hint="eastAsia"/>
          <w:sz w:val="21"/>
        </w:rPr>
        <w:t xml:space="preserve"> </w:t>
      </w:r>
    </w:p>
    <w:p w:rsidR="00E55014" w:rsidRDefault="00E5501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7"/>
      <w:r>
        <w:rPr>
          <w:rFonts w:ascii="宋体" w:hAnsi="宋体" w:hint="eastAsia"/>
        </w:rPr>
        <w:t xml:space="preserve"> </w:t>
      </w:r>
    </w:p>
    <w:p w:rsidR="00E55014" w:rsidRDefault="00E55014">
      <w:pPr>
        <w:pStyle w:val="XBRLTitle1"/>
        <w:spacing w:before="156" w:line="360" w:lineRule="auto"/>
        <w:ind w:left="425"/>
      </w:pPr>
      <w:bookmarkStart w:id="298" w:name="_Toc17898220"/>
      <w:bookmarkStart w:id="299" w:name="_Toc17897961"/>
      <w:bookmarkStart w:id="300" w:name="_Toc512519521"/>
      <w:bookmarkStart w:id="301" w:name="_Toc481075089"/>
      <w:bookmarkStart w:id="302" w:name="_Toc438646477"/>
      <w:bookmarkStart w:id="303" w:name="_Toc490050042"/>
      <w:bookmarkStart w:id="304" w:name="_Toc513295870"/>
      <w:bookmarkStart w:id="305" w:name="_Toc513295933"/>
      <w:bookmarkStart w:id="306" w:name="m601"/>
      <w:bookmarkEnd w:id="181"/>
      <w:r>
        <w:rPr>
          <w:rFonts w:hAnsi="宋体" w:hint="eastAsia"/>
        </w:rPr>
        <w:t>开放式基金份额变</w:t>
      </w:r>
      <w:r>
        <w:rPr>
          <w:rFonts w:hAnsi="宋体" w:hint="eastAsia"/>
        </w:rPr>
        <w:t>动</w:t>
      </w:r>
      <w:bookmarkStart w:id="307" w:name="m601_tab"/>
      <w:bookmarkEnd w:id="298"/>
      <w:bookmarkEnd w:id="299"/>
      <w:bookmarkEnd w:id="300"/>
      <w:bookmarkEnd w:id="301"/>
      <w:bookmarkEnd w:id="302"/>
      <w:bookmarkEnd w:id="303"/>
      <w:bookmarkEnd w:id="304"/>
      <w:bookmarkEnd w:id="305"/>
      <w:r>
        <w:rPr>
          <w:rFonts w:hAnsi="宋体" w:hint="eastAsia"/>
        </w:rPr>
        <w:t xml:space="preserve"> </w:t>
      </w:r>
    </w:p>
    <w:p w:rsidR="00E55014" w:rsidRDefault="00E55014">
      <w:pPr>
        <w:wordWrap w:val="0"/>
        <w:spacing w:line="360" w:lineRule="auto"/>
        <w:jc w:val="right"/>
        <w:divId w:val="142282437"/>
        <w:rPr>
          <w:rFonts w:hint="eastAsia"/>
        </w:rPr>
      </w:pPr>
      <w:bookmarkStart w:id="30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14228243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bookmarkStart w:id="309" w:name="m10_01" w:colFirst="1" w:colLast="2"/>
            <w:bookmarkEnd w:id="308"/>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ind w:right="3"/>
              <w:jc w:val="center"/>
            </w:pPr>
            <w:r>
              <w:rPr>
                <w:rFonts w:ascii="宋体" w:hAnsi="宋体" w:hint="eastAsia"/>
                <w:lang w:eastAsia="zh-Hans"/>
              </w:rPr>
              <w:t>摩根动态多因子混合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55014" w:rsidRDefault="00E55014">
            <w:pPr>
              <w:ind w:right="3"/>
              <w:jc w:val="center"/>
            </w:pPr>
            <w:r>
              <w:rPr>
                <w:rFonts w:ascii="宋体" w:hAnsi="宋体" w:hint="eastAsia"/>
                <w:lang w:eastAsia="zh-Hans"/>
              </w:rPr>
              <w:t>摩根动态多因子混合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4228243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67,778,157.5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977,588.2</w:t>
            </w:r>
            <w:r>
              <w:rPr>
                <w:rFonts w:ascii="宋体" w:hAnsi="宋体" w:hint="eastAsia"/>
              </w:rPr>
              <w:t>9</w:t>
            </w:r>
          </w:p>
        </w:tc>
      </w:tr>
      <w:tr w:rsidR="00000000">
        <w:trPr>
          <w:divId w:val="14228243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983,417.1</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189,641.9</w:t>
            </w:r>
            <w:r>
              <w:rPr>
                <w:rFonts w:ascii="宋体" w:hAnsi="宋体" w:hint="eastAsia"/>
              </w:rPr>
              <w:t>8</w:t>
            </w:r>
          </w:p>
        </w:tc>
      </w:tr>
      <w:tr w:rsidR="00000000">
        <w:trPr>
          <w:divId w:val="14228243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7,590,234.2</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317,328.6</w:t>
            </w:r>
            <w:r>
              <w:rPr>
                <w:rFonts w:ascii="宋体" w:hAnsi="宋体" w:hint="eastAsia"/>
              </w:rPr>
              <w:t>3</w:t>
            </w:r>
          </w:p>
        </w:tc>
      </w:tr>
      <w:tr w:rsidR="00000000">
        <w:trPr>
          <w:divId w:val="14228243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w:t>
            </w:r>
          </w:p>
        </w:tc>
      </w:tr>
      <w:tr w:rsidR="00000000">
        <w:trPr>
          <w:divId w:val="14228243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61,171,340.4</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55014" w:rsidRDefault="00E55014">
            <w:pPr>
              <w:jc w:val="right"/>
            </w:pPr>
            <w:r>
              <w:rPr>
                <w:rFonts w:ascii="宋体" w:hAnsi="宋体" w:hint="eastAsia"/>
              </w:rPr>
              <w:t>849,901.6</w:t>
            </w:r>
            <w:r>
              <w:rPr>
                <w:rFonts w:ascii="宋体" w:hAnsi="宋体" w:hint="eastAsia"/>
              </w:rPr>
              <w:t>4</w:t>
            </w:r>
          </w:p>
        </w:tc>
      </w:tr>
    </w:tbl>
    <w:p w:rsidR="00E55014" w:rsidRDefault="00E55014">
      <w:pPr>
        <w:spacing w:line="360" w:lineRule="auto"/>
        <w:jc w:val="left"/>
        <w:divId w:val="14228243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9"/>
      <w:r>
        <w:rPr>
          <w:rFonts w:ascii="宋体" w:hAnsi="宋体" w:hint="eastAsia"/>
        </w:rPr>
        <w:t xml:space="preserve"> </w:t>
      </w:r>
    </w:p>
    <w:p w:rsidR="00E55014" w:rsidRDefault="00E55014">
      <w:pPr>
        <w:pStyle w:val="XBRLTitle1"/>
        <w:spacing w:before="156" w:line="360" w:lineRule="auto"/>
        <w:ind w:left="425"/>
      </w:pPr>
      <w:bookmarkStart w:id="310" w:name="_Toc17898221"/>
      <w:bookmarkStart w:id="311" w:name="_Toc17897962"/>
      <w:bookmarkStart w:id="312" w:name="m7manage01"/>
      <w:bookmarkStart w:id="313" w:name="_Toc512519522"/>
      <w:bookmarkStart w:id="314" w:name="_Toc481075090"/>
      <w:bookmarkStart w:id="315" w:name="_Toc438646478"/>
      <w:bookmarkStart w:id="316" w:name="_Toc490050043"/>
      <w:bookmarkStart w:id="317" w:name="_Toc513295871"/>
      <w:bookmarkStart w:id="318" w:name="_Toc513295934"/>
      <w:bookmarkEnd w:id="306"/>
      <w:bookmarkEnd w:id="307"/>
      <w:r>
        <w:rPr>
          <w:rFonts w:hAnsi="宋体" w:hint="eastAsia"/>
        </w:rPr>
        <w:t>基金管理人运用固有资金投资本基金情</w:t>
      </w:r>
      <w:r>
        <w:rPr>
          <w:rFonts w:hAnsi="宋体" w:hint="eastAsia"/>
        </w:rPr>
        <w:t>况</w:t>
      </w:r>
      <w:bookmarkEnd w:id="310"/>
      <w:bookmarkEnd w:id="311"/>
      <w:bookmarkEnd w:id="312"/>
      <w:bookmarkEnd w:id="313"/>
      <w:bookmarkEnd w:id="314"/>
      <w:bookmarkEnd w:id="315"/>
      <w:bookmarkEnd w:id="316"/>
      <w:bookmarkEnd w:id="317"/>
      <w:bookmarkEnd w:id="318"/>
      <w:r>
        <w:rPr>
          <w:rFonts w:hAnsi="宋体" w:hint="eastAsia"/>
        </w:rPr>
        <w:t xml:space="preserve"> </w:t>
      </w:r>
    </w:p>
    <w:p w:rsidR="00E55014" w:rsidRDefault="00E55014">
      <w:pPr>
        <w:pStyle w:val="XBRLTitle2"/>
        <w:spacing w:before="156" w:line="360" w:lineRule="auto"/>
        <w:ind w:left="454"/>
        <w:rPr>
          <w:rFonts w:hint="eastAsia"/>
        </w:rPr>
      </w:pPr>
      <w:bookmarkStart w:id="319" w:name="_Toc17898222"/>
      <w:bookmarkStart w:id="320" w:name="_Toc17897963"/>
      <w:bookmarkStart w:id="321" w:name="_Toc512519523"/>
      <w:bookmarkStart w:id="322" w:name="_Toc481075091"/>
      <w:bookmarkStart w:id="323" w:name="_Toc458599606"/>
      <w:bookmarkStart w:id="324" w:name="_Toc490050044"/>
      <w:bookmarkStart w:id="325" w:name="_Toc513295872"/>
      <w:bookmarkStart w:id="326" w:name="_Toc513295935"/>
      <w:r>
        <w:rPr>
          <w:rFonts w:hAnsi="宋体" w:hint="eastAsia"/>
        </w:rPr>
        <w:t>基金管理人持有本基金份额变动情</w:t>
      </w:r>
      <w:r>
        <w:rPr>
          <w:rFonts w:hAnsi="宋体" w:hint="eastAsia"/>
        </w:rPr>
        <w:t>况</w:t>
      </w:r>
      <w:bookmarkEnd w:id="319"/>
      <w:bookmarkEnd w:id="320"/>
      <w:bookmarkEnd w:id="321"/>
      <w:bookmarkEnd w:id="322"/>
      <w:bookmarkEnd w:id="323"/>
      <w:bookmarkEnd w:id="324"/>
      <w:bookmarkEnd w:id="325"/>
      <w:bookmarkEnd w:id="326"/>
      <w:r>
        <w:rPr>
          <w:rFonts w:hAnsi="宋体" w:hint="eastAsia"/>
          <w:lang w:eastAsia="zh-CN"/>
        </w:rPr>
        <w:t xml:space="preserve"> </w:t>
      </w:r>
    </w:p>
    <w:p w:rsidR="00E55014" w:rsidRDefault="00E55014">
      <w:pPr>
        <w:wordWrap w:val="0"/>
        <w:spacing w:line="360" w:lineRule="auto"/>
        <w:jc w:val="right"/>
        <w:divId w:val="204127279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04127279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lang w:eastAsia="zh-Hans"/>
              </w:rPr>
              <w:t>摩根动态多因子混合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lang w:eastAsia="zh-Hans"/>
              </w:rPr>
              <w:t>摩根动态多因子混合</w:t>
            </w:r>
            <w:r>
              <w:rPr>
                <w:rFonts w:ascii="宋体" w:hAnsi="宋体" w:hint="eastAsia"/>
                <w:lang w:eastAsia="zh-Hans"/>
              </w:rPr>
              <w:t>C</w:t>
            </w:r>
            <w:r>
              <w:rPr>
                <w:rFonts w:ascii="宋体" w:hAnsi="宋体" w:hint="eastAsia"/>
                <w:color w:val="000000"/>
              </w:rPr>
              <w:t xml:space="preserve"> </w:t>
            </w:r>
          </w:p>
        </w:tc>
      </w:tr>
      <w:tr w:rsidR="00000000">
        <w:trPr>
          <w:divId w:val="20412727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rPr>
                <w:rFonts w:hint="eastAsia"/>
              </w:rPr>
            </w:pPr>
            <w:r>
              <w:rPr>
                <w:rFonts w:ascii="宋体" w:hAnsi="宋体" w:hint="eastAsia"/>
                <w:kern w:val="0"/>
                <w:szCs w:val="24"/>
                <w:lang w:eastAsia="zh-Hans"/>
              </w:rPr>
              <w:t>598,563.5</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kern w:val="0"/>
                <w:szCs w:val="24"/>
                <w:lang w:eastAsia="zh-Hans"/>
              </w:rPr>
              <w:t>-</w:t>
            </w:r>
          </w:p>
        </w:tc>
      </w:tr>
      <w:tr w:rsidR="00000000">
        <w:trPr>
          <w:divId w:val="20412727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szCs w:val="24"/>
                <w:lang w:eastAsia="zh-Hans"/>
              </w:rPr>
              <w:t>-</w:t>
            </w:r>
          </w:p>
        </w:tc>
      </w:tr>
      <w:tr w:rsidR="00000000">
        <w:trPr>
          <w:divId w:val="20412727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rPr>
                <w:rFonts w:hint="eastAsia"/>
              </w:rPr>
            </w:pPr>
            <w:r>
              <w:rPr>
                <w:rFonts w:ascii="宋体" w:hAnsi="宋体" w:hint="eastAsia"/>
                <w:lang w:eastAsia="zh-Hans"/>
              </w:rPr>
              <w:t>251,419.0</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lang w:eastAsia="zh-Hans"/>
              </w:rPr>
              <w:t>-</w:t>
            </w:r>
          </w:p>
        </w:tc>
      </w:tr>
      <w:tr w:rsidR="00000000">
        <w:trPr>
          <w:divId w:val="20412727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rPr>
                <w:rFonts w:hint="eastAsia"/>
              </w:rPr>
            </w:pPr>
            <w:r>
              <w:rPr>
                <w:rFonts w:ascii="宋体" w:hAnsi="宋体" w:hint="eastAsia"/>
                <w:lang w:eastAsia="zh-Hans"/>
              </w:rPr>
              <w:t>347,144.5</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lang w:eastAsia="zh-Hans"/>
              </w:rPr>
              <w:t>-</w:t>
            </w:r>
          </w:p>
        </w:tc>
      </w:tr>
      <w:tr w:rsidR="00000000">
        <w:trPr>
          <w:divId w:val="20412727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rPr>
                <w:rFonts w:hint="eastAsia"/>
              </w:rPr>
            </w:pPr>
            <w:r>
              <w:rPr>
                <w:rFonts w:ascii="宋体" w:hAnsi="宋体" w:hint="eastAsia"/>
                <w:lang w:eastAsia="zh-Hans"/>
              </w:rPr>
              <w:t>0.5</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lang w:eastAsia="zh-Hans"/>
              </w:rPr>
              <w:t>-</w:t>
            </w:r>
          </w:p>
        </w:tc>
      </w:tr>
    </w:tbl>
    <w:p w:rsidR="00E55014" w:rsidRDefault="00E55014">
      <w:pPr>
        <w:pStyle w:val="XBRLTitle2"/>
        <w:spacing w:before="156" w:line="360" w:lineRule="auto"/>
        <w:ind w:left="454"/>
      </w:pPr>
      <w:bookmarkStart w:id="327" w:name="_Toc17898223"/>
      <w:bookmarkStart w:id="328" w:name="_Toc17897964"/>
      <w:bookmarkStart w:id="329" w:name="_Toc512519524"/>
      <w:bookmarkStart w:id="330" w:name="_Toc481075092"/>
      <w:bookmarkStart w:id="331" w:name="_Toc458599607"/>
      <w:bookmarkStart w:id="332" w:name="_Toc490050045"/>
      <w:bookmarkStart w:id="333" w:name="_Toc513295873"/>
      <w:bookmarkStart w:id="334" w:name="_Toc513295936"/>
      <w:r>
        <w:rPr>
          <w:rFonts w:hAnsi="宋体" w:hint="eastAsia"/>
        </w:rPr>
        <w:t>基金管理人运用固有资金投资本基金交易明</w:t>
      </w:r>
      <w:r>
        <w:rPr>
          <w:rFonts w:hAnsi="宋体" w:hint="eastAsia"/>
        </w:rPr>
        <w:t>细</w:t>
      </w:r>
      <w:bookmarkEnd w:id="327"/>
      <w:bookmarkEnd w:id="328"/>
      <w:bookmarkEnd w:id="329"/>
      <w:bookmarkEnd w:id="330"/>
      <w:bookmarkEnd w:id="331"/>
      <w:bookmarkEnd w:id="332"/>
      <w:bookmarkEnd w:id="333"/>
      <w:bookmarkEnd w:id="334"/>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812673376"/>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55014" w:rsidRDefault="00E55014">
            <w:pPr>
              <w:jc w:val="center"/>
            </w:pPr>
            <w:r>
              <w:rPr>
                <w:rFonts w:ascii="宋体" w:hAnsi="宋体" w:hint="eastAsia"/>
              </w:rPr>
              <w:t>适用费率</w:t>
            </w:r>
            <w:r>
              <w:rPr>
                <w:rFonts w:ascii="宋体" w:hAnsi="宋体" w:hint="eastAsia"/>
              </w:rPr>
              <w:t xml:space="preserve"> </w:t>
            </w:r>
          </w:p>
        </w:tc>
      </w:tr>
      <w:tr w:rsidR="00000000">
        <w:trPr>
          <w:divId w:val="181267337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-97,593.5</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-128,012.7</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0.3</w:t>
            </w:r>
            <w:r>
              <w:rPr>
                <w:rFonts w:ascii="宋体" w:hAnsi="宋体" w:hint="eastAsia"/>
              </w:rPr>
              <w:t>5</w:t>
            </w:r>
            <w:r>
              <w:t xml:space="preserve">% </w:t>
            </w:r>
          </w:p>
        </w:tc>
      </w:tr>
      <w:tr w:rsidR="00000000">
        <w:trPr>
          <w:divId w:val="181267337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-153,825.5</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-204,393.7</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0.2</w:t>
            </w:r>
            <w:r>
              <w:rPr>
                <w:rFonts w:ascii="宋体" w:hAnsi="宋体" w:hint="eastAsia"/>
              </w:rPr>
              <w:t>0</w:t>
            </w:r>
            <w:r>
              <w:t xml:space="preserve">% </w:t>
            </w:r>
          </w:p>
        </w:tc>
      </w:tr>
      <w:tr w:rsidR="00000000">
        <w:trPr>
          <w:divId w:val="181267337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-251,419.0</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pPr>
              <w:jc w:val="right"/>
            </w:pPr>
            <w:r>
              <w:rPr>
                <w:rFonts w:ascii="宋体" w:hAnsi="宋体" w:hint="eastAsia"/>
              </w:rPr>
              <w:t>-332,406.4</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55014" w:rsidRDefault="00E55014"/>
        </w:tc>
      </w:tr>
    </w:tbl>
    <w:p w:rsidR="00E55014" w:rsidRDefault="00E55014">
      <w:pPr>
        <w:spacing w:line="360" w:lineRule="auto"/>
        <w:jc w:val="left"/>
        <w:divId w:val="1935433890"/>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E55014" w:rsidRDefault="00E55014">
      <w:pPr>
        <w:pStyle w:val="XBRLTitle1"/>
        <w:spacing w:before="156" w:line="360" w:lineRule="auto"/>
        <w:ind w:left="425"/>
      </w:pPr>
      <w:bookmarkStart w:id="335" w:name="_Toc17898225"/>
      <w:bookmarkStart w:id="336" w:name="_Toc17897966"/>
      <w:bookmarkStart w:id="337" w:name="_Toc512519526"/>
      <w:bookmarkStart w:id="338" w:name="_Toc490050046"/>
      <w:bookmarkStart w:id="339" w:name="_Toc481075094"/>
      <w:bookmarkStart w:id="340" w:name="_Toc479856294"/>
      <w:bookmarkStart w:id="341" w:name="_Toc513295875"/>
      <w:bookmarkStart w:id="342" w:name="_Toc513295938"/>
      <w:bookmarkStart w:id="343" w:name="m701"/>
      <w:r>
        <w:rPr>
          <w:rFonts w:hAnsi="宋体" w:hint="eastAsia"/>
        </w:rPr>
        <w:t>影响投资者决策的其他重要信</w:t>
      </w:r>
      <w:r>
        <w:rPr>
          <w:rFonts w:hAnsi="宋体" w:hint="eastAsia"/>
        </w:rPr>
        <w:t>息</w:t>
      </w:r>
      <w:bookmarkEnd w:id="335"/>
      <w:bookmarkEnd w:id="336"/>
      <w:bookmarkEnd w:id="337"/>
      <w:bookmarkEnd w:id="338"/>
      <w:bookmarkEnd w:id="339"/>
      <w:bookmarkEnd w:id="340"/>
      <w:bookmarkEnd w:id="341"/>
      <w:bookmarkEnd w:id="342"/>
      <w:r>
        <w:rPr>
          <w:rFonts w:hAnsi="宋体" w:hint="eastAsia"/>
          <w:lang w:eastAsia="zh-CN"/>
        </w:rPr>
        <w:t xml:space="preserve"> </w:t>
      </w:r>
    </w:p>
    <w:p w:rsidR="00E55014" w:rsidRDefault="00E55014">
      <w:pPr>
        <w:pStyle w:val="XBRLTitle2"/>
        <w:spacing w:before="156" w:line="360" w:lineRule="auto"/>
        <w:ind w:left="454"/>
        <w:rPr>
          <w:rFonts w:hint="eastAsia"/>
        </w:rPr>
      </w:pPr>
      <w:bookmarkStart w:id="344" w:name="_Toc17898226"/>
      <w:bookmarkStart w:id="345" w:name="_Toc17897967"/>
      <w:bookmarkStart w:id="346" w:name="_Toc512519527"/>
      <w:bookmarkStart w:id="347" w:name="_Toc481075095"/>
      <w:bookmarkStart w:id="348" w:name="_Toc490050047"/>
      <w:bookmarkStart w:id="349" w:name="_Toc513295876"/>
      <w:bookmarkStart w:id="350"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4"/>
      <w:bookmarkEnd w:id="345"/>
      <w:bookmarkEnd w:id="346"/>
      <w:bookmarkEnd w:id="347"/>
      <w:bookmarkEnd w:id="348"/>
      <w:bookmarkEnd w:id="349"/>
      <w:bookmarkEnd w:id="350"/>
      <w:r>
        <w:rPr>
          <w:rFonts w:hAnsi="宋体" w:hint="eastAsia"/>
          <w:kern w:val="0"/>
          <w:lang w:eastAsia="zh-CN"/>
        </w:rPr>
        <w:t xml:space="preserve"> </w:t>
      </w:r>
    </w:p>
    <w:bookmarkEnd w:id="22"/>
    <w:bookmarkEnd w:id="42"/>
    <w:bookmarkEnd w:id="43"/>
    <w:p w:rsidR="00E55014" w:rsidRDefault="00E55014">
      <w:pPr>
        <w:spacing w:line="360" w:lineRule="auto"/>
        <w:ind w:firstLineChars="200" w:firstLine="420"/>
        <w:divId w:val="1119838154"/>
        <w:rPr>
          <w:rFonts w:ascii="宋体" w:hAnsi="宋体" w:hint="eastAsia"/>
          <w:szCs w:val="21"/>
          <w:lang w:eastAsia="zh-Hans"/>
        </w:rPr>
      </w:pPr>
      <w:r>
        <w:rPr>
          <w:rFonts w:ascii="宋体" w:hAnsi="宋体" w:hint="eastAsia"/>
          <w:szCs w:val="21"/>
          <w:lang w:eastAsia="zh-Hans"/>
        </w:rPr>
        <w:t>无。</w:t>
      </w:r>
    </w:p>
    <w:p w:rsidR="00E55014" w:rsidRDefault="00E55014">
      <w:pPr>
        <w:pStyle w:val="XBRLTitle1"/>
        <w:spacing w:before="156" w:line="360" w:lineRule="auto"/>
        <w:ind w:left="425"/>
        <w:rPr>
          <w:rFonts w:hint="eastAsia"/>
        </w:rPr>
      </w:pPr>
      <w:bookmarkStart w:id="351" w:name="_Toc17898228"/>
      <w:bookmarkStart w:id="352" w:name="_Toc17897969"/>
      <w:bookmarkStart w:id="353" w:name="_Toc512519529"/>
      <w:bookmarkStart w:id="354" w:name="_Toc490050049"/>
      <w:bookmarkStart w:id="355" w:name="_Toc481075097"/>
      <w:bookmarkStart w:id="356" w:name="_Toc438646481"/>
      <w:bookmarkStart w:id="357" w:name="_Toc513295878"/>
      <w:bookmarkStart w:id="358" w:name="_Toc513295941"/>
      <w:bookmarkEnd w:id="343"/>
      <w:r>
        <w:rPr>
          <w:rFonts w:hAnsi="宋体" w:hint="eastAsia"/>
        </w:rPr>
        <w:t>备查文件目</w:t>
      </w:r>
      <w:r>
        <w:rPr>
          <w:rFonts w:hAnsi="宋体" w:hint="eastAsia"/>
        </w:rPr>
        <w:t>录</w:t>
      </w:r>
      <w:bookmarkEnd w:id="351"/>
      <w:bookmarkEnd w:id="352"/>
      <w:bookmarkEnd w:id="353"/>
      <w:bookmarkEnd w:id="354"/>
      <w:bookmarkEnd w:id="355"/>
      <w:bookmarkEnd w:id="356"/>
      <w:bookmarkEnd w:id="357"/>
      <w:bookmarkEnd w:id="358"/>
      <w:r>
        <w:rPr>
          <w:rFonts w:hAnsi="宋体" w:hint="eastAsia"/>
        </w:rPr>
        <w:t xml:space="preserve"> </w:t>
      </w:r>
    </w:p>
    <w:p w:rsidR="00E55014" w:rsidRDefault="00E55014">
      <w:pPr>
        <w:pStyle w:val="XBRLTitle2"/>
        <w:spacing w:before="156" w:line="360" w:lineRule="auto"/>
        <w:ind w:left="454"/>
        <w:rPr>
          <w:rFonts w:hint="eastAsia"/>
        </w:rPr>
      </w:pPr>
      <w:bookmarkStart w:id="359" w:name="_Toc438646482"/>
      <w:bookmarkStart w:id="360" w:name="_Toc17898229"/>
      <w:bookmarkStart w:id="361" w:name="_Toc17897970"/>
      <w:bookmarkStart w:id="362" w:name="_Toc512519530"/>
      <w:bookmarkStart w:id="363" w:name="_Toc481075098"/>
      <w:bookmarkStart w:id="364" w:name="_Toc490050050"/>
      <w:bookmarkStart w:id="365" w:name="_Toc513295879"/>
      <w:bookmarkStart w:id="366" w:name="_Toc513295942"/>
      <w:bookmarkStart w:id="367" w:name="m801_01_1733"/>
      <w:r>
        <w:rPr>
          <w:rFonts w:hAnsi="宋体" w:hint="eastAsia"/>
        </w:rPr>
        <w:t>备查文件目</w:t>
      </w:r>
      <w:r>
        <w:rPr>
          <w:rFonts w:hAnsi="宋体" w:hint="eastAsia"/>
        </w:rPr>
        <w:t>录</w:t>
      </w:r>
      <w:bookmarkEnd w:id="359"/>
      <w:bookmarkEnd w:id="360"/>
      <w:bookmarkEnd w:id="361"/>
      <w:bookmarkEnd w:id="362"/>
      <w:bookmarkEnd w:id="363"/>
      <w:bookmarkEnd w:id="364"/>
      <w:bookmarkEnd w:id="365"/>
      <w:bookmarkEnd w:id="366"/>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、中国证监会准予本基金设立的文件；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、《摩根动态多因子策略灵活配置混合型证券投资基金基金合同》；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、《摩根动态多因子策略灵活配置混合型证券投资基金托管协议》；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 xml:space="preserve">有限公司开放式基金业务规则》；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、基金管理人业务资格批件、营业执照；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E55014" w:rsidRDefault="00E55014">
      <w:pPr>
        <w:pStyle w:val="XBRLTitle2"/>
        <w:spacing w:before="156" w:line="360" w:lineRule="auto"/>
        <w:ind w:left="454"/>
      </w:pPr>
      <w:bookmarkStart w:id="368" w:name="_Toc438646483"/>
      <w:bookmarkStart w:id="369" w:name="_Toc17898230"/>
      <w:bookmarkStart w:id="370" w:name="_Toc17897971"/>
      <w:bookmarkStart w:id="371" w:name="_Toc512519531"/>
      <w:bookmarkStart w:id="372" w:name="_Toc481075099"/>
      <w:bookmarkStart w:id="373" w:name="_Toc490050051"/>
      <w:bookmarkStart w:id="374" w:name="_Toc513295880"/>
      <w:bookmarkStart w:id="375" w:name="_Toc513295943"/>
      <w:bookmarkStart w:id="376" w:name="m801_01_1734"/>
      <w:bookmarkEnd w:id="367"/>
      <w:r>
        <w:rPr>
          <w:rFonts w:hAnsi="宋体" w:hint="eastAsia"/>
        </w:rPr>
        <w:t>存放地</w:t>
      </w:r>
      <w:r>
        <w:rPr>
          <w:rFonts w:hAnsi="宋体" w:hint="eastAsia"/>
        </w:rPr>
        <w:t>点</w:t>
      </w:r>
      <w:bookmarkEnd w:id="368"/>
      <w:bookmarkEnd w:id="369"/>
      <w:bookmarkEnd w:id="370"/>
      <w:bookmarkEnd w:id="371"/>
      <w:bookmarkEnd w:id="372"/>
      <w:bookmarkEnd w:id="373"/>
      <w:bookmarkEnd w:id="374"/>
      <w:bookmarkEnd w:id="375"/>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55014" w:rsidRDefault="00E55014">
      <w:pPr>
        <w:pStyle w:val="XBRLTitle2"/>
        <w:spacing w:before="156" w:line="360" w:lineRule="auto"/>
        <w:ind w:left="454"/>
      </w:pPr>
      <w:bookmarkStart w:id="377" w:name="_Toc438646484"/>
      <w:bookmarkStart w:id="378" w:name="_Toc17898231"/>
      <w:bookmarkStart w:id="379" w:name="_Toc17897972"/>
      <w:bookmarkStart w:id="380" w:name="_Toc512519532"/>
      <w:bookmarkStart w:id="381" w:name="_Toc481075100"/>
      <w:bookmarkStart w:id="382" w:name="_Toc490050052"/>
      <w:bookmarkStart w:id="383" w:name="_Toc513295881"/>
      <w:bookmarkStart w:id="384" w:name="_Toc513295944"/>
      <w:bookmarkStart w:id="385" w:name="m801_01_1735"/>
      <w:bookmarkEnd w:id="376"/>
      <w:r>
        <w:rPr>
          <w:rFonts w:hAnsi="宋体" w:hint="eastAsia"/>
        </w:rPr>
        <w:t>查阅方</w:t>
      </w:r>
      <w:r>
        <w:rPr>
          <w:rFonts w:hAnsi="宋体" w:hint="eastAsia"/>
        </w:rPr>
        <w:t>式</w:t>
      </w:r>
      <w:bookmarkEnd w:id="377"/>
      <w:bookmarkEnd w:id="378"/>
      <w:bookmarkEnd w:id="379"/>
      <w:bookmarkEnd w:id="380"/>
      <w:bookmarkEnd w:id="381"/>
      <w:bookmarkEnd w:id="382"/>
      <w:bookmarkEnd w:id="383"/>
      <w:bookmarkEnd w:id="384"/>
      <w:r>
        <w:rPr>
          <w:rFonts w:hAnsi="宋体" w:hint="eastAsia"/>
        </w:rPr>
        <w:t xml:space="preserve"> </w:t>
      </w:r>
    </w:p>
    <w:p w:rsidR="00E55014" w:rsidRDefault="00E5501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5"/>
    <w:p w:rsidR="00E55014" w:rsidRDefault="00E5501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55014" w:rsidRDefault="00E5501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55014" w:rsidRDefault="00E55014">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55014" w:rsidRDefault="00E5501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E55014">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014" w:rsidRDefault="00E55014">
      <w:pPr>
        <w:rPr>
          <w:szCs w:val="21"/>
        </w:rPr>
      </w:pPr>
      <w:r>
        <w:rPr>
          <w:szCs w:val="21"/>
        </w:rPr>
        <w:separator/>
      </w:r>
      <w:r>
        <w:rPr>
          <w:szCs w:val="21"/>
        </w:rPr>
        <w:t xml:space="preserve"> </w:t>
      </w:r>
    </w:p>
  </w:endnote>
  <w:endnote w:type="continuationSeparator" w:id="0">
    <w:p w:rsidR="00E55014" w:rsidRDefault="00E5501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014" w:rsidRDefault="00E55014">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014" w:rsidRDefault="00E55014">
      <w:pPr>
        <w:rPr>
          <w:szCs w:val="21"/>
        </w:rPr>
      </w:pPr>
      <w:r>
        <w:rPr>
          <w:szCs w:val="21"/>
        </w:rPr>
        <w:separator/>
      </w:r>
      <w:r>
        <w:rPr>
          <w:szCs w:val="21"/>
        </w:rPr>
        <w:t xml:space="preserve"> </w:t>
      </w:r>
    </w:p>
  </w:footnote>
  <w:footnote w:type="continuationSeparator" w:id="0">
    <w:p w:rsidR="00E55014" w:rsidRDefault="00E5501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014" w:rsidRDefault="00E55014">
    <w:pPr>
      <w:pStyle w:val="a8"/>
      <w:jc w:val="right"/>
    </w:pPr>
    <w:r>
      <w:rPr>
        <w:rFonts w:ascii="宋体" w:hAnsi="宋体" w:hint="eastAsia"/>
      </w:rPr>
      <w:t>摩根动态多因子策略灵活配置混合型证券投资基金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96538366">
    <w:abstractNumId w:val="0"/>
  </w:num>
  <w:num w:numId="2" w16cid:durableId="1446926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167C"/>
    <w:rsid w:val="0011167C"/>
    <w:rsid w:val="009E3E39"/>
    <w:rsid w:val="00E55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1777">
      <w:marLeft w:val="0"/>
      <w:marRight w:val="0"/>
      <w:marTop w:val="0"/>
      <w:marBottom w:val="0"/>
      <w:divBdr>
        <w:top w:val="none" w:sz="0" w:space="0" w:color="auto"/>
        <w:left w:val="none" w:sz="0" w:space="0" w:color="auto"/>
        <w:bottom w:val="none" w:sz="0" w:space="0" w:color="auto"/>
        <w:right w:val="none" w:sz="0" w:space="0" w:color="auto"/>
      </w:divBdr>
    </w:div>
    <w:div w:id="142282437">
      <w:marLeft w:val="0"/>
      <w:marRight w:val="0"/>
      <w:marTop w:val="0"/>
      <w:marBottom w:val="0"/>
      <w:divBdr>
        <w:top w:val="none" w:sz="0" w:space="0" w:color="auto"/>
        <w:left w:val="none" w:sz="0" w:space="0" w:color="auto"/>
        <w:bottom w:val="none" w:sz="0" w:space="0" w:color="auto"/>
        <w:right w:val="none" w:sz="0" w:space="0" w:color="auto"/>
      </w:divBdr>
    </w:div>
    <w:div w:id="183593071">
      <w:marLeft w:val="0"/>
      <w:marRight w:val="0"/>
      <w:marTop w:val="0"/>
      <w:marBottom w:val="0"/>
      <w:divBdr>
        <w:top w:val="none" w:sz="0" w:space="0" w:color="auto"/>
        <w:left w:val="none" w:sz="0" w:space="0" w:color="auto"/>
        <w:bottom w:val="none" w:sz="0" w:space="0" w:color="auto"/>
        <w:right w:val="none" w:sz="0" w:space="0" w:color="auto"/>
      </w:divBdr>
    </w:div>
    <w:div w:id="230234900">
      <w:marLeft w:val="0"/>
      <w:marRight w:val="0"/>
      <w:marTop w:val="0"/>
      <w:marBottom w:val="0"/>
      <w:divBdr>
        <w:top w:val="none" w:sz="0" w:space="0" w:color="auto"/>
        <w:left w:val="none" w:sz="0" w:space="0" w:color="auto"/>
        <w:bottom w:val="none" w:sz="0" w:space="0" w:color="auto"/>
        <w:right w:val="none" w:sz="0" w:space="0" w:color="auto"/>
      </w:divBdr>
    </w:div>
    <w:div w:id="311369417">
      <w:marLeft w:val="0"/>
      <w:marRight w:val="0"/>
      <w:marTop w:val="0"/>
      <w:marBottom w:val="0"/>
      <w:divBdr>
        <w:top w:val="none" w:sz="0" w:space="0" w:color="auto"/>
        <w:left w:val="none" w:sz="0" w:space="0" w:color="auto"/>
        <w:bottom w:val="none" w:sz="0" w:space="0" w:color="auto"/>
        <w:right w:val="none" w:sz="0" w:space="0" w:color="auto"/>
      </w:divBdr>
    </w:div>
    <w:div w:id="525607951">
      <w:marLeft w:val="0"/>
      <w:marRight w:val="0"/>
      <w:marTop w:val="0"/>
      <w:marBottom w:val="0"/>
      <w:divBdr>
        <w:top w:val="none" w:sz="0" w:space="0" w:color="auto"/>
        <w:left w:val="none" w:sz="0" w:space="0" w:color="auto"/>
        <w:bottom w:val="none" w:sz="0" w:space="0" w:color="auto"/>
        <w:right w:val="none" w:sz="0" w:space="0" w:color="auto"/>
      </w:divBdr>
      <w:divsChild>
        <w:div w:id="506335644">
          <w:marLeft w:val="0"/>
          <w:marRight w:val="0"/>
          <w:marTop w:val="0"/>
          <w:marBottom w:val="0"/>
          <w:divBdr>
            <w:top w:val="none" w:sz="0" w:space="0" w:color="auto"/>
            <w:left w:val="none" w:sz="0" w:space="0" w:color="auto"/>
            <w:bottom w:val="none" w:sz="0" w:space="0" w:color="auto"/>
            <w:right w:val="none" w:sz="0" w:space="0" w:color="auto"/>
          </w:divBdr>
        </w:div>
      </w:divsChild>
    </w:div>
    <w:div w:id="660043055">
      <w:marLeft w:val="0"/>
      <w:marRight w:val="0"/>
      <w:marTop w:val="0"/>
      <w:marBottom w:val="0"/>
      <w:divBdr>
        <w:top w:val="none" w:sz="0" w:space="0" w:color="auto"/>
        <w:left w:val="none" w:sz="0" w:space="0" w:color="auto"/>
        <w:bottom w:val="none" w:sz="0" w:space="0" w:color="auto"/>
        <w:right w:val="none" w:sz="0" w:space="0" w:color="auto"/>
      </w:divBdr>
    </w:div>
    <w:div w:id="1119838154">
      <w:marLeft w:val="0"/>
      <w:marRight w:val="0"/>
      <w:marTop w:val="0"/>
      <w:marBottom w:val="0"/>
      <w:divBdr>
        <w:top w:val="none" w:sz="0" w:space="0" w:color="auto"/>
        <w:left w:val="none" w:sz="0" w:space="0" w:color="auto"/>
        <w:bottom w:val="none" w:sz="0" w:space="0" w:color="auto"/>
        <w:right w:val="none" w:sz="0" w:space="0" w:color="auto"/>
      </w:divBdr>
    </w:div>
    <w:div w:id="1203132086">
      <w:marLeft w:val="0"/>
      <w:marRight w:val="0"/>
      <w:marTop w:val="0"/>
      <w:marBottom w:val="0"/>
      <w:divBdr>
        <w:top w:val="none" w:sz="0" w:space="0" w:color="auto"/>
        <w:left w:val="none" w:sz="0" w:space="0" w:color="auto"/>
        <w:bottom w:val="none" w:sz="0" w:space="0" w:color="auto"/>
        <w:right w:val="none" w:sz="0" w:space="0" w:color="auto"/>
      </w:divBdr>
      <w:divsChild>
        <w:div w:id="2041272798">
          <w:marLeft w:val="0"/>
          <w:marRight w:val="0"/>
          <w:marTop w:val="0"/>
          <w:marBottom w:val="0"/>
          <w:divBdr>
            <w:top w:val="none" w:sz="0" w:space="0" w:color="auto"/>
            <w:left w:val="none" w:sz="0" w:space="0" w:color="auto"/>
            <w:bottom w:val="none" w:sz="0" w:space="0" w:color="auto"/>
            <w:right w:val="none" w:sz="0" w:space="0" w:color="auto"/>
          </w:divBdr>
        </w:div>
      </w:divsChild>
    </w:div>
    <w:div w:id="1266839533">
      <w:marLeft w:val="0"/>
      <w:marRight w:val="0"/>
      <w:marTop w:val="0"/>
      <w:marBottom w:val="0"/>
      <w:divBdr>
        <w:top w:val="none" w:sz="0" w:space="0" w:color="auto"/>
        <w:left w:val="none" w:sz="0" w:space="0" w:color="auto"/>
        <w:bottom w:val="none" w:sz="0" w:space="0" w:color="auto"/>
        <w:right w:val="none" w:sz="0" w:space="0" w:color="auto"/>
      </w:divBdr>
      <w:divsChild>
        <w:div w:id="1061824613">
          <w:marLeft w:val="0"/>
          <w:marRight w:val="0"/>
          <w:marTop w:val="0"/>
          <w:marBottom w:val="0"/>
          <w:divBdr>
            <w:top w:val="none" w:sz="0" w:space="0" w:color="auto"/>
            <w:left w:val="none" w:sz="0" w:space="0" w:color="auto"/>
            <w:bottom w:val="none" w:sz="0" w:space="0" w:color="auto"/>
            <w:right w:val="none" w:sz="0" w:space="0" w:color="auto"/>
          </w:divBdr>
        </w:div>
      </w:divsChild>
    </w:div>
    <w:div w:id="1298989873">
      <w:marLeft w:val="0"/>
      <w:marRight w:val="0"/>
      <w:marTop w:val="0"/>
      <w:marBottom w:val="0"/>
      <w:divBdr>
        <w:top w:val="none" w:sz="0" w:space="0" w:color="auto"/>
        <w:left w:val="none" w:sz="0" w:space="0" w:color="auto"/>
        <w:bottom w:val="none" w:sz="0" w:space="0" w:color="auto"/>
        <w:right w:val="none" w:sz="0" w:space="0" w:color="auto"/>
      </w:divBdr>
    </w:div>
    <w:div w:id="1370955288">
      <w:marLeft w:val="0"/>
      <w:marRight w:val="0"/>
      <w:marTop w:val="0"/>
      <w:marBottom w:val="0"/>
      <w:divBdr>
        <w:top w:val="none" w:sz="0" w:space="0" w:color="auto"/>
        <w:left w:val="none" w:sz="0" w:space="0" w:color="auto"/>
        <w:bottom w:val="none" w:sz="0" w:space="0" w:color="auto"/>
        <w:right w:val="none" w:sz="0" w:space="0" w:color="auto"/>
      </w:divBdr>
    </w:div>
    <w:div w:id="1519543058">
      <w:marLeft w:val="0"/>
      <w:marRight w:val="0"/>
      <w:marTop w:val="0"/>
      <w:marBottom w:val="0"/>
      <w:divBdr>
        <w:top w:val="none" w:sz="0" w:space="0" w:color="auto"/>
        <w:left w:val="none" w:sz="0" w:space="0" w:color="auto"/>
        <w:bottom w:val="none" w:sz="0" w:space="0" w:color="auto"/>
        <w:right w:val="none" w:sz="0" w:space="0" w:color="auto"/>
      </w:divBdr>
      <w:divsChild>
        <w:div w:id="1945111582">
          <w:marLeft w:val="0"/>
          <w:marRight w:val="0"/>
          <w:marTop w:val="0"/>
          <w:marBottom w:val="0"/>
          <w:divBdr>
            <w:top w:val="none" w:sz="0" w:space="0" w:color="auto"/>
            <w:left w:val="none" w:sz="0" w:space="0" w:color="auto"/>
            <w:bottom w:val="none" w:sz="0" w:space="0" w:color="auto"/>
            <w:right w:val="none" w:sz="0" w:space="0" w:color="auto"/>
          </w:divBdr>
        </w:div>
      </w:divsChild>
    </w:div>
    <w:div w:id="1734238319">
      <w:marLeft w:val="0"/>
      <w:marRight w:val="0"/>
      <w:marTop w:val="0"/>
      <w:marBottom w:val="0"/>
      <w:divBdr>
        <w:top w:val="none" w:sz="0" w:space="0" w:color="auto"/>
        <w:left w:val="none" w:sz="0" w:space="0" w:color="auto"/>
        <w:bottom w:val="none" w:sz="0" w:space="0" w:color="auto"/>
        <w:right w:val="none" w:sz="0" w:space="0" w:color="auto"/>
      </w:divBdr>
      <w:divsChild>
        <w:div w:id="1648896169">
          <w:marLeft w:val="0"/>
          <w:marRight w:val="0"/>
          <w:marTop w:val="0"/>
          <w:marBottom w:val="0"/>
          <w:divBdr>
            <w:top w:val="none" w:sz="0" w:space="0" w:color="auto"/>
            <w:left w:val="none" w:sz="0" w:space="0" w:color="auto"/>
            <w:bottom w:val="none" w:sz="0" w:space="0" w:color="auto"/>
            <w:right w:val="none" w:sz="0" w:space="0" w:color="auto"/>
          </w:divBdr>
        </w:div>
      </w:divsChild>
    </w:div>
    <w:div w:id="1779256171">
      <w:marLeft w:val="0"/>
      <w:marRight w:val="0"/>
      <w:marTop w:val="0"/>
      <w:marBottom w:val="0"/>
      <w:divBdr>
        <w:top w:val="none" w:sz="0" w:space="0" w:color="auto"/>
        <w:left w:val="none" w:sz="0" w:space="0" w:color="auto"/>
        <w:bottom w:val="none" w:sz="0" w:space="0" w:color="auto"/>
        <w:right w:val="none" w:sz="0" w:space="0" w:color="auto"/>
      </w:divBdr>
      <w:divsChild>
        <w:div w:id="277177674">
          <w:marLeft w:val="0"/>
          <w:marRight w:val="0"/>
          <w:marTop w:val="0"/>
          <w:marBottom w:val="0"/>
          <w:divBdr>
            <w:top w:val="none" w:sz="0" w:space="0" w:color="auto"/>
            <w:left w:val="none" w:sz="0" w:space="0" w:color="auto"/>
            <w:bottom w:val="none" w:sz="0" w:space="0" w:color="auto"/>
            <w:right w:val="none" w:sz="0" w:space="0" w:color="auto"/>
          </w:divBdr>
        </w:div>
      </w:divsChild>
    </w:div>
    <w:div w:id="1811941975">
      <w:marLeft w:val="0"/>
      <w:marRight w:val="0"/>
      <w:marTop w:val="0"/>
      <w:marBottom w:val="0"/>
      <w:divBdr>
        <w:top w:val="none" w:sz="0" w:space="0" w:color="auto"/>
        <w:left w:val="none" w:sz="0" w:space="0" w:color="auto"/>
        <w:bottom w:val="none" w:sz="0" w:space="0" w:color="auto"/>
        <w:right w:val="none" w:sz="0" w:space="0" w:color="auto"/>
      </w:divBdr>
    </w:div>
    <w:div w:id="1873806105">
      <w:marLeft w:val="0"/>
      <w:marRight w:val="0"/>
      <w:marTop w:val="0"/>
      <w:marBottom w:val="0"/>
      <w:divBdr>
        <w:top w:val="none" w:sz="0" w:space="0" w:color="auto"/>
        <w:left w:val="none" w:sz="0" w:space="0" w:color="auto"/>
        <w:bottom w:val="none" w:sz="0" w:space="0" w:color="auto"/>
        <w:right w:val="none" w:sz="0" w:space="0" w:color="auto"/>
      </w:divBdr>
      <w:divsChild>
        <w:div w:id="2021471185">
          <w:marLeft w:val="0"/>
          <w:marRight w:val="0"/>
          <w:marTop w:val="0"/>
          <w:marBottom w:val="0"/>
          <w:divBdr>
            <w:top w:val="none" w:sz="0" w:space="0" w:color="auto"/>
            <w:left w:val="none" w:sz="0" w:space="0" w:color="auto"/>
            <w:bottom w:val="none" w:sz="0" w:space="0" w:color="auto"/>
            <w:right w:val="none" w:sz="0" w:space="0" w:color="auto"/>
          </w:divBdr>
        </w:div>
      </w:divsChild>
    </w:div>
    <w:div w:id="1886597338">
      <w:marLeft w:val="0"/>
      <w:marRight w:val="0"/>
      <w:marTop w:val="0"/>
      <w:marBottom w:val="0"/>
      <w:divBdr>
        <w:top w:val="none" w:sz="0" w:space="0" w:color="auto"/>
        <w:left w:val="none" w:sz="0" w:space="0" w:color="auto"/>
        <w:bottom w:val="none" w:sz="0" w:space="0" w:color="auto"/>
        <w:right w:val="none" w:sz="0" w:space="0" w:color="auto"/>
      </w:divBdr>
    </w:div>
    <w:div w:id="1935433890">
      <w:marLeft w:val="0"/>
      <w:marRight w:val="0"/>
      <w:marTop w:val="0"/>
      <w:marBottom w:val="0"/>
      <w:divBdr>
        <w:top w:val="none" w:sz="0" w:space="0" w:color="auto"/>
        <w:left w:val="none" w:sz="0" w:space="0" w:color="auto"/>
        <w:bottom w:val="none" w:sz="0" w:space="0" w:color="auto"/>
        <w:right w:val="none" w:sz="0" w:space="0" w:color="auto"/>
      </w:divBdr>
      <w:divsChild>
        <w:div w:id="1812673376">
          <w:marLeft w:val="0"/>
          <w:marRight w:val="0"/>
          <w:marTop w:val="0"/>
          <w:marBottom w:val="0"/>
          <w:divBdr>
            <w:top w:val="none" w:sz="0" w:space="0" w:color="auto"/>
            <w:left w:val="none" w:sz="0" w:space="0" w:color="auto"/>
            <w:bottom w:val="none" w:sz="0" w:space="0" w:color="auto"/>
            <w:right w:val="none" w:sz="0" w:space="0" w:color="auto"/>
          </w:divBdr>
        </w:div>
      </w:divsChild>
    </w:div>
    <w:div w:id="1943024621">
      <w:marLeft w:val="0"/>
      <w:marRight w:val="0"/>
      <w:marTop w:val="0"/>
      <w:marBottom w:val="0"/>
      <w:divBdr>
        <w:top w:val="none" w:sz="0" w:space="0" w:color="auto"/>
        <w:left w:val="none" w:sz="0" w:space="0" w:color="auto"/>
        <w:bottom w:val="none" w:sz="0" w:space="0" w:color="auto"/>
        <w:right w:val="none" w:sz="0" w:space="0" w:color="auto"/>
      </w:divBdr>
      <w:divsChild>
        <w:div w:id="1973830160">
          <w:marLeft w:val="0"/>
          <w:marRight w:val="0"/>
          <w:marTop w:val="0"/>
          <w:marBottom w:val="0"/>
          <w:divBdr>
            <w:top w:val="none" w:sz="0" w:space="0" w:color="auto"/>
            <w:left w:val="none" w:sz="0" w:space="0" w:color="auto"/>
            <w:bottom w:val="none" w:sz="0" w:space="0" w:color="auto"/>
            <w:right w:val="none" w:sz="0" w:space="0" w:color="auto"/>
          </w:divBdr>
        </w:div>
        <w:div w:id="201615115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1327</Words>
  <Characters>7568</Characters>
  <Application>Microsoft Office Word</Application>
  <DocSecurity>4</DocSecurity>
  <Lines>63</Lines>
  <Paragraphs>17</Paragraphs>
  <ScaleCrop>false</ScaleCrop>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