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bookmarkStart w:id="0" w:name="_GoBack"/>
      <w:bookmarkEnd w:id="0"/>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上投摩根智慧互联股票型证券投资基金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年第</w:t>
      </w:r>
      <w:r w:rsidRPr="00FF6B9A">
        <w:rPr>
          <w:rFonts w:eastAsiaTheme="minorEastAsia"/>
          <w:b/>
          <w:color w:val="000000" w:themeColor="text1"/>
          <w:sz w:val="36"/>
          <w:szCs w:val="36"/>
        </w:rPr>
        <w:t>1</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2022</w:t>
      </w:r>
      <w:r w:rsidRPr="00FF6B9A">
        <w:rPr>
          <w:rFonts w:eastAsiaTheme="minorEastAsia"/>
          <w:b/>
          <w:color w:val="000000" w:themeColor="text1"/>
          <w:sz w:val="36"/>
          <w:szCs w:val="36"/>
        </w:rPr>
        <w:t>年</w:t>
      </w:r>
      <w:r w:rsidRPr="00FF6B9A">
        <w:rPr>
          <w:rFonts w:eastAsiaTheme="minorEastAsia"/>
          <w:b/>
          <w:color w:val="000000" w:themeColor="text1"/>
          <w:sz w:val="36"/>
          <w:szCs w:val="36"/>
        </w:rPr>
        <w:t>3</w:t>
      </w:r>
      <w:r w:rsidRPr="00FF6B9A">
        <w:rPr>
          <w:rFonts w:eastAsiaTheme="minorEastAsia"/>
          <w:b/>
          <w:color w:val="000000" w:themeColor="text1"/>
          <w:sz w:val="36"/>
          <w:szCs w:val="36"/>
        </w:rPr>
        <w:t>月</w:t>
      </w:r>
      <w:r w:rsidRPr="00FF6B9A">
        <w:rPr>
          <w:rFonts w:eastAsiaTheme="minorEastAsia"/>
          <w:b/>
          <w:color w:val="000000" w:themeColor="text1"/>
          <w:sz w:val="36"/>
          <w:szCs w:val="36"/>
        </w:rPr>
        <w:t>31</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基金托管人：中国工商银行股份有限公司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报告送出日期：二〇二二年四月二十二日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902591" w:rsidRDefault="00A745AA">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902591" w:rsidRDefault="00A745AA">
      <w:pPr>
        <w:spacing w:line="360" w:lineRule="auto"/>
        <w:ind w:firstLineChars="200" w:firstLine="420"/>
        <w:rPr>
          <w:rFonts w:eastAsiaTheme="minorEastAsia"/>
          <w:color w:val="000000" w:themeColor="text1"/>
        </w:rPr>
      </w:pPr>
      <w:r>
        <w:rPr>
          <w:rFonts w:eastAsiaTheme="minorEastAsia"/>
          <w:color w:val="000000" w:themeColor="text1"/>
        </w:rPr>
        <w:t>基金托管人中国工商银行股份有限公司根据本基金合同规定，于</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w:t>
      </w:r>
      <w:r>
        <w:rPr>
          <w:rFonts w:eastAsiaTheme="minorEastAsia"/>
          <w:color w:val="000000" w:themeColor="text1"/>
        </w:rPr>
        <w:t>21</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902591" w:rsidRDefault="00A745AA">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902591" w:rsidRDefault="00A745AA">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902591" w:rsidRDefault="00A745AA">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1</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3</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上投摩根智慧互联股票</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001313</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001313</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2015</w:t>
            </w:r>
            <w:r w:rsidRPr="00FF6B9A">
              <w:rPr>
                <w:rFonts w:eastAsiaTheme="minorEastAsia"/>
                <w:color w:val="000000" w:themeColor="text1"/>
                <w:kern w:val="0"/>
              </w:rPr>
              <w:t>年</w:t>
            </w:r>
            <w:r w:rsidRPr="00FF6B9A">
              <w:rPr>
                <w:rFonts w:eastAsiaTheme="minorEastAsia"/>
                <w:color w:val="000000" w:themeColor="text1"/>
                <w:kern w:val="0"/>
              </w:rPr>
              <w:t>6</w:t>
            </w:r>
            <w:r w:rsidRPr="00FF6B9A">
              <w:rPr>
                <w:rFonts w:eastAsiaTheme="minorEastAsia"/>
                <w:color w:val="000000" w:themeColor="text1"/>
                <w:kern w:val="0"/>
              </w:rPr>
              <w:t>月</w:t>
            </w:r>
            <w:r w:rsidRPr="00FF6B9A">
              <w:rPr>
                <w:rFonts w:eastAsiaTheme="minorEastAsia"/>
                <w:color w:val="000000" w:themeColor="text1"/>
                <w:kern w:val="0"/>
              </w:rPr>
              <w:t>9</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500,990,462.40</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采用定量及定性研究方法，自下而上优选互联网主题上市公司，通过严格的风险控制，力争实现基金资产的长期增值。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902591" w:rsidRDefault="00A745AA">
            <w:pPr>
              <w:adjustRightInd w:val="0"/>
              <w:spacing w:before="29" w:line="360" w:lineRule="auto"/>
              <w:ind w:left="17"/>
              <w:rPr>
                <w:rFonts w:eastAsiaTheme="minorEastAsia"/>
                <w:color w:val="000000" w:themeColor="text1"/>
              </w:rPr>
            </w:pPr>
            <w:r>
              <w:rPr>
                <w:rFonts w:eastAsiaTheme="minorEastAsia"/>
                <w:color w:val="000000" w:themeColor="text1"/>
                <w:kern w:val="0"/>
              </w:rPr>
              <w:t>本基金将专注于互联网主题投资，对其相关行业的发展进行密切跟踪，充分把握互联网概念企业的投资机会。</w:t>
            </w:r>
          </w:p>
          <w:p w:rsidR="00902591" w:rsidRDefault="00A745AA">
            <w:pPr>
              <w:adjustRightInd w:val="0"/>
              <w:spacing w:before="29" w:line="360" w:lineRule="auto"/>
              <w:ind w:left="17"/>
              <w:rPr>
                <w:rFonts w:eastAsiaTheme="minorEastAsia"/>
                <w:color w:val="000000" w:themeColor="text1"/>
              </w:rPr>
            </w:pPr>
            <w:r>
              <w:rPr>
                <w:rFonts w:eastAsiaTheme="minorEastAsia"/>
                <w:color w:val="000000" w:themeColor="text1"/>
                <w:kern w:val="0"/>
              </w:rPr>
              <w:t>在资产配置层面，本基金将根据各类证券的风险收益特征的相对变化，适度的调整确定基金资产在股票、债券及现</w:t>
            </w:r>
            <w:r>
              <w:rPr>
                <w:rFonts w:eastAsiaTheme="minorEastAsia"/>
                <w:color w:val="000000" w:themeColor="text1"/>
                <w:kern w:val="0"/>
              </w:rPr>
              <w:lastRenderedPageBreak/>
              <w:t>金等类别资产间的分配比例，动态优化投资组合。</w:t>
            </w:r>
          </w:p>
          <w:p w:rsidR="00902591" w:rsidRDefault="00A745AA">
            <w:pPr>
              <w:adjustRightInd w:val="0"/>
              <w:spacing w:before="29" w:line="360" w:lineRule="auto"/>
              <w:ind w:left="17"/>
              <w:rPr>
                <w:rFonts w:eastAsiaTheme="minorEastAsia"/>
                <w:color w:val="000000" w:themeColor="text1"/>
              </w:rPr>
            </w:pPr>
            <w:r>
              <w:rPr>
                <w:rFonts w:eastAsiaTheme="minorEastAsia"/>
                <w:color w:val="000000" w:themeColor="text1"/>
                <w:kern w:val="0"/>
              </w:rPr>
              <w:t>在个股选择层面，本基金主要采取</w:t>
            </w:r>
            <w:r>
              <w:rPr>
                <w:rFonts w:eastAsiaTheme="minorEastAsia"/>
                <w:color w:val="000000" w:themeColor="text1"/>
                <w:kern w:val="0"/>
              </w:rPr>
              <w:t>“</w:t>
            </w:r>
            <w:r>
              <w:rPr>
                <w:rFonts w:eastAsiaTheme="minorEastAsia"/>
                <w:color w:val="000000" w:themeColor="text1"/>
                <w:kern w:val="0"/>
              </w:rPr>
              <w:t>自下而上</w:t>
            </w:r>
            <w:r>
              <w:rPr>
                <w:rFonts w:eastAsiaTheme="minorEastAsia"/>
                <w:color w:val="000000" w:themeColor="text1"/>
                <w:kern w:val="0"/>
              </w:rPr>
              <w:t>”</w:t>
            </w:r>
            <w:r>
              <w:rPr>
                <w:rFonts w:eastAsiaTheme="minorEastAsia"/>
                <w:color w:val="000000" w:themeColor="text1"/>
                <w:kern w:val="0"/>
              </w:rPr>
              <w:t>的选股策略，基于对互联网主题相关的上市公司盈利水平、成长性和估值水平的综合考量，使用定性与定量相结合的方法精选股票进行投资。</w:t>
            </w:r>
          </w:p>
          <w:p w:rsidR="00902591" w:rsidRDefault="00A745AA">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902591" w:rsidRDefault="00A745AA">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rPr>
              <w:t>GDP</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增速、固定资产投资增速、净出口增速、通胀率、货币供应、利率等宏观指标的变化趋势，结合股票、债券等各类资产风险收益特征，确定合适的资产配置比例。本基金将根据各类证券的风险收</w:t>
            </w:r>
            <w:r>
              <w:rPr>
                <w:rFonts w:eastAsiaTheme="minorEastAsia"/>
                <w:color w:val="000000" w:themeColor="text1"/>
                <w:kern w:val="0"/>
              </w:rPr>
              <w:t>益特征的相对变化，适度的调整确定基金资产在股票、债券及现金等类别资产间的分配比例，动态优化投资组合。</w:t>
            </w:r>
          </w:p>
          <w:p w:rsidR="00902591" w:rsidRDefault="00A745AA">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902591" w:rsidRDefault="00A745AA">
            <w:pPr>
              <w:adjustRightInd w:val="0"/>
              <w:spacing w:before="29" w:line="360" w:lineRule="auto"/>
              <w:ind w:left="17"/>
              <w:rPr>
                <w:rFonts w:eastAsiaTheme="minorEastAsia"/>
                <w:color w:val="000000" w:themeColor="text1"/>
              </w:rPr>
            </w:pPr>
            <w:r>
              <w:rPr>
                <w:rFonts w:eastAsiaTheme="minorEastAsia"/>
                <w:color w:val="000000" w:themeColor="text1"/>
                <w:kern w:val="0"/>
              </w:rPr>
              <w:t>当前互联网概念不仅仅包含传统意义上的计算机、通讯等行业，而是体现在社会发展的方方面面，互联网的运用在创造新型商业模式、传统产业升级等方面发挥越来越重要的作用，融合了互联网平台与技术的传统企业将会以领先者的角色占领市场。同时，互联网作为知识密集型、低能耗、高附加值的代表，符合未来大力发展低碳经济的政策趋势，将成为推动经济发展的重要力量之一。</w:t>
            </w:r>
          </w:p>
          <w:p w:rsidR="00902591" w:rsidRDefault="00A745AA">
            <w:pPr>
              <w:adjustRightInd w:val="0"/>
              <w:spacing w:before="29" w:line="360" w:lineRule="auto"/>
              <w:ind w:left="17"/>
              <w:rPr>
                <w:rFonts w:eastAsiaTheme="minorEastAsia"/>
                <w:color w:val="000000" w:themeColor="text1"/>
              </w:rPr>
            </w:pPr>
            <w:r>
              <w:rPr>
                <w:rFonts w:eastAsiaTheme="minorEastAsia"/>
                <w:color w:val="000000" w:themeColor="text1"/>
                <w:kern w:val="0"/>
              </w:rPr>
              <w:t>本基金将专注于互联网主题投资，对其相关行业的发展进</w:t>
            </w:r>
            <w:r>
              <w:rPr>
                <w:rFonts w:eastAsiaTheme="minorEastAsia"/>
                <w:color w:val="000000" w:themeColor="text1"/>
                <w:kern w:val="0"/>
              </w:rPr>
              <w:t>行密切跟踪，充分把握互联网概念企业的投资机会，发掘与互联主题相关的上市公司中商业模式独特、竞争优势明显，具有长期持续增长模式、估值水平相对合理的优质上市公司，分享企业成长及变革带来的资本增值。</w:t>
            </w:r>
          </w:p>
          <w:p w:rsidR="00902591" w:rsidRDefault="00A745AA">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、固定收益类投资策略</w:t>
            </w:r>
          </w:p>
          <w:p w:rsidR="00902591" w:rsidRDefault="00A745AA">
            <w:pPr>
              <w:adjustRightInd w:val="0"/>
              <w:spacing w:before="29" w:line="360" w:lineRule="auto"/>
              <w:ind w:left="17"/>
              <w:rPr>
                <w:rFonts w:eastAsiaTheme="minorEastAsia"/>
                <w:color w:val="000000" w:themeColor="text1"/>
              </w:rPr>
            </w:pPr>
            <w:r>
              <w:rPr>
                <w:rFonts w:eastAsiaTheme="minorEastAsia"/>
                <w:color w:val="000000" w:themeColor="text1"/>
                <w:kern w:val="0"/>
              </w:rPr>
              <w:lastRenderedPageBreak/>
              <w:t>对于固定收益类资产的选择，本基金将以价值分析为主线，在综合研究的基础上实施积极主动的组合管理，并主要通过类属配置与债券选择两个层次进行投资管理。</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4</w:t>
            </w:r>
            <w:r w:rsidRPr="00FF6B9A">
              <w:rPr>
                <w:rFonts w:eastAsiaTheme="minorEastAsia"/>
                <w:color w:val="000000" w:themeColor="text1"/>
                <w:kern w:val="0"/>
              </w:rPr>
              <w:t>、其他投资策略：包括可转换债券投资策略、中小企业私募债投资策略、股指期货投资策略、资产支持证券投资策略、股票期权投资策略、存托凭证投资策略等。</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lastRenderedPageBreak/>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中证</w:t>
            </w:r>
            <w:r w:rsidRPr="00FF6B9A">
              <w:rPr>
                <w:rFonts w:eastAsiaTheme="minorEastAsia"/>
                <w:color w:val="000000" w:themeColor="text1"/>
                <w:kern w:val="0"/>
              </w:rPr>
              <w:t>800</w:t>
            </w:r>
            <w:r w:rsidRPr="00FF6B9A">
              <w:rPr>
                <w:rFonts w:eastAsiaTheme="minorEastAsia"/>
                <w:color w:val="000000" w:themeColor="text1"/>
                <w:kern w:val="0"/>
              </w:rPr>
              <w:t>指数收益率</w:t>
            </w:r>
            <w:r w:rsidRPr="00FF6B9A">
              <w:rPr>
                <w:rFonts w:eastAsiaTheme="minorEastAsia"/>
                <w:color w:val="000000" w:themeColor="text1"/>
                <w:kern w:val="0"/>
              </w:rPr>
              <w:t>×85%+</w:t>
            </w:r>
            <w:r w:rsidRPr="00FF6B9A">
              <w:rPr>
                <w:rFonts w:eastAsiaTheme="minorEastAsia"/>
                <w:color w:val="000000" w:themeColor="text1"/>
                <w:kern w:val="0"/>
              </w:rPr>
              <w:t>中债总指数收益率</w:t>
            </w:r>
            <w:r w:rsidRPr="00FF6B9A">
              <w:rPr>
                <w:rFonts w:eastAsiaTheme="minorEastAsia"/>
                <w:color w:val="000000" w:themeColor="text1"/>
                <w:kern w:val="0"/>
              </w:rPr>
              <w:t>×15%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902591" w:rsidRDefault="00A745AA">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本基金属于股票型基金产品，预期风险和收益水平高于混合型基金、债券型基金和货币市场基金，属于较高风险收益水平的基金产品。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中国工商银行股份有限公司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A745AA" w:rsidRPr="00FF6B9A" w:rsidTr="00A745AA">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1</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-2022</w:t>
            </w:r>
            <w:r w:rsidRPr="00FF6B9A">
              <w:rPr>
                <w:rFonts w:eastAsiaTheme="minorEastAsia"/>
                <w:color w:val="000000" w:themeColor="text1"/>
              </w:rPr>
              <w:t>年</w:t>
            </w:r>
            <w:r w:rsidRPr="00FF6B9A">
              <w:rPr>
                <w:rFonts w:eastAsiaTheme="minorEastAsia"/>
                <w:color w:val="000000" w:themeColor="text1"/>
              </w:rPr>
              <w:t>3</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w:t>
            </w:r>
            <w:r w:rsidRPr="00FF6B9A">
              <w:rPr>
                <w:rFonts w:eastAsiaTheme="minorEastAsia"/>
                <w:color w:val="000000" w:themeColor="text1"/>
              </w:rPr>
              <w:t>)</w:t>
            </w:r>
          </w:p>
        </w:tc>
      </w:tr>
      <w:tr w:rsidR="00A745AA" w:rsidRPr="00FF6B9A" w:rsidTr="00A745AA">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-40,934,593.00</w:t>
            </w:r>
          </w:p>
        </w:tc>
      </w:tr>
      <w:tr w:rsidR="00A745AA" w:rsidRPr="00FF6B9A" w:rsidTr="00A745AA">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-125,608,846.13</w:t>
            </w:r>
          </w:p>
        </w:tc>
      </w:tr>
      <w:tr w:rsidR="00A745AA" w:rsidRPr="00FF6B9A" w:rsidTr="00A745AA">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-0.2501</w:t>
            </w:r>
          </w:p>
        </w:tc>
      </w:tr>
      <w:tr w:rsidR="00A745AA" w:rsidRPr="00FF6B9A" w:rsidTr="00A745AA">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515,883,443.96</w:t>
            </w:r>
          </w:p>
        </w:tc>
      </w:tr>
      <w:tr w:rsidR="00A745AA" w:rsidRPr="00FF6B9A" w:rsidTr="00A745AA">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lastRenderedPageBreak/>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1.0297</w:t>
            </w:r>
          </w:p>
        </w:tc>
      </w:tr>
    </w:tbl>
    <w:p w:rsidR="00902591" w:rsidRDefault="00A745AA">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902591">
        <w:tc>
          <w:tcPr>
            <w:tcW w:w="1395" w:type="dxa"/>
            <w:vAlign w:val="center"/>
          </w:tcPr>
          <w:p w:rsidR="00902591" w:rsidRDefault="00A745AA">
            <w:pPr>
              <w:jc w:val="left"/>
            </w:pPr>
            <w:r>
              <w:rPr>
                <w:rFonts w:eastAsiaTheme="minorEastAsia"/>
                <w:color w:val="000000" w:themeColor="text1"/>
                <w:kern w:val="0"/>
              </w:rPr>
              <w:t>过去三个月</w:t>
            </w:r>
          </w:p>
        </w:tc>
        <w:tc>
          <w:tcPr>
            <w:tcW w:w="1092" w:type="dxa"/>
            <w:vAlign w:val="center"/>
          </w:tcPr>
          <w:p w:rsidR="00902591" w:rsidRDefault="00A745AA">
            <w:pPr>
              <w:jc w:val="center"/>
            </w:pPr>
            <w:r>
              <w:rPr>
                <w:rFonts w:eastAsiaTheme="minorEastAsia"/>
                <w:color w:val="000000" w:themeColor="text1"/>
                <w:kern w:val="0"/>
              </w:rPr>
              <w:t>-19.54%</w:t>
            </w:r>
          </w:p>
        </w:tc>
        <w:tc>
          <w:tcPr>
            <w:tcW w:w="1161" w:type="dxa"/>
            <w:vAlign w:val="center"/>
          </w:tcPr>
          <w:p w:rsidR="00902591" w:rsidRDefault="00A745AA">
            <w:pPr>
              <w:jc w:val="center"/>
            </w:pPr>
            <w:r>
              <w:rPr>
                <w:rFonts w:eastAsiaTheme="minorEastAsia"/>
                <w:color w:val="000000" w:themeColor="text1"/>
                <w:kern w:val="0"/>
              </w:rPr>
              <w:t>1.94%</w:t>
            </w:r>
          </w:p>
        </w:tc>
        <w:tc>
          <w:tcPr>
            <w:tcW w:w="1181" w:type="dxa"/>
            <w:vAlign w:val="center"/>
          </w:tcPr>
          <w:p w:rsidR="00902591" w:rsidRDefault="00A745AA">
            <w:pPr>
              <w:jc w:val="center"/>
            </w:pPr>
            <w:r>
              <w:rPr>
                <w:rFonts w:eastAsiaTheme="minorEastAsia"/>
                <w:color w:val="000000" w:themeColor="text1"/>
                <w:kern w:val="0"/>
              </w:rPr>
              <w:t>-12.30%</w:t>
            </w:r>
          </w:p>
        </w:tc>
        <w:tc>
          <w:tcPr>
            <w:tcW w:w="1188" w:type="dxa"/>
            <w:vAlign w:val="center"/>
          </w:tcPr>
          <w:p w:rsidR="00902591" w:rsidRDefault="00A745AA">
            <w:pPr>
              <w:jc w:val="center"/>
            </w:pPr>
            <w:r>
              <w:rPr>
                <w:rFonts w:eastAsiaTheme="minorEastAsia"/>
                <w:color w:val="000000" w:themeColor="text1"/>
                <w:kern w:val="0"/>
              </w:rPr>
              <w:t>1.23%</w:t>
            </w:r>
          </w:p>
        </w:tc>
        <w:tc>
          <w:tcPr>
            <w:tcW w:w="1199" w:type="dxa"/>
            <w:vAlign w:val="center"/>
          </w:tcPr>
          <w:p w:rsidR="00902591" w:rsidRDefault="00A745AA">
            <w:pPr>
              <w:jc w:val="center"/>
            </w:pPr>
            <w:r>
              <w:rPr>
                <w:rFonts w:eastAsiaTheme="minorEastAsia"/>
                <w:color w:val="000000" w:themeColor="text1"/>
                <w:kern w:val="0"/>
              </w:rPr>
              <w:t>-7.24%</w:t>
            </w:r>
          </w:p>
        </w:tc>
        <w:tc>
          <w:tcPr>
            <w:tcW w:w="1204" w:type="dxa"/>
            <w:vAlign w:val="center"/>
          </w:tcPr>
          <w:p w:rsidR="00902591" w:rsidRDefault="00A745AA">
            <w:pPr>
              <w:jc w:val="center"/>
            </w:pPr>
            <w:r>
              <w:rPr>
                <w:rFonts w:eastAsiaTheme="minorEastAsia"/>
                <w:color w:val="000000" w:themeColor="text1"/>
                <w:kern w:val="0"/>
              </w:rPr>
              <w:t>0.71%</w:t>
            </w:r>
          </w:p>
        </w:tc>
      </w:tr>
      <w:tr w:rsidR="00902591">
        <w:tc>
          <w:tcPr>
            <w:tcW w:w="1395" w:type="dxa"/>
            <w:vAlign w:val="center"/>
          </w:tcPr>
          <w:p w:rsidR="00902591" w:rsidRDefault="00A745AA">
            <w:pPr>
              <w:jc w:val="left"/>
            </w:pPr>
            <w:r>
              <w:rPr>
                <w:rFonts w:eastAsiaTheme="minorEastAsia"/>
                <w:color w:val="000000" w:themeColor="text1"/>
                <w:kern w:val="0"/>
              </w:rPr>
              <w:t>过去六个月</w:t>
            </w:r>
          </w:p>
        </w:tc>
        <w:tc>
          <w:tcPr>
            <w:tcW w:w="1092" w:type="dxa"/>
            <w:vAlign w:val="center"/>
          </w:tcPr>
          <w:p w:rsidR="00902591" w:rsidRDefault="00A745AA">
            <w:pPr>
              <w:jc w:val="center"/>
            </w:pPr>
            <w:r>
              <w:rPr>
                <w:rFonts w:eastAsiaTheme="minorEastAsia"/>
                <w:color w:val="000000" w:themeColor="text1"/>
                <w:kern w:val="0"/>
              </w:rPr>
              <w:t>-23.29%</w:t>
            </w:r>
          </w:p>
        </w:tc>
        <w:tc>
          <w:tcPr>
            <w:tcW w:w="1161" w:type="dxa"/>
            <w:vAlign w:val="center"/>
          </w:tcPr>
          <w:p w:rsidR="00902591" w:rsidRDefault="00A745AA">
            <w:pPr>
              <w:jc w:val="center"/>
            </w:pPr>
            <w:r>
              <w:rPr>
                <w:rFonts w:eastAsiaTheme="minorEastAsia"/>
                <w:color w:val="000000" w:themeColor="text1"/>
                <w:kern w:val="0"/>
              </w:rPr>
              <w:t>1.70%</w:t>
            </w:r>
          </w:p>
        </w:tc>
        <w:tc>
          <w:tcPr>
            <w:tcW w:w="1181" w:type="dxa"/>
            <w:vAlign w:val="center"/>
          </w:tcPr>
          <w:p w:rsidR="00902591" w:rsidRDefault="00A745AA">
            <w:pPr>
              <w:jc w:val="center"/>
            </w:pPr>
            <w:r>
              <w:rPr>
                <w:rFonts w:eastAsiaTheme="minorEastAsia"/>
                <w:color w:val="000000" w:themeColor="text1"/>
                <w:kern w:val="0"/>
              </w:rPr>
              <w:t>-10.72%</w:t>
            </w:r>
          </w:p>
        </w:tc>
        <w:tc>
          <w:tcPr>
            <w:tcW w:w="1188" w:type="dxa"/>
            <w:vAlign w:val="center"/>
          </w:tcPr>
          <w:p w:rsidR="00902591" w:rsidRDefault="00A745AA">
            <w:pPr>
              <w:jc w:val="center"/>
            </w:pPr>
            <w:r>
              <w:rPr>
                <w:rFonts w:eastAsiaTheme="minorEastAsia"/>
                <w:color w:val="000000" w:themeColor="text1"/>
                <w:kern w:val="0"/>
              </w:rPr>
              <w:t>0.97%</w:t>
            </w:r>
          </w:p>
        </w:tc>
        <w:tc>
          <w:tcPr>
            <w:tcW w:w="1199" w:type="dxa"/>
            <w:vAlign w:val="center"/>
          </w:tcPr>
          <w:p w:rsidR="00902591" w:rsidRDefault="00A745AA">
            <w:pPr>
              <w:jc w:val="center"/>
            </w:pPr>
            <w:r>
              <w:rPr>
                <w:rFonts w:eastAsiaTheme="minorEastAsia"/>
                <w:color w:val="000000" w:themeColor="text1"/>
                <w:kern w:val="0"/>
              </w:rPr>
              <w:t>-12.57%</w:t>
            </w:r>
          </w:p>
        </w:tc>
        <w:tc>
          <w:tcPr>
            <w:tcW w:w="1204" w:type="dxa"/>
            <w:vAlign w:val="center"/>
          </w:tcPr>
          <w:p w:rsidR="00902591" w:rsidRDefault="00A745AA">
            <w:pPr>
              <w:jc w:val="center"/>
            </w:pPr>
            <w:r>
              <w:rPr>
                <w:rFonts w:eastAsiaTheme="minorEastAsia"/>
                <w:color w:val="000000" w:themeColor="text1"/>
                <w:kern w:val="0"/>
              </w:rPr>
              <w:t>0.73%</w:t>
            </w:r>
          </w:p>
        </w:tc>
      </w:tr>
      <w:tr w:rsidR="00902591">
        <w:tc>
          <w:tcPr>
            <w:tcW w:w="1395" w:type="dxa"/>
            <w:vAlign w:val="center"/>
          </w:tcPr>
          <w:p w:rsidR="00902591" w:rsidRDefault="00A745AA">
            <w:pPr>
              <w:jc w:val="left"/>
            </w:pPr>
            <w:r>
              <w:rPr>
                <w:rFonts w:eastAsiaTheme="minorEastAsia"/>
                <w:color w:val="000000" w:themeColor="text1"/>
                <w:kern w:val="0"/>
              </w:rPr>
              <w:t>过去一年</w:t>
            </w:r>
          </w:p>
        </w:tc>
        <w:tc>
          <w:tcPr>
            <w:tcW w:w="1092" w:type="dxa"/>
            <w:vAlign w:val="center"/>
          </w:tcPr>
          <w:p w:rsidR="00902591" w:rsidRDefault="00A745AA">
            <w:pPr>
              <w:jc w:val="center"/>
            </w:pPr>
            <w:r>
              <w:rPr>
                <w:rFonts w:eastAsiaTheme="minorEastAsia"/>
                <w:color w:val="000000" w:themeColor="text1"/>
                <w:kern w:val="0"/>
              </w:rPr>
              <w:t>-16.89%</w:t>
            </w:r>
          </w:p>
        </w:tc>
        <w:tc>
          <w:tcPr>
            <w:tcW w:w="1161" w:type="dxa"/>
            <w:vAlign w:val="center"/>
          </w:tcPr>
          <w:p w:rsidR="00902591" w:rsidRDefault="00A745AA">
            <w:pPr>
              <w:jc w:val="center"/>
            </w:pPr>
            <w:r>
              <w:rPr>
                <w:rFonts w:eastAsiaTheme="minorEastAsia"/>
                <w:color w:val="000000" w:themeColor="text1"/>
                <w:kern w:val="0"/>
              </w:rPr>
              <w:t>1.82%</w:t>
            </w:r>
          </w:p>
        </w:tc>
        <w:tc>
          <w:tcPr>
            <w:tcW w:w="1181" w:type="dxa"/>
            <w:vAlign w:val="center"/>
          </w:tcPr>
          <w:p w:rsidR="00902591" w:rsidRDefault="00A745AA">
            <w:pPr>
              <w:jc w:val="center"/>
            </w:pPr>
            <w:r>
              <w:rPr>
                <w:rFonts w:eastAsiaTheme="minorEastAsia"/>
                <w:color w:val="000000" w:themeColor="text1"/>
                <w:kern w:val="0"/>
              </w:rPr>
              <w:t>-10.37%</w:t>
            </w:r>
          </w:p>
        </w:tc>
        <w:tc>
          <w:tcPr>
            <w:tcW w:w="1188" w:type="dxa"/>
            <w:vAlign w:val="center"/>
          </w:tcPr>
          <w:p w:rsidR="00902591" w:rsidRDefault="00A745AA">
            <w:pPr>
              <w:jc w:val="center"/>
            </w:pPr>
            <w:r>
              <w:rPr>
                <w:rFonts w:eastAsiaTheme="minorEastAsia"/>
                <w:color w:val="000000" w:themeColor="text1"/>
                <w:kern w:val="0"/>
              </w:rPr>
              <w:t>0.91%</w:t>
            </w:r>
          </w:p>
        </w:tc>
        <w:tc>
          <w:tcPr>
            <w:tcW w:w="1199" w:type="dxa"/>
            <w:vAlign w:val="center"/>
          </w:tcPr>
          <w:p w:rsidR="00902591" w:rsidRDefault="00A745AA">
            <w:pPr>
              <w:jc w:val="center"/>
            </w:pPr>
            <w:r>
              <w:rPr>
                <w:rFonts w:eastAsiaTheme="minorEastAsia"/>
                <w:color w:val="000000" w:themeColor="text1"/>
                <w:kern w:val="0"/>
              </w:rPr>
              <w:t>-6.52%</w:t>
            </w:r>
          </w:p>
        </w:tc>
        <w:tc>
          <w:tcPr>
            <w:tcW w:w="1204" w:type="dxa"/>
            <w:vAlign w:val="center"/>
          </w:tcPr>
          <w:p w:rsidR="00902591" w:rsidRDefault="00A745AA">
            <w:pPr>
              <w:jc w:val="center"/>
            </w:pPr>
            <w:r>
              <w:rPr>
                <w:rFonts w:eastAsiaTheme="minorEastAsia"/>
                <w:color w:val="000000" w:themeColor="text1"/>
                <w:kern w:val="0"/>
              </w:rPr>
              <w:t>0.91%</w:t>
            </w:r>
          </w:p>
        </w:tc>
      </w:tr>
      <w:tr w:rsidR="00902591">
        <w:tc>
          <w:tcPr>
            <w:tcW w:w="1395" w:type="dxa"/>
            <w:vAlign w:val="center"/>
          </w:tcPr>
          <w:p w:rsidR="00902591" w:rsidRDefault="00A745AA">
            <w:pPr>
              <w:jc w:val="left"/>
            </w:pPr>
            <w:r>
              <w:rPr>
                <w:rFonts w:eastAsiaTheme="minorEastAsia"/>
                <w:color w:val="000000" w:themeColor="text1"/>
                <w:kern w:val="0"/>
              </w:rPr>
              <w:t>过去三年</w:t>
            </w:r>
          </w:p>
        </w:tc>
        <w:tc>
          <w:tcPr>
            <w:tcW w:w="1092" w:type="dxa"/>
            <w:vAlign w:val="center"/>
          </w:tcPr>
          <w:p w:rsidR="00902591" w:rsidRDefault="00A745AA">
            <w:pPr>
              <w:jc w:val="center"/>
            </w:pPr>
            <w:r>
              <w:rPr>
                <w:rFonts w:eastAsiaTheme="minorEastAsia"/>
                <w:color w:val="000000" w:themeColor="text1"/>
                <w:kern w:val="0"/>
              </w:rPr>
              <w:t>50.54%</w:t>
            </w:r>
          </w:p>
        </w:tc>
        <w:tc>
          <w:tcPr>
            <w:tcW w:w="1161" w:type="dxa"/>
            <w:vAlign w:val="center"/>
          </w:tcPr>
          <w:p w:rsidR="00902591" w:rsidRDefault="00A745AA">
            <w:pPr>
              <w:jc w:val="center"/>
            </w:pPr>
            <w:r>
              <w:rPr>
                <w:rFonts w:eastAsiaTheme="minorEastAsia"/>
                <w:color w:val="000000" w:themeColor="text1"/>
                <w:kern w:val="0"/>
              </w:rPr>
              <w:t>1.86%</w:t>
            </w:r>
          </w:p>
        </w:tc>
        <w:tc>
          <w:tcPr>
            <w:tcW w:w="1181" w:type="dxa"/>
            <w:vAlign w:val="center"/>
          </w:tcPr>
          <w:p w:rsidR="00902591" w:rsidRDefault="00A745AA">
            <w:pPr>
              <w:jc w:val="center"/>
            </w:pPr>
            <w:r>
              <w:rPr>
                <w:rFonts w:eastAsiaTheme="minorEastAsia"/>
                <w:color w:val="000000" w:themeColor="text1"/>
                <w:kern w:val="0"/>
              </w:rPr>
              <w:t>9.03%</w:t>
            </w:r>
          </w:p>
        </w:tc>
        <w:tc>
          <w:tcPr>
            <w:tcW w:w="1188" w:type="dxa"/>
            <w:vAlign w:val="center"/>
          </w:tcPr>
          <w:p w:rsidR="00902591" w:rsidRDefault="00A745AA">
            <w:pPr>
              <w:jc w:val="center"/>
            </w:pPr>
            <w:r>
              <w:rPr>
                <w:rFonts w:eastAsiaTheme="minorEastAsia"/>
                <w:color w:val="000000" w:themeColor="text1"/>
                <w:kern w:val="0"/>
              </w:rPr>
              <w:t>1.07%</w:t>
            </w:r>
          </w:p>
        </w:tc>
        <w:tc>
          <w:tcPr>
            <w:tcW w:w="1199" w:type="dxa"/>
            <w:vAlign w:val="center"/>
          </w:tcPr>
          <w:p w:rsidR="00902591" w:rsidRDefault="00A745AA">
            <w:pPr>
              <w:jc w:val="center"/>
            </w:pPr>
            <w:r>
              <w:rPr>
                <w:rFonts w:eastAsiaTheme="minorEastAsia"/>
                <w:color w:val="000000" w:themeColor="text1"/>
                <w:kern w:val="0"/>
              </w:rPr>
              <w:t>41.51%</w:t>
            </w:r>
          </w:p>
        </w:tc>
        <w:tc>
          <w:tcPr>
            <w:tcW w:w="1204" w:type="dxa"/>
            <w:vAlign w:val="center"/>
          </w:tcPr>
          <w:p w:rsidR="00902591" w:rsidRDefault="00A745AA">
            <w:pPr>
              <w:jc w:val="center"/>
            </w:pPr>
            <w:r>
              <w:rPr>
                <w:rFonts w:eastAsiaTheme="minorEastAsia"/>
                <w:color w:val="000000" w:themeColor="text1"/>
                <w:kern w:val="0"/>
              </w:rPr>
              <w:t>0.79%</w:t>
            </w:r>
          </w:p>
        </w:tc>
      </w:tr>
      <w:tr w:rsidR="00902591">
        <w:tc>
          <w:tcPr>
            <w:tcW w:w="1395" w:type="dxa"/>
            <w:vAlign w:val="center"/>
          </w:tcPr>
          <w:p w:rsidR="00902591" w:rsidRDefault="00A745AA">
            <w:pPr>
              <w:jc w:val="left"/>
            </w:pPr>
            <w:r>
              <w:rPr>
                <w:rFonts w:eastAsiaTheme="minorEastAsia"/>
                <w:color w:val="000000" w:themeColor="text1"/>
                <w:kern w:val="0"/>
              </w:rPr>
              <w:t>过去五年</w:t>
            </w:r>
          </w:p>
        </w:tc>
        <w:tc>
          <w:tcPr>
            <w:tcW w:w="1092" w:type="dxa"/>
            <w:vAlign w:val="center"/>
          </w:tcPr>
          <w:p w:rsidR="00902591" w:rsidRDefault="00A745AA">
            <w:pPr>
              <w:jc w:val="center"/>
            </w:pPr>
            <w:r>
              <w:rPr>
                <w:rFonts w:eastAsiaTheme="minorEastAsia"/>
                <w:color w:val="000000" w:themeColor="text1"/>
                <w:kern w:val="0"/>
              </w:rPr>
              <w:t>51.87%</w:t>
            </w:r>
          </w:p>
        </w:tc>
        <w:tc>
          <w:tcPr>
            <w:tcW w:w="1161" w:type="dxa"/>
            <w:vAlign w:val="center"/>
          </w:tcPr>
          <w:p w:rsidR="00902591" w:rsidRDefault="00A745AA">
            <w:pPr>
              <w:jc w:val="center"/>
            </w:pPr>
            <w:r>
              <w:rPr>
                <w:rFonts w:eastAsiaTheme="minorEastAsia"/>
                <w:color w:val="000000" w:themeColor="text1"/>
                <w:kern w:val="0"/>
              </w:rPr>
              <w:t>1.81%</w:t>
            </w:r>
          </w:p>
        </w:tc>
        <w:tc>
          <w:tcPr>
            <w:tcW w:w="1181" w:type="dxa"/>
            <w:vAlign w:val="center"/>
          </w:tcPr>
          <w:p w:rsidR="00902591" w:rsidRDefault="00A745AA">
            <w:pPr>
              <w:jc w:val="center"/>
            </w:pPr>
            <w:r>
              <w:rPr>
                <w:rFonts w:eastAsiaTheme="minorEastAsia"/>
                <w:color w:val="000000" w:themeColor="text1"/>
                <w:kern w:val="0"/>
              </w:rPr>
              <w:t>13.80%</w:t>
            </w:r>
          </w:p>
        </w:tc>
        <w:tc>
          <w:tcPr>
            <w:tcW w:w="1188" w:type="dxa"/>
            <w:vAlign w:val="center"/>
          </w:tcPr>
          <w:p w:rsidR="00902591" w:rsidRDefault="00A745AA">
            <w:pPr>
              <w:jc w:val="center"/>
            </w:pPr>
            <w:r>
              <w:rPr>
                <w:rFonts w:eastAsiaTheme="minorEastAsia"/>
                <w:color w:val="000000" w:themeColor="text1"/>
                <w:kern w:val="0"/>
              </w:rPr>
              <w:t>1.04%</w:t>
            </w:r>
          </w:p>
        </w:tc>
        <w:tc>
          <w:tcPr>
            <w:tcW w:w="1199" w:type="dxa"/>
            <w:vAlign w:val="center"/>
          </w:tcPr>
          <w:p w:rsidR="00902591" w:rsidRDefault="00A745AA">
            <w:pPr>
              <w:jc w:val="center"/>
            </w:pPr>
            <w:r>
              <w:rPr>
                <w:rFonts w:eastAsiaTheme="minorEastAsia"/>
                <w:color w:val="000000" w:themeColor="text1"/>
                <w:kern w:val="0"/>
              </w:rPr>
              <w:t>38.07%</w:t>
            </w:r>
          </w:p>
        </w:tc>
        <w:tc>
          <w:tcPr>
            <w:tcW w:w="1204" w:type="dxa"/>
            <w:vAlign w:val="center"/>
          </w:tcPr>
          <w:p w:rsidR="00902591" w:rsidRDefault="00A745AA">
            <w:pPr>
              <w:jc w:val="center"/>
            </w:pPr>
            <w:r>
              <w:rPr>
                <w:rFonts w:eastAsiaTheme="minorEastAsia"/>
                <w:color w:val="000000" w:themeColor="text1"/>
                <w:kern w:val="0"/>
              </w:rPr>
              <w:t>0.77%</w:t>
            </w:r>
          </w:p>
        </w:tc>
      </w:tr>
      <w:tr w:rsidR="00902591">
        <w:tc>
          <w:tcPr>
            <w:tcW w:w="1395" w:type="dxa"/>
            <w:vAlign w:val="center"/>
          </w:tcPr>
          <w:p w:rsidR="00902591" w:rsidRDefault="00A745AA">
            <w:pPr>
              <w:jc w:val="left"/>
            </w:pPr>
            <w:r>
              <w:rPr>
                <w:rFonts w:eastAsiaTheme="minorEastAsia"/>
                <w:color w:val="000000" w:themeColor="text1"/>
                <w:kern w:val="0"/>
              </w:rPr>
              <w:t>自基金合同生效起至今</w:t>
            </w:r>
          </w:p>
        </w:tc>
        <w:tc>
          <w:tcPr>
            <w:tcW w:w="1092" w:type="dxa"/>
            <w:vAlign w:val="center"/>
          </w:tcPr>
          <w:p w:rsidR="00902591" w:rsidRDefault="00A745AA">
            <w:pPr>
              <w:jc w:val="center"/>
            </w:pPr>
            <w:r>
              <w:rPr>
                <w:rFonts w:eastAsiaTheme="minorEastAsia"/>
                <w:color w:val="000000" w:themeColor="text1"/>
                <w:kern w:val="0"/>
              </w:rPr>
              <w:t>2.97%</w:t>
            </w:r>
          </w:p>
        </w:tc>
        <w:tc>
          <w:tcPr>
            <w:tcW w:w="1161" w:type="dxa"/>
            <w:vAlign w:val="center"/>
          </w:tcPr>
          <w:p w:rsidR="00902591" w:rsidRDefault="00A745AA">
            <w:pPr>
              <w:jc w:val="center"/>
            </w:pPr>
            <w:r>
              <w:rPr>
                <w:rFonts w:eastAsiaTheme="minorEastAsia"/>
                <w:color w:val="000000" w:themeColor="text1"/>
                <w:kern w:val="0"/>
              </w:rPr>
              <w:t>1.90%</w:t>
            </w:r>
          </w:p>
        </w:tc>
        <w:tc>
          <w:tcPr>
            <w:tcW w:w="1181" w:type="dxa"/>
            <w:vAlign w:val="center"/>
          </w:tcPr>
          <w:p w:rsidR="00902591" w:rsidRDefault="00A745AA">
            <w:pPr>
              <w:jc w:val="center"/>
            </w:pPr>
            <w:r>
              <w:rPr>
                <w:rFonts w:eastAsiaTheme="minorEastAsia"/>
                <w:color w:val="000000" w:themeColor="text1"/>
                <w:kern w:val="0"/>
              </w:rPr>
              <w:t>-22.82%</w:t>
            </w:r>
          </w:p>
        </w:tc>
        <w:tc>
          <w:tcPr>
            <w:tcW w:w="1188" w:type="dxa"/>
            <w:vAlign w:val="center"/>
          </w:tcPr>
          <w:p w:rsidR="00902591" w:rsidRDefault="00A745AA">
            <w:pPr>
              <w:jc w:val="center"/>
            </w:pPr>
            <w:r>
              <w:rPr>
                <w:rFonts w:eastAsiaTheme="minorEastAsia"/>
                <w:color w:val="000000" w:themeColor="text1"/>
                <w:kern w:val="0"/>
              </w:rPr>
              <w:t>1.24%</w:t>
            </w:r>
          </w:p>
        </w:tc>
        <w:tc>
          <w:tcPr>
            <w:tcW w:w="1199" w:type="dxa"/>
            <w:vAlign w:val="center"/>
          </w:tcPr>
          <w:p w:rsidR="00902591" w:rsidRDefault="00A745AA">
            <w:pPr>
              <w:jc w:val="center"/>
            </w:pPr>
            <w:r>
              <w:rPr>
                <w:rFonts w:eastAsiaTheme="minorEastAsia"/>
                <w:color w:val="000000" w:themeColor="text1"/>
                <w:kern w:val="0"/>
              </w:rPr>
              <w:t>25.79%</w:t>
            </w:r>
          </w:p>
        </w:tc>
        <w:tc>
          <w:tcPr>
            <w:tcW w:w="1204" w:type="dxa"/>
            <w:vAlign w:val="center"/>
          </w:tcPr>
          <w:p w:rsidR="00902591" w:rsidRDefault="00A745AA">
            <w:pPr>
              <w:jc w:val="center"/>
            </w:pPr>
            <w:r>
              <w:rPr>
                <w:rFonts w:eastAsiaTheme="minorEastAsia"/>
                <w:color w:val="000000" w:themeColor="text1"/>
                <w:kern w:val="0"/>
              </w:rPr>
              <w:t>0.66%</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上投摩根智慧互联股票型证券投资基金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(2015</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6</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9</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2022</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3</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31</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lastRenderedPageBreak/>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902591" w:rsidRDefault="00A745AA">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w:t>
      </w:r>
      <w:r>
        <w:rPr>
          <w:rFonts w:eastAsiaTheme="minorEastAsia"/>
          <w:color w:val="000000" w:themeColor="text1"/>
        </w:rPr>
        <w:t>9</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 xml:space="preserve"> 6 </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902591">
        <w:tc>
          <w:tcPr>
            <w:tcW w:w="851" w:type="dxa"/>
            <w:vAlign w:val="center"/>
          </w:tcPr>
          <w:p w:rsidR="00902591" w:rsidRDefault="00A745AA">
            <w:pPr>
              <w:jc w:val="center"/>
            </w:pPr>
            <w:r>
              <w:rPr>
                <w:rFonts w:eastAsiaTheme="minorEastAsia"/>
                <w:color w:val="000000" w:themeColor="text1"/>
              </w:rPr>
              <w:t>郭晨</w:t>
            </w:r>
          </w:p>
        </w:tc>
        <w:tc>
          <w:tcPr>
            <w:tcW w:w="850" w:type="dxa"/>
            <w:vAlign w:val="center"/>
          </w:tcPr>
          <w:p w:rsidR="00902591" w:rsidRDefault="00A745AA">
            <w:pPr>
              <w:jc w:val="center"/>
            </w:pPr>
            <w:r>
              <w:rPr>
                <w:rFonts w:eastAsiaTheme="minorEastAsia"/>
                <w:color w:val="000000" w:themeColor="text1"/>
              </w:rPr>
              <w:t>本基金基金经理</w:t>
            </w:r>
          </w:p>
        </w:tc>
        <w:tc>
          <w:tcPr>
            <w:tcW w:w="1560" w:type="dxa"/>
            <w:vAlign w:val="center"/>
          </w:tcPr>
          <w:p w:rsidR="00902591" w:rsidRDefault="00A745AA">
            <w:pPr>
              <w:jc w:val="center"/>
            </w:pPr>
            <w:r>
              <w:rPr>
                <w:rFonts w:eastAsiaTheme="minorEastAsia"/>
                <w:color w:val="000000" w:themeColor="text1"/>
              </w:rPr>
              <w:t>2015-06-09</w:t>
            </w:r>
          </w:p>
        </w:tc>
        <w:tc>
          <w:tcPr>
            <w:tcW w:w="1559" w:type="dxa"/>
            <w:vAlign w:val="center"/>
          </w:tcPr>
          <w:p w:rsidR="00902591" w:rsidRDefault="00A745AA">
            <w:pPr>
              <w:jc w:val="center"/>
            </w:pPr>
            <w:r>
              <w:rPr>
                <w:rFonts w:eastAsiaTheme="minorEastAsia"/>
                <w:color w:val="000000" w:themeColor="text1"/>
              </w:rPr>
              <w:t>-</w:t>
            </w:r>
          </w:p>
        </w:tc>
        <w:tc>
          <w:tcPr>
            <w:tcW w:w="1417" w:type="dxa"/>
            <w:vAlign w:val="center"/>
          </w:tcPr>
          <w:p w:rsidR="00902591" w:rsidRDefault="00A745AA">
            <w:pPr>
              <w:jc w:val="center"/>
            </w:pPr>
            <w:r>
              <w:rPr>
                <w:rFonts w:eastAsiaTheme="minorEastAsia"/>
                <w:color w:val="000000" w:themeColor="text1"/>
              </w:rPr>
              <w:t>15</w:t>
            </w:r>
            <w:r>
              <w:rPr>
                <w:rFonts w:eastAsiaTheme="minorEastAsia"/>
                <w:color w:val="000000" w:themeColor="text1"/>
              </w:rPr>
              <w:t>年</w:t>
            </w:r>
          </w:p>
        </w:tc>
        <w:tc>
          <w:tcPr>
            <w:tcW w:w="2694" w:type="dxa"/>
            <w:vAlign w:val="center"/>
          </w:tcPr>
          <w:p w:rsidR="00902591" w:rsidRDefault="00A745AA">
            <w:r>
              <w:rPr>
                <w:rFonts w:eastAsiaTheme="minorEastAsia"/>
                <w:color w:val="000000" w:themeColor="text1"/>
              </w:rPr>
              <w:t>郭晨先生，自</w:t>
            </w:r>
            <w:r>
              <w:rPr>
                <w:rFonts w:eastAsiaTheme="minorEastAsia"/>
                <w:color w:val="000000" w:themeColor="text1"/>
              </w:rPr>
              <w:t>2007</w:t>
            </w:r>
            <w:r>
              <w:rPr>
                <w:rFonts w:eastAsiaTheme="minorEastAsia"/>
                <w:color w:val="000000" w:themeColor="text1"/>
              </w:rPr>
              <w:t>年</w:t>
            </w:r>
            <w:r>
              <w:rPr>
                <w:rFonts w:eastAsiaTheme="minorEastAsia"/>
                <w:color w:val="000000" w:themeColor="text1"/>
              </w:rPr>
              <w:t>7</w:t>
            </w:r>
            <w:r>
              <w:rPr>
                <w:rFonts w:eastAsiaTheme="minorEastAsia"/>
                <w:color w:val="000000" w:themeColor="text1"/>
              </w:rPr>
              <w:t>月至</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月在平安资产管理有限公司担任分析师；</w:t>
            </w:r>
            <w:r>
              <w:rPr>
                <w:rFonts w:eastAsiaTheme="minorEastAsia"/>
                <w:color w:val="000000" w:themeColor="text1"/>
              </w:rPr>
              <w:t>2008</w:t>
            </w:r>
            <w:r>
              <w:rPr>
                <w:rFonts w:eastAsiaTheme="minorEastAsia"/>
                <w:color w:val="000000" w:themeColor="text1"/>
              </w:rPr>
              <w:t>年</w:t>
            </w:r>
            <w:r>
              <w:rPr>
                <w:rFonts w:eastAsiaTheme="minorEastAsia"/>
                <w:color w:val="000000" w:themeColor="text1"/>
              </w:rPr>
              <w:t>4</w:t>
            </w:r>
            <w:r>
              <w:rPr>
                <w:rFonts w:eastAsiaTheme="minorEastAsia"/>
                <w:color w:val="000000" w:themeColor="text1"/>
              </w:rPr>
              <w:t>月至</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月在东吴基金管理有限公司担任研究员；</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月至</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月在华富基金管理有限公司先后担任基金经理助理、基金经理。</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月起加入上投摩根基金管理有限公司并担任基金经理、国内权益投资部动力组组长兼资深基金</w:t>
            </w:r>
            <w:r>
              <w:rPr>
                <w:rFonts w:eastAsiaTheme="minorEastAsia"/>
                <w:color w:val="000000" w:themeColor="text1"/>
              </w:rPr>
              <w:lastRenderedPageBreak/>
              <w:t>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月起担任上投摩根中小盘混合型证券投资基金基金经理，自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6</w:t>
            </w:r>
            <w:r>
              <w:rPr>
                <w:rFonts w:eastAsiaTheme="minorEastAsia"/>
                <w:color w:val="000000" w:themeColor="text1"/>
              </w:rPr>
              <w:t>月起同时担任上投摩根智慧互联股票型证券投资基金基金经理，自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月起同时担任上投摩根新兴服务股票</w:t>
            </w:r>
            <w:r>
              <w:rPr>
                <w:rFonts w:eastAsiaTheme="minorEastAsia"/>
                <w:color w:val="000000" w:themeColor="text1"/>
              </w:rPr>
              <w:t>型证券投资基金基金经理，自</w:t>
            </w:r>
            <w:r>
              <w:rPr>
                <w:rFonts w:eastAsiaTheme="minorEastAsia"/>
                <w:color w:val="000000" w:themeColor="text1"/>
              </w:rPr>
              <w:t>2019</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月起同时担任上投摩根创新商业模式灵活配置混合型证券投资基金基金经理，自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5</w:t>
            </w:r>
            <w:r>
              <w:rPr>
                <w:rFonts w:eastAsiaTheme="minorEastAsia"/>
                <w:color w:val="000000" w:themeColor="text1"/>
              </w:rPr>
              <w:t>月起同时担任上投摩根优势成长混合型证券投资基金基金经理，自</w:t>
            </w:r>
            <w:r>
              <w:rPr>
                <w:rFonts w:eastAsiaTheme="minorEastAsia"/>
                <w:color w:val="000000" w:themeColor="text1"/>
              </w:rPr>
              <w:t>2021</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月起同时担任上投摩根动力精选混合型证券投资基金基金经理。</w:t>
            </w:r>
          </w:p>
        </w:tc>
      </w:tr>
    </w:tbl>
    <w:p w:rsidR="00902591" w:rsidRDefault="00A745AA">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lastRenderedPageBreak/>
        <w:t>注：</w:t>
      </w:r>
      <w:r>
        <w:rPr>
          <w:rFonts w:eastAsiaTheme="minorEastAsia"/>
          <w:color w:val="000000" w:themeColor="text1"/>
        </w:rPr>
        <w:t>1.</w:t>
      </w:r>
      <w:r>
        <w:rPr>
          <w:rFonts w:eastAsiaTheme="minorEastAsia"/>
          <w:color w:val="000000" w:themeColor="text1"/>
        </w:rPr>
        <w:t>任职日期和离任日期均指根据公司决定确定的聘任日期和解聘日期。</w:t>
      </w:r>
    </w:p>
    <w:p w:rsidR="00902591" w:rsidRDefault="00A745AA">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2.</w:t>
      </w:r>
      <w:r>
        <w:rPr>
          <w:rFonts w:eastAsiaTheme="minorEastAsia"/>
          <w:color w:val="000000" w:themeColor="text1"/>
        </w:rPr>
        <w:t>郭晨先生为本基金首任基金经理，其任职日期指本基金基金合同生效之日。</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3.</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智慧互联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902591" w:rsidRDefault="00A745AA">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w:t>
      </w:r>
      <w:r>
        <w:rPr>
          <w:rFonts w:eastAsiaTheme="minorEastAsia"/>
          <w:color w:val="000000" w:themeColor="text1"/>
        </w:rPr>
        <w:lastRenderedPageBreak/>
        <w:t>理活动相关的环节均得到公平对待。</w:t>
      </w:r>
    </w:p>
    <w:p w:rsidR="00902591" w:rsidRDefault="00A745AA">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rPr>
        <w:t>，本公司通过对手库控制和交易室询价机制，严格防范对手风险并检查价格公允性；对于申购投资行为，本公司遵循价格优先、比例分配的原则，根据事前独立申报的价格和数量对交易结果进行公平分配。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902591" w:rsidRDefault="00A745AA">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902591" w:rsidRDefault="00A745AA">
      <w:pPr>
        <w:spacing w:line="360" w:lineRule="auto"/>
        <w:ind w:firstLineChars="200" w:firstLine="420"/>
        <w:rPr>
          <w:rFonts w:eastAsiaTheme="minorEastAsia"/>
          <w:color w:val="000000" w:themeColor="text1"/>
        </w:rPr>
      </w:pPr>
      <w:r>
        <w:rPr>
          <w:rFonts w:eastAsiaTheme="minorEastAsia"/>
          <w:color w:val="000000" w:themeColor="text1"/>
        </w:rPr>
        <w:t>2022</w:t>
      </w:r>
      <w:r>
        <w:rPr>
          <w:rFonts w:eastAsiaTheme="minorEastAsia"/>
          <w:color w:val="000000" w:themeColor="text1"/>
        </w:rPr>
        <w:t>年一季度沪深</w:t>
      </w:r>
      <w:r>
        <w:rPr>
          <w:rFonts w:eastAsiaTheme="minorEastAsia"/>
          <w:color w:val="000000" w:themeColor="text1"/>
        </w:rPr>
        <w:t xml:space="preserve"> 300 </w:t>
      </w:r>
      <w:r>
        <w:rPr>
          <w:rFonts w:eastAsiaTheme="minorEastAsia"/>
          <w:color w:val="000000" w:themeColor="text1"/>
        </w:rPr>
        <w:t>指数下跌</w:t>
      </w:r>
      <w:r>
        <w:rPr>
          <w:rFonts w:eastAsiaTheme="minorEastAsia"/>
          <w:color w:val="000000" w:themeColor="text1"/>
        </w:rPr>
        <w:t>14.53%</w:t>
      </w:r>
      <w:r>
        <w:rPr>
          <w:rFonts w:eastAsiaTheme="minorEastAsia"/>
          <w:color w:val="000000" w:themeColor="text1"/>
        </w:rPr>
        <w:t>，市场处于单边下跌的状态，是近些年来表现最差的季度之一。一季度国际局势和国内经济基本面都出现了一些问题，俄乌战争出乎意料的爆发，导致大宗商品价格暴涨，下游制造业成本压力加大，国际局势的混乱导致全球产业链恢复更加迟缓。中美博弈继续，市场担心中概股从美国大规模退市，导致海外中概股和香港市场大跌。国内疫情出现反复，深圳、上海、吉林等省市均出现了较大规模的疫情，国内经济雪上加霜。</w:t>
      </w:r>
      <w:r>
        <w:rPr>
          <w:rFonts w:eastAsiaTheme="minorEastAsia"/>
          <w:color w:val="000000" w:themeColor="text1"/>
        </w:rPr>
        <w:t>2</w:t>
      </w:r>
      <w:r>
        <w:rPr>
          <w:rFonts w:eastAsiaTheme="minorEastAsia"/>
          <w:color w:val="000000" w:themeColor="text1"/>
        </w:rPr>
        <w:t>月以来没有出现降准降息的货币政策，市场担忧今年</w:t>
      </w:r>
      <w:r>
        <w:rPr>
          <w:rFonts w:eastAsiaTheme="minorEastAsia"/>
          <w:color w:val="000000" w:themeColor="text1"/>
        </w:rPr>
        <w:t>5.5%</w:t>
      </w:r>
      <w:r>
        <w:rPr>
          <w:rFonts w:eastAsiaTheme="minorEastAsia"/>
          <w:color w:val="000000" w:themeColor="text1"/>
        </w:rPr>
        <w:t>的经济增速目标能否实现，宏观经济可能出现滞涨局面。另外，一季度</w:t>
      </w:r>
      <w:r>
        <w:rPr>
          <w:rFonts w:eastAsiaTheme="minorEastAsia"/>
          <w:color w:val="000000" w:themeColor="text1"/>
        </w:rPr>
        <w:t>基金销售达到冰点，机构没有增量资金的支持。在这种不确定性大幅增加的环境下，市场风险偏好急剧下降，机构重仓的成长股和消费股都出现大幅回调，如半导体、</w:t>
      </w:r>
      <w:r>
        <w:rPr>
          <w:rFonts w:eastAsiaTheme="minorEastAsia"/>
          <w:color w:val="000000" w:themeColor="text1"/>
        </w:rPr>
        <w:t>CXO</w:t>
      </w:r>
      <w:r>
        <w:rPr>
          <w:rFonts w:eastAsiaTheme="minorEastAsia"/>
          <w:color w:val="000000" w:themeColor="text1"/>
        </w:rPr>
        <w:t>、食品饮料、军工等，而机构持仓较少的主题性行业相对表现较好，比如以周期和房地产为代表的稳增长行业，以检测试剂、疫苗、新冠药物为代表的防疫股。</w:t>
      </w:r>
    </w:p>
    <w:p w:rsidR="00902591" w:rsidRDefault="00A745AA">
      <w:pPr>
        <w:spacing w:line="360" w:lineRule="auto"/>
        <w:ind w:firstLineChars="200" w:firstLine="420"/>
        <w:rPr>
          <w:rFonts w:eastAsiaTheme="minorEastAsia"/>
          <w:color w:val="000000" w:themeColor="text1"/>
        </w:rPr>
      </w:pPr>
      <w:r>
        <w:rPr>
          <w:rFonts w:eastAsiaTheme="minorEastAsia"/>
          <w:color w:val="000000" w:themeColor="text1"/>
        </w:rPr>
        <w:t>我们始终认为市场处于一个长期慢牛的走势之中，结构性行情为主，最近市场只是受到内外部压力出现的一个短期波动，长期向好的大趋势没有改变。我们在一季度重点配置在一些与智慧互联主题相关的高景气度行业上，比如新能源汽车、半导体、</w:t>
      </w:r>
      <w:r>
        <w:rPr>
          <w:rFonts w:eastAsiaTheme="minorEastAsia"/>
          <w:color w:val="000000" w:themeColor="text1"/>
        </w:rPr>
        <w:t>消费电子，智能家电</w:t>
      </w:r>
      <w:r>
        <w:rPr>
          <w:rFonts w:eastAsiaTheme="minorEastAsia"/>
          <w:color w:val="000000" w:themeColor="text1"/>
        </w:rPr>
        <w:lastRenderedPageBreak/>
        <w:t>等，配置相对均衡，受到市场整体系统性的压力，本基金还是出现了一定的回撤。本基金将始终坚持价值投资思路，超配智慧互联主题相关高景气度行业，选择其中相对优秀的龙头公司长期投资。</w:t>
      </w:r>
    </w:p>
    <w:p w:rsidR="00902591" w:rsidRDefault="00A745AA">
      <w:pPr>
        <w:spacing w:line="360" w:lineRule="auto"/>
        <w:ind w:firstLineChars="200" w:firstLine="420"/>
        <w:rPr>
          <w:rFonts w:eastAsiaTheme="minorEastAsia"/>
          <w:color w:val="000000" w:themeColor="text1"/>
        </w:rPr>
      </w:pPr>
      <w:r>
        <w:rPr>
          <w:rFonts w:eastAsiaTheme="minorEastAsia"/>
          <w:color w:val="000000" w:themeColor="text1"/>
        </w:rPr>
        <w:t>展望二季度，我们并不悲观。目前国内外出现的一些突发事件，大多是对经济的短期影响，或者市场已经有了充分的预期。俄乌战争目前看来进一步扩大范围的可能性不大，双方已经开始和谈，和平的曙光已经出现。大宗商品价格大多已经见顶回落，需求不支持大宗商品持续上涨，战争等刺激因素缓解之后，大概率回归供需基本面。国内房地产已经出现了放松的</w:t>
      </w:r>
      <w:r>
        <w:rPr>
          <w:rFonts w:eastAsiaTheme="minorEastAsia"/>
          <w:color w:val="000000" w:themeColor="text1"/>
        </w:rPr>
        <w:t>迹象，未来财政货币政策有望出台更多稳增长措施。疫情防治已经出现向好局面，深圳基本恢复正常生产生活，上海也开始执行严格的防控措施，逐渐恢复正常也不会太远。</w:t>
      </w:r>
      <w:r>
        <w:rPr>
          <w:rFonts w:eastAsiaTheme="minorEastAsia"/>
          <w:color w:val="000000" w:themeColor="text1"/>
        </w:rPr>
        <w:t>A</w:t>
      </w:r>
      <w:r>
        <w:rPr>
          <w:rFonts w:eastAsiaTheme="minorEastAsia"/>
          <w:color w:val="000000" w:themeColor="text1"/>
        </w:rPr>
        <w:t>股、港股、海外中概股近期的调整，使得估值处于合理甚至低估的水平，长期看，目前是一个非常难得的底部区间。</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我们会始终坚持价值投资，坚持超配高景气度行业，选择朝阳行业中较优秀的龙头公司长期投资。这些高景气度行业大多与智慧互联主题相关。比如智能汽车汽车、半导体、消费电子、智能家电等优质赛道，合理的估值，较高的业绩增速，成长的确定性是本基金最看重的。</w:t>
      </w:r>
      <w:r w:rsidRPr="00FF6B9A">
        <w:rPr>
          <w:rFonts w:eastAsiaTheme="minorEastAsia"/>
          <w:color w:val="000000" w:themeColor="text1"/>
        </w:rPr>
        <w:t xml:space="preserve"> </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本报告期上投摩根智慧互联股票份额净值增长率为</w:t>
      </w:r>
      <w:r w:rsidRPr="00FF6B9A">
        <w:rPr>
          <w:rFonts w:eastAsiaTheme="minorEastAsia"/>
          <w:color w:val="000000" w:themeColor="text1"/>
        </w:rPr>
        <w:t>:-19.54%</w:t>
      </w:r>
      <w:r w:rsidRPr="00FF6B9A">
        <w:rPr>
          <w:rFonts w:eastAsiaTheme="minorEastAsia"/>
          <w:color w:val="000000" w:themeColor="text1"/>
        </w:rPr>
        <w:t>，同期业绩比较基准收益率为</w:t>
      </w:r>
      <w:r w:rsidRPr="00FF6B9A">
        <w:rPr>
          <w:rFonts w:eastAsiaTheme="minorEastAsia"/>
          <w:color w:val="000000" w:themeColor="text1"/>
        </w:rPr>
        <w:t>:-12.30%</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480,103,469.64</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92.76</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480,103,469.64</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92.76</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2,681,568.28</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0.52</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2,681,568.28</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0.52</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34,485,550.21</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6.66</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289,586.72</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0.06</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517,560,174.85</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26,869,671.32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5.21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13,370,475.00</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2.59</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378,573,276.14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73.38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7,603.20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23,289,711.07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4.51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19,728,733.22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3.82</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17,669,663.72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3.43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199,111.97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0.04</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lastRenderedPageBreak/>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395,224.00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0.08</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480,103,469.64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93.06</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902591">
        <w:tc>
          <w:tcPr>
            <w:tcW w:w="817" w:type="dxa"/>
            <w:vAlign w:val="center"/>
          </w:tcPr>
          <w:p w:rsidR="00902591" w:rsidRDefault="00A745AA">
            <w:pPr>
              <w:jc w:val="center"/>
            </w:pPr>
            <w:r>
              <w:rPr>
                <w:rFonts w:eastAsiaTheme="minorEastAsia"/>
                <w:kern w:val="0"/>
                <w:sz w:val="24"/>
                <w:szCs w:val="24"/>
              </w:rPr>
              <w:t>1</w:t>
            </w:r>
          </w:p>
        </w:tc>
        <w:tc>
          <w:tcPr>
            <w:tcW w:w="1276" w:type="dxa"/>
            <w:vAlign w:val="center"/>
          </w:tcPr>
          <w:p w:rsidR="00902591" w:rsidRDefault="00A745AA">
            <w:pPr>
              <w:jc w:val="center"/>
            </w:pPr>
            <w:r>
              <w:rPr>
                <w:rFonts w:eastAsiaTheme="minorEastAsia"/>
                <w:kern w:val="0"/>
                <w:sz w:val="24"/>
                <w:szCs w:val="24"/>
              </w:rPr>
              <w:t>603799</w:t>
            </w:r>
          </w:p>
        </w:tc>
        <w:tc>
          <w:tcPr>
            <w:tcW w:w="1701" w:type="dxa"/>
            <w:vAlign w:val="center"/>
          </w:tcPr>
          <w:p w:rsidR="00902591" w:rsidRDefault="00A745AA">
            <w:pPr>
              <w:jc w:val="center"/>
            </w:pPr>
            <w:r>
              <w:rPr>
                <w:rFonts w:eastAsiaTheme="minorEastAsia"/>
                <w:kern w:val="0"/>
                <w:sz w:val="24"/>
                <w:szCs w:val="24"/>
              </w:rPr>
              <w:t>华友钴业</w:t>
            </w:r>
          </w:p>
        </w:tc>
        <w:tc>
          <w:tcPr>
            <w:tcW w:w="1276" w:type="dxa"/>
            <w:vAlign w:val="center"/>
          </w:tcPr>
          <w:p w:rsidR="00902591" w:rsidRDefault="00A745AA">
            <w:pPr>
              <w:jc w:val="right"/>
            </w:pPr>
            <w:r>
              <w:rPr>
                <w:rFonts w:eastAsiaTheme="minorEastAsia"/>
                <w:kern w:val="0"/>
                <w:sz w:val="24"/>
                <w:szCs w:val="24"/>
              </w:rPr>
              <w:t>357,805.00</w:t>
            </w:r>
          </w:p>
        </w:tc>
        <w:tc>
          <w:tcPr>
            <w:tcW w:w="1842" w:type="dxa"/>
            <w:vAlign w:val="center"/>
          </w:tcPr>
          <w:p w:rsidR="00902591" w:rsidRDefault="00A745AA">
            <w:pPr>
              <w:jc w:val="right"/>
            </w:pPr>
            <w:r>
              <w:rPr>
                <w:rFonts w:eastAsiaTheme="minorEastAsia"/>
                <w:kern w:val="0"/>
                <w:sz w:val="24"/>
                <w:szCs w:val="24"/>
              </w:rPr>
              <w:t>34,993,329.00</w:t>
            </w:r>
          </w:p>
        </w:tc>
        <w:tc>
          <w:tcPr>
            <w:tcW w:w="1616" w:type="dxa"/>
            <w:vAlign w:val="center"/>
          </w:tcPr>
          <w:p w:rsidR="00902591" w:rsidRDefault="00A745AA">
            <w:pPr>
              <w:jc w:val="right"/>
            </w:pPr>
            <w:r>
              <w:rPr>
                <w:rFonts w:eastAsiaTheme="minorEastAsia"/>
                <w:kern w:val="0"/>
                <w:sz w:val="24"/>
                <w:szCs w:val="24"/>
              </w:rPr>
              <w:t>6.78</w:t>
            </w:r>
          </w:p>
        </w:tc>
      </w:tr>
      <w:tr w:rsidR="00902591">
        <w:tc>
          <w:tcPr>
            <w:tcW w:w="817" w:type="dxa"/>
            <w:vAlign w:val="center"/>
          </w:tcPr>
          <w:p w:rsidR="00902591" w:rsidRDefault="00A745AA">
            <w:pPr>
              <w:jc w:val="center"/>
            </w:pPr>
            <w:r>
              <w:rPr>
                <w:rFonts w:eastAsiaTheme="minorEastAsia"/>
                <w:kern w:val="0"/>
                <w:sz w:val="24"/>
                <w:szCs w:val="24"/>
              </w:rPr>
              <w:t>2</w:t>
            </w:r>
          </w:p>
        </w:tc>
        <w:tc>
          <w:tcPr>
            <w:tcW w:w="1276" w:type="dxa"/>
            <w:vAlign w:val="center"/>
          </w:tcPr>
          <w:p w:rsidR="00902591" w:rsidRDefault="00A745AA">
            <w:pPr>
              <w:jc w:val="center"/>
            </w:pPr>
            <w:r>
              <w:rPr>
                <w:rFonts w:eastAsiaTheme="minorEastAsia"/>
                <w:kern w:val="0"/>
                <w:sz w:val="24"/>
                <w:szCs w:val="24"/>
              </w:rPr>
              <w:t>300750</w:t>
            </w:r>
          </w:p>
        </w:tc>
        <w:tc>
          <w:tcPr>
            <w:tcW w:w="1701" w:type="dxa"/>
            <w:vAlign w:val="center"/>
          </w:tcPr>
          <w:p w:rsidR="00902591" w:rsidRDefault="00A745AA">
            <w:pPr>
              <w:jc w:val="center"/>
            </w:pPr>
            <w:r>
              <w:rPr>
                <w:rFonts w:eastAsiaTheme="minorEastAsia"/>
                <w:kern w:val="0"/>
                <w:sz w:val="24"/>
                <w:szCs w:val="24"/>
              </w:rPr>
              <w:t>宁德时代</w:t>
            </w:r>
          </w:p>
        </w:tc>
        <w:tc>
          <w:tcPr>
            <w:tcW w:w="1276" w:type="dxa"/>
            <w:vAlign w:val="center"/>
          </w:tcPr>
          <w:p w:rsidR="00902591" w:rsidRDefault="00A745AA">
            <w:pPr>
              <w:jc w:val="right"/>
            </w:pPr>
            <w:r>
              <w:rPr>
                <w:rFonts w:eastAsiaTheme="minorEastAsia"/>
                <w:kern w:val="0"/>
                <w:sz w:val="24"/>
                <w:szCs w:val="24"/>
              </w:rPr>
              <w:t>65,325.00</w:t>
            </w:r>
          </w:p>
        </w:tc>
        <w:tc>
          <w:tcPr>
            <w:tcW w:w="1842" w:type="dxa"/>
            <w:vAlign w:val="center"/>
          </w:tcPr>
          <w:p w:rsidR="00902591" w:rsidRDefault="00A745AA">
            <w:pPr>
              <w:jc w:val="right"/>
            </w:pPr>
            <w:r>
              <w:rPr>
                <w:rFonts w:eastAsiaTheme="minorEastAsia"/>
                <w:kern w:val="0"/>
                <w:sz w:val="24"/>
                <w:szCs w:val="24"/>
              </w:rPr>
              <w:t>33,465,997.50</w:t>
            </w:r>
          </w:p>
        </w:tc>
        <w:tc>
          <w:tcPr>
            <w:tcW w:w="1616" w:type="dxa"/>
            <w:vAlign w:val="center"/>
          </w:tcPr>
          <w:p w:rsidR="00902591" w:rsidRDefault="00A745AA">
            <w:pPr>
              <w:jc w:val="right"/>
            </w:pPr>
            <w:r>
              <w:rPr>
                <w:rFonts w:eastAsiaTheme="minorEastAsia"/>
                <w:kern w:val="0"/>
                <w:sz w:val="24"/>
                <w:szCs w:val="24"/>
              </w:rPr>
              <w:t>6.49</w:t>
            </w:r>
          </w:p>
        </w:tc>
      </w:tr>
      <w:tr w:rsidR="00902591">
        <w:tc>
          <w:tcPr>
            <w:tcW w:w="817" w:type="dxa"/>
            <w:vAlign w:val="center"/>
          </w:tcPr>
          <w:p w:rsidR="00902591" w:rsidRDefault="00A745AA">
            <w:pPr>
              <w:jc w:val="center"/>
            </w:pPr>
            <w:r>
              <w:rPr>
                <w:rFonts w:eastAsiaTheme="minorEastAsia"/>
                <w:kern w:val="0"/>
                <w:sz w:val="24"/>
                <w:szCs w:val="24"/>
              </w:rPr>
              <w:t>3</w:t>
            </w:r>
          </w:p>
        </w:tc>
        <w:tc>
          <w:tcPr>
            <w:tcW w:w="1276" w:type="dxa"/>
            <w:vAlign w:val="center"/>
          </w:tcPr>
          <w:p w:rsidR="00902591" w:rsidRDefault="00A745AA">
            <w:pPr>
              <w:jc w:val="center"/>
            </w:pPr>
            <w:r>
              <w:rPr>
                <w:rFonts w:eastAsiaTheme="minorEastAsia"/>
                <w:kern w:val="0"/>
                <w:sz w:val="24"/>
                <w:szCs w:val="24"/>
              </w:rPr>
              <w:t>688169</w:t>
            </w:r>
          </w:p>
        </w:tc>
        <w:tc>
          <w:tcPr>
            <w:tcW w:w="1701" w:type="dxa"/>
            <w:vAlign w:val="center"/>
          </w:tcPr>
          <w:p w:rsidR="00902591" w:rsidRDefault="00A745AA">
            <w:pPr>
              <w:jc w:val="center"/>
            </w:pPr>
            <w:r>
              <w:rPr>
                <w:rFonts w:eastAsiaTheme="minorEastAsia"/>
                <w:kern w:val="0"/>
                <w:sz w:val="24"/>
                <w:szCs w:val="24"/>
              </w:rPr>
              <w:t>石头科技</w:t>
            </w:r>
          </w:p>
        </w:tc>
        <w:tc>
          <w:tcPr>
            <w:tcW w:w="1276" w:type="dxa"/>
            <w:vAlign w:val="center"/>
          </w:tcPr>
          <w:p w:rsidR="00902591" w:rsidRDefault="00A745AA">
            <w:pPr>
              <w:jc w:val="right"/>
            </w:pPr>
            <w:r>
              <w:rPr>
                <w:rFonts w:eastAsiaTheme="minorEastAsia"/>
                <w:kern w:val="0"/>
                <w:sz w:val="24"/>
                <w:szCs w:val="24"/>
              </w:rPr>
              <w:t>55,429.00</w:t>
            </w:r>
          </w:p>
        </w:tc>
        <w:tc>
          <w:tcPr>
            <w:tcW w:w="1842" w:type="dxa"/>
            <w:vAlign w:val="center"/>
          </w:tcPr>
          <w:p w:rsidR="00902591" w:rsidRDefault="00A745AA">
            <w:pPr>
              <w:jc w:val="right"/>
            </w:pPr>
            <w:r>
              <w:rPr>
                <w:rFonts w:eastAsiaTheme="minorEastAsia"/>
                <w:kern w:val="0"/>
                <w:sz w:val="24"/>
                <w:szCs w:val="24"/>
              </w:rPr>
              <w:t>30,716,534.64</w:t>
            </w:r>
          </w:p>
        </w:tc>
        <w:tc>
          <w:tcPr>
            <w:tcW w:w="1616" w:type="dxa"/>
            <w:vAlign w:val="center"/>
          </w:tcPr>
          <w:p w:rsidR="00902591" w:rsidRDefault="00A745AA">
            <w:pPr>
              <w:jc w:val="right"/>
            </w:pPr>
            <w:r>
              <w:rPr>
                <w:rFonts w:eastAsiaTheme="minorEastAsia"/>
                <w:kern w:val="0"/>
                <w:sz w:val="24"/>
                <w:szCs w:val="24"/>
              </w:rPr>
              <w:t>5.95</w:t>
            </w:r>
          </w:p>
        </w:tc>
      </w:tr>
      <w:tr w:rsidR="00902591">
        <w:tc>
          <w:tcPr>
            <w:tcW w:w="817" w:type="dxa"/>
            <w:vAlign w:val="center"/>
          </w:tcPr>
          <w:p w:rsidR="00902591" w:rsidRDefault="00A745AA">
            <w:pPr>
              <w:jc w:val="center"/>
            </w:pPr>
            <w:r>
              <w:rPr>
                <w:rFonts w:eastAsiaTheme="minorEastAsia"/>
                <w:kern w:val="0"/>
                <w:sz w:val="24"/>
                <w:szCs w:val="24"/>
              </w:rPr>
              <w:t>4</w:t>
            </w:r>
          </w:p>
        </w:tc>
        <w:tc>
          <w:tcPr>
            <w:tcW w:w="1276" w:type="dxa"/>
            <w:vAlign w:val="center"/>
          </w:tcPr>
          <w:p w:rsidR="00902591" w:rsidRDefault="00A745AA">
            <w:pPr>
              <w:jc w:val="center"/>
            </w:pPr>
            <w:r>
              <w:rPr>
                <w:rFonts w:eastAsiaTheme="minorEastAsia"/>
                <w:kern w:val="0"/>
                <w:sz w:val="24"/>
                <w:szCs w:val="24"/>
              </w:rPr>
              <w:t>300769</w:t>
            </w:r>
          </w:p>
        </w:tc>
        <w:tc>
          <w:tcPr>
            <w:tcW w:w="1701" w:type="dxa"/>
            <w:vAlign w:val="center"/>
          </w:tcPr>
          <w:p w:rsidR="00902591" w:rsidRDefault="00A745AA">
            <w:pPr>
              <w:jc w:val="center"/>
            </w:pPr>
            <w:r>
              <w:rPr>
                <w:rFonts w:eastAsiaTheme="minorEastAsia"/>
                <w:kern w:val="0"/>
                <w:sz w:val="24"/>
                <w:szCs w:val="24"/>
              </w:rPr>
              <w:t>德方纳米</w:t>
            </w:r>
          </w:p>
        </w:tc>
        <w:tc>
          <w:tcPr>
            <w:tcW w:w="1276" w:type="dxa"/>
            <w:vAlign w:val="center"/>
          </w:tcPr>
          <w:p w:rsidR="00902591" w:rsidRDefault="00A745AA">
            <w:pPr>
              <w:jc w:val="right"/>
            </w:pPr>
            <w:r>
              <w:rPr>
                <w:rFonts w:eastAsiaTheme="minorEastAsia"/>
                <w:kern w:val="0"/>
                <w:sz w:val="24"/>
                <w:szCs w:val="24"/>
              </w:rPr>
              <w:t>42,557.00</w:t>
            </w:r>
          </w:p>
        </w:tc>
        <w:tc>
          <w:tcPr>
            <w:tcW w:w="1842" w:type="dxa"/>
            <w:vAlign w:val="center"/>
          </w:tcPr>
          <w:p w:rsidR="00902591" w:rsidRDefault="00A745AA">
            <w:pPr>
              <w:jc w:val="right"/>
            </w:pPr>
            <w:r>
              <w:rPr>
                <w:rFonts w:eastAsiaTheme="minorEastAsia"/>
                <w:kern w:val="0"/>
                <w:sz w:val="24"/>
                <w:szCs w:val="24"/>
              </w:rPr>
              <w:t>24,202,165.90</w:t>
            </w:r>
          </w:p>
        </w:tc>
        <w:tc>
          <w:tcPr>
            <w:tcW w:w="1616" w:type="dxa"/>
            <w:vAlign w:val="center"/>
          </w:tcPr>
          <w:p w:rsidR="00902591" w:rsidRDefault="00A745AA">
            <w:pPr>
              <w:jc w:val="right"/>
            </w:pPr>
            <w:r>
              <w:rPr>
                <w:rFonts w:eastAsiaTheme="minorEastAsia"/>
                <w:kern w:val="0"/>
                <w:sz w:val="24"/>
                <w:szCs w:val="24"/>
              </w:rPr>
              <w:t>4.69</w:t>
            </w:r>
          </w:p>
        </w:tc>
      </w:tr>
      <w:tr w:rsidR="00902591">
        <w:tc>
          <w:tcPr>
            <w:tcW w:w="817" w:type="dxa"/>
            <w:vAlign w:val="center"/>
          </w:tcPr>
          <w:p w:rsidR="00902591" w:rsidRDefault="00A745AA">
            <w:pPr>
              <w:jc w:val="center"/>
            </w:pPr>
            <w:r>
              <w:rPr>
                <w:rFonts w:eastAsiaTheme="minorEastAsia"/>
                <w:kern w:val="0"/>
                <w:sz w:val="24"/>
                <w:szCs w:val="24"/>
              </w:rPr>
              <w:t>5</w:t>
            </w:r>
          </w:p>
        </w:tc>
        <w:tc>
          <w:tcPr>
            <w:tcW w:w="1276" w:type="dxa"/>
            <w:vAlign w:val="center"/>
          </w:tcPr>
          <w:p w:rsidR="00902591" w:rsidRDefault="00A745AA">
            <w:pPr>
              <w:jc w:val="center"/>
            </w:pPr>
            <w:r>
              <w:rPr>
                <w:rFonts w:eastAsiaTheme="minorEastAsia"/>
                <w:kern w:val="0"/>
                <w:sz w:val="24"/>
                <w:szCs w:val="24"/>
              </w:rPr>
              <w:t>300014</w:t>
            </w:r>
          </w:p>
        </w:tc>
        <w:tc>
          <w:tcPr>
            <w:tcW w:w="1701" w:type="dxa"/>
            <w:vAlign w:val="center"/>
          </w:tcPr>
          <w:p w:rsidR="00902591" w:rsidRDefault="00A745AA">
            <w:pPr>
              <w:jc w:val="center"/>
            </w:pPr>
            <w:r>
              <w:rPr>
                <w:rFonts w:eastAsiaTheme="minorEastAsia"/>
                <w:kern w:val="0"/>
                <w:sz w:val="24"/>
                <w:szCs w:val="24"/>
              </w:rPr>
              <w:t>亿纬锂能</w:t>
            </w:r>
          </w:p>
        </w:tc>
        <w:tc>
          <w:tcPr>
            <w:tcW w:w="1276" w:type="dxa"/>
            <w:vAlign w:val="center"/>
          </w:tcPr>
          <w:p w:rsidR="00902591" w:rsidRDefault="00A745AA">
            <w:pPr>
              <w:jc w:val="right"/>
            </w:pPr>
            <w:r>
              <w:rPr>
                <w:rFonts w:eastAsiaTheme="minorEastAsia"/>
                <w:kern w:val="0"/>
                <w:sz w:val="24"/>
                <w:szCs w:val="24"/>
              </w:rPr>
              <w:t>233,400.00</w:t>
            </w:r>
          </w:p>
        </w:tc>
        <w:tc>
          <w:tcPr>
            <w:tcW w:w="1842" w:type="dxa"/>
            <w:vAlign w:val="center"/>
          </w:tcPr>
          <w:p w:rsidR="00902591" w:rsidRDefault="00A745AA">
            <w:pPr>
              <w:jc w:val="right"/>
            </w:pPr>
            <w:r>
              <w:rPr>
                <w:rFonts w:eastAsiaTheme="minorEastAsia"/>
                <w:kern w:val="0"/>
                <w:sz w:val="24"/>
                <w:szCs w:val="24"/>
              </w:rPr>
              <w:t>18,828,378.00</w:t>
            </w:r>
          </w:p>
        </w:tc>
        <w:tc>
          <w:tcPr>
            <w:tcW w:w="1616" w:type="dxa"/>
            <w:vAlign w:val="center"/>
          </w:tcPr>
          <w:p w:rsidR="00902591" w:rsidRDefault="00A745AA">
            <w:pPr>
              <w:jc w:val="right"/>
            </w:pPr>
            <w:r>
              <w:rPr>
                <w:rFonts w:eastAsiaTheme="minorEastAsia"/>
                <w:kern w:val="0"/>
                <w:sz w:val="24"/>
                <w:szCs w:val="24"/>
              </w:rPr>
              <w:t>3.65</w:t>
            </w:r>
          </w:p>
        </w:tc>
      </w:tr>
      <w:tr w:rsidR="00902591">
        <w:tc>
          <w:tcPr>
            <w:tcW w:w="817" w:type="dxa"/>
            <w:vAlign w:val="center"/>
          </w:tcPr>
          <w:p w:rsidR="00902591" w:rsidRDefault="00A745AA">
            <w:pPr>
              <w:jc w:val="center"/>
            </w:pPr>
            <w:r>
              <w:rPr>
                <w:rFonts w:eastAsiaTheme="minorEastAsia"/>
                <w:kern w:val="0"/>
                <w:sz w:val="24"/>
                <w:szCs w:val="24"/>
              </w:rPr>
              <w:t>6</w:t>
            </w:r>
          </w:p>
        </w:tc>
        <w:tc>
          <w:tcPr>
            <w:tcW w:w="1276" w:type="dxa"/>
            <w:vAlign w:val="center"/>
          </w:tcPr>
          <w:p w:rsidR="00902591" w:rsidRDefault="00A745AA">
            <w:pPr>
              <w:jc w:val="center"/>
            </w:pPr>
            <w:r>
              <w:rPr>
                <w:rFonts w:eastAsiaTheme="minorEastAsia"/>
                <w:kern w:val="0"/>
                <w:sz w:val="24"/>
                <w:szCs w:val="24"/>
              </w:rPr>
              <w:t>688800</w:t>
            </w:r>
          </w:p>
        </w:tc>
        <w:tc>
          <w:tcPr>
            <w:tcW w:w="1701" w:type="dxa"/>
            <w:vAlign w:val="center"/>
          </w:tcPr>
          <w:p w:rsidR="00902591" w:rsidRDefault="00A745AA">
            <w:pPr>
              <w:jc w:val="center"/>
            </w:pPr>
            <w:r>
              <w:rPr>
                <w:rFonts w:eastAsiaTheme="minorEastAsia"/>
                <w:kern w:val="0"/>
                <w:sz w:val="24"/>
                <w:szCs w:val="24"/>
              </w:rPr>
              <w:t>瑞可达</w:t>
            </w:r>
          </w:p>
        </w:tc>
        <w:tc>
          <w:tcPr>
            <w:tcW w:w="1276" w:type="dxa"/>
            <w:vAlign w:val="center"/>
          </w:tcPr>
          <w:p w:rsidR="00902591" w:rsidRDefault="00A745AA">
            <w:pPr>
              <w:jc w:val="right"/>
            </w:pPr>
            <w:r>
              <w:rPr>
                <w:rFonts w:eastAsiaTheme="minorEastAsia"/>
                <w:kern w:val="0"/>
                <w:sz w:val="24"/>
                <w:szCs w:val="24"/>
              </w:rPr>
              <w:t>152,096.00</w:t>
            </w:r>
          </w:p>
        </w:tc>
        <w:tc>
          <w:tcPr>
            <w:tcW w:w="1842" w:type="dxa"/>
            <w:vAlign w:val="center"/>
          </w:tcPr>
          <w:p w:rsidR="00902591" w:rsidRDefault="00A745AA">
            <w:pPr>
              <w:jc w:val="right"/>
            </w:pPr>
            <w:r>
              <w:rPr>
                <w:rFonts w:eastAsiaTheme="minorEastAsia"/>
                <w:kern w:val="0"/>
                <w:sz w:val="24"/>
                <w:szCs w:val="24"/>
              </w:rPr>
              <w:t>17,456,057.92</w:t>
            </w:r>
          </w:p>
        </w:tc>
        <w:tc>
          <w:tcPr>
            <w:tcW w:w="1616" w:type="dxa"/>
            <w:vAlign w:val="center"/>
          </w:tcPr>
          <w:p w:rsidR="00902591" w:rsidRDefault="00A745AA">
            <w:pPr>
              <w:jc w:val="right"/>
            </w:pPr>
            <w:r>
              <w:rPr>
                <w:rFonts w:eastAsiaTheme="minorEastAsia"/>
                <w:kern w:val="0"/>
                <w:sz w:val="24"/>
                <w:szCs w:val="24"/>
              </w:rPr>
              <w:t>3.38</w:t>
            </w:r>
          </w:p>
        </w:tc>
      </w:tr>
      <w:tr w:rsidR="00902591">
        <w:tc>
          <w:tcPr>
            <w:tcW w:w="817" w:type="dxa"/>
            <w:vAlign w:val="center"/>
          </w:tcPr>
          <w:p w:rsidR="00902591" w:rsidRDefault="00A745AA">
            <w:pPr>
              <w:jc w:val="center"/>
            </w:pPr>
            <w:r>
              <w:rPr>
                <w:rFonts w:eastAsiaTheme="minorEastAsia"/>
                <w:kern w:val="0"/>
                <w:sz w:val="24"/>
                <w:szCs w:val="24"/>
              </w:rPr>
              <w:t>7</w:t>
            </w:r>
          </w:p>
        </w:tc>
        <w:tc>
          <w:tcPr>
            <w:tcW w:w="1276" w:type="dxa"/>
            <w:vAlign w:val="center"/>
          </w:tcPr>
          <w:p w:rsidR="00902591" w:rsidRDefault="00A745AA">
            <w:pPr>
              <w:jc w:val="center"/>
            </w:pPr>
            <w:r>
              <w:rPr>
                <w:rFonts w:eastAsiaTheme="minorEastAsia"/>
                <w:kern w:val="0"/>
                <w:sz w:val="24"/>
                <w:szCs w:val="24"/>
              </w:rPr>
              <w:t>300059</w:t>
            </w:r>
          </w:p>
        </w:tc>
        <w:tc>
          <w:tcPr>
            <w:tcW w:w="1701" w:type="dxa"/>
            <w:vAlign w:val="center"/>
          </w:tcPr>
          <w:p w:rsidR="00902591" w:rsidRDefault="00A745AA">
            <w:pPr>
              <w:jc w:val="center"/>
            </w:pPr>
            <w:r>
              <w:rPr>
                <w:rFonts w:eastAsiaTheme="minorEastAsia"/>
                <w:kern w:val="0"/>
                <w:sz w:val="24"/>
                <w:szCs w:val="24"/>
              </w:rPr>
              <w:t>东方财富</w:t>
            </w:r>
          </w:p>
        </w:tc>
        <w:tc>
          <w:tcPr>
            <w:tcW w:w="1276" w:type="dxa"/>
            <w:vAlign w:val="center"/>
          </w:tcPr>
          <w:p w:rsidR="00902591" w:rsidRDefault="00A745AA">
            <w:pPr>
              <w:jc w:val="right"/>
            </w:pPr>
            <w:r>
              <w:rPr>
                <w:rFonts w:eastAsiaTheme="minorEastAsia"/>
                <w:kern w:val="0"/>
                <w:sz w:val="24"/>
                <w:szCs w:val="24"/>
              </w:rPr>
              <w:t>688,583.00</w:t>
            </w:r>
          </w:p>
        </w:tc>
        <w:tc>
          <w:tcPr>
            <w:tcW w:w="1842" w:type="dxa"/>
            <w:vAlign w:val="center"/>
          </w:tcPr>
          <w:p w:rsidR="00902591" w:rsidRDefault="00A745AA">
            <w:pPr>
              <w:jc w:val="right"/>
            </w:pPr>
            <w:r>
              <w:rPr>
                <w:rFonts w:eastAsiaTheme="minorEastAsia"/>
                <w:kern w:val="0"/>
                <w:sz w:val="24"/>
                <w:szCs w:val="24"/>
              </w:rPr>
              <w:t>17,448,693.22</w:t>
            </w:r>
          </w:p>
        </w:tc>
        <w:tc>
          <w:tcPr>
            <w:tcW w:w="1616" w:type="dxa"/>
            <w:vAlign w:val="center"/>
          </w:tcPr>
          <w:p w:rsidR="00902591" w:rsidRDefault="00A745AA">
            <w:pPr>
              <w:jc w:val="right"/>
            </w:pPr>
            <w:r>
              <w:rPr>
                <w:rFonts w:eastAsiaTheme="minorEastAsia"/>
                <w:kern w:val="0"/>
                <w:sz w:val="24"/>
                <w:szCs w:val="24"/>
              </w:rPr>
              <w:t>3.38</w:t>
            </w:r>
          </w:p>
        </w:tc>
      </w:tr>
      <w:tr w:rsidR="00902591">
        <w:tc>
          <w:tcPr>
            <w:tcW w:w="817" w:type="dxa"/>
            <w:vAlign w:val="center"/>
          </w:tcPr>
          <w:p w:rsidR="00902591" w:rsidRDefault="00A745AA">
            <w:pPr>
              <w:jc w:val="center"/>
            </w:pPr>
            <w:r>
              <w:rPr>
                <w:rFonts w:eastAsiaTheme="minorEastAsia"/>
                <w:kern w:val="0"/>
                <w:sz w:val="24"/>
                <w:szCs w:val="24"/>
              </w:rPr>
              <w:t>8</w:t>
            </w:r>
          </w:p>
        </w:tc>
        <w:tc>
          <w:tcPr>
            <w:tcW w:w="1276" w:type="dxa"/>
            <w:vAlign w:val="center"/>
          </w:tcPr>
          <w:p w:rsidR="00902591" w:rsidRDefault="00A745AA">
            <w:pPr>
              <w:jc w:val="center"/>
            </w:pPr>
            <w:r>
              <w:rPr>
                <w:rFonts w:eastAsiaTheme="minorEastAsia"/>
                <w:kern w:val="0"/>
                <w:sz w:val="24"/>
                <w:szCs w:val="24"/>
              </w:rPr>
              <w:t>603259</w:t>
            </w:r>
          </w:p>
        </w:tc>
        <w:tc>
          <w:tcPr>
            <w:tcW w:w="1701" w:type="dxa"/>
            <w:vAlign w:val="center"/>
          </w:tcPr>
          <w:p w:rsidR="00902591" w:rsidRDefault="00A745AA">
            <w:pPr>
              <w:jc w:val="center"/>
            </w:pPr>
            <w:r>
              <w:rPr>
                <w:rFonts w:eastAsiaTheme="minorEastAsia"/>
                <w:kern w:val="0"/>
                <w:sz w:val="24"/>
                <w:szCs w:val="24"/>
              </w:rPr>
              <w:t>药明康德</w:t>
            </w:r>
          </w:p>
        </w:tc>
        <w:tc>
          <w:tcPr>
            <w:tcW w:w="1276" w:type="dxa"/>
            <w:vAlign w:val="center"/>
          </w:tcPr>
          <w:p w:rsidR="00902591" w:rsidRDefault="00A745AA">
            <w:pPr>
              <w:jc w:val="right"/>
            </w:pPr>
            <w:r>
              <w:rPr>
                <w:rFonts w:eastAsiaTheme="minorEastAsia"/>
                <w:kern w:val="0"/>
                <w:sz w:val="24"/>
                <w:szCs w:val="24"/>
              </w:rPr>
              <w:t>154,434.00</w:t>
            </w:r>
          </w:p>
        </w:tc>
        <w:tc>
          <w:tcPr>
            <w:tcW w:w="1842" w:type="dxa"/>
            <w:vAlign w:val="center"/>
          </w:tcPr>
          <w:p w:rsidR="00902591" w:rsidRDefault="00A745AA">
            <w:pPr>
              <w:jc w:val="right"/>
            </w:pPr>
            <w:r>
              <w:rPr>
                <w:rFonts w:eastAsiaTheme="minorEastAsia"/>
                <w:kern w:val="0"/>
                <w:sz w:val="24"/>
                <w:szCs w:val="24"/>
              </w:rPr>
              <w:t>17,355,292.92</w:t>
            </w:r>
          </w:p>
        </w:tc>
        <w:tc>
          <w:tcPr>
            <w:tcW w:w="1616" w:type="dxa"/>
            <w:vAlign w:val="center"/>
          </w:tcPr>
          <w:p w:rsidR="00902591" w:rsidRDefault="00A745AA">
            <w:pPr>
              <w:jc w:val="right"/>
            </w:pPr>
            <w:r>
              <w:rPr>
                <w:rFonts w:eastAsiaTheme="minorEastAsia"/>
                <w:kern w:val="0"/>
                <w:sz w:val="24"/>
                <w:szCs w:val="24"/>
              </w:rPr>
              <w:t>3.36</w:t>
            </w:r>
          </w:p>
        </w:tc>
      </w:tr>
      <w:tr w:rsidR="00902591">
        <w:tc>
          <w:tcPr>
            <w:tcW w:w="817" w:type="dxa"/>
            <w:vAlign w:val="center"/>
          </w:tcPr>
          <w:p w:rsidR="00902591" w:rsidRDefault="00A745AA">
            <w:pPr>
              <w:jc w:val="center"/>
            </w:pPr>
            <w:r>
              <w:rPr>
                <w:rFonts w:eastAsiaTheme="minorEastAsia"/>
                <w:kern w:val="0"/>
                <w:sz w:val="24"/>
                <w:szCs w:val="24"/>
              </w:rPr>
              <w:t>9</w:t>
            </w:r>
          </w:p>
        </w:tc>
        <w:tc>
          <w:tcPr>
            <w:tcW w:w="1276" w:type="dxa"/>
            <w:vAlign w:val="center"/>
          </w:tcPr>
          <w:p w:rsidR="00902591" w:rsidRDefault="00A745AA">
            <w:pPr>
              <w:jc w:val="center"/>
            </w:pPr>
            <w:r>
              <w:rPr>
                <w:rFonts w:eastAsiaTheme="minorEastAsia"/>
                <w:kern w:val="0"/>
                <w:sz w:val="24"/>
                <w:szCs w:val="24"/>
              </w:rPr>
              <w:t>002475</w:t>
            </w:r>
          </w:p>
        </w:tc>
        <w:tc>
          <w:tcPr>
            <w:tcW w:w="1701" w:type="dxa"/>
            <w:vAlign w:val="center"/>
          </w:tcPr>
          <w:p w:rsidR="00902591" w:rsidRDefault="00A745AA">
            <w:pPr>
              <w:jc w:val="center"/>
            </w:pPr>
            <w:r>
              <w:rPr>
                <w:rFonts w:eastAsiaTheme="minorEastAsia"/>
                <w:kern w:val="0"/>
                <w:sz w:val="24"/>
                <w:szCs w:val="24"/>
              </w:rPr>
              <w:t>立讯精密</w:t>
            </w:r>
          </w:p>
        </w:tc>
        <w:tc>
          <w:tcPr>
            <w:tcW w:w="1276" w:type="dxa"/>
            <w:vAlign w:val="center"/>
          </w:tcPr>
          <w:p w:rsidR="00902591" w:rsidRDefault="00A745AA">
            <w:pPr>
              <w:jc w:val="right"/>
            </w:pPr>
            <w:r>
              <w:rPr>
                <w:rFonts w:eastAsiaTheme="minorEastAsia"/>
                <w:kern w:val="0"/>
                <w:sz w:val="24"/>
                <w:szCs w:val="24"/>
              </w:rPr>
              <w:t>545,100.00</w:t>
            </w:r>
          </w:p>
        </w:tc>
        <w:tc>
          <w:tcPr>
            <w:tcW w:w="1842" w:type="dxa"/>
            <w:vAlign w:val="center"/>
          </w:tcPr>
          <w:p w:rsidR="00902591" w:rsidRDefault="00A745AA">
            <w:pPr>
              <w:jc w:val="right"/>
            </w:pPr>
            <w:r>
              <w:rPr>
                <w:rFonts w:eastAsiaTheme="minorEastAsia"/>
                <w:kern w:val="0"/>
                <w:sz w:val="24"/>
                <w:szCs w:val="24"/>
              </w:rPr>
              <w:t>17,279,670.00</w:t>
            </w:r>
          </w:p>
        </w:tc>
        <w:tc>
          <w:tcPr>
            <w:tcW w:w="1616" w:type="dxa"/>
            <w:vAlign w:val="center"/>
          </w:tcPr>
          <w:p w:rsidR="00902591" w:rsidRDefault="00A745AA">
            <w:pPr>
              <w:jc w:val="right"/>
            </w:pPr>
            <w:r>
              <w:rPr>
                <w:rFonts w:eastAsiaTheme="minorEastAsia"/>
                <w:kern w:val="0"/>
                <w:sz w:val="24"/>
                <w:szCs w:val="24"/>
              </w:rPr>
              <w:t>3.35</w:t>
            </w:r>
          </w:p>
        </w:tc>
      </w:tr>
      <w:tr w:rsidR="00902591">
        <w:tc>
          <w:tcPr>
            <w:tcW w:w="817" w:type="dxa"/>
            <w:vAlign w:val="center"/>
          </w:tcPr>
          <w:p w:rsidR="00902591" w:rsidRDefault="00A745AA">
            <w:pPr>
              <w:jc w:val="center"/>
            </w:pPr>
            <w:r>
              <w:rPr>
                <w:rFonts w:eastAsiaTheme="minorEastAsia"/>
                <w:kern w:val="0"/>
                <w:sz w:val="24"/>
                <w:szCs w:val="24"/>
              </w:rPr>
              <w:t>10</w:t>
            </w:r>
          </w:p>
        </w:tc>
        <w:tc>
          <w:tcPr>
            <w:tcW w:w="1276" w:type="dxa"/>
            <w:vAlign w:val="center"/>
          </w:tcPr>
          <w:p w:rsidR="00902591" w:rsidRDefault="00A745AA">
            <w:pPr>
              <w:jc w:val="center"/>
            </w:pPr>
            <w:r>
              <w:rPr>
                <w:rFonts w:eastAsiaTheme="minorEastAsia"/>
                <w:kern w:val="0"/>
                <w:sz w:val="24"/>
                <w:szCs w:val="24"/>
              </w:rPr>
              <w:t>002594</w:t>
            </w:r>
          </w:p>
        </w:tc>
        <w:tc>
          <w:tcPr>
            <w:tcW w:w="1701" w:type="dxa"/>
            <w:vAlign w:val="center"/>
          </w:tcPr>
          <w:p w:rsidR="00902591" w:rsidRDefault="00A745AA">
            <w:pPr>
              <w:jc w:val="center"/>
            </w:pPr>
            <w:r>
              <w:rPr>
                <w:rFonts w:eastAsiaTheme="minorEastAsia"/>
                <w:kern w:val="0"/>
                <w:sz w:val="24"/>
                <w:szCs w:val="24"/>
              </w:rPr>
              <w:t>比亚迪</w:t>
            </w:r>
          </w:p>
        </w:tc>
        <w:tc>
          <w:tcPr>
            <w:tcW w:w="1276" w:type="dxa"/>
            <w:vAlign w:val="center"/>
          </w:tcPr>
          <w:p w:rsidR="00902591" w:rsidRDefault="00A745AA">
            <w:pPr>
              <w:jc w:val="right"/>
            </w:pPr>
            <w:r>
              <w:rPr>
                <w:rFonts w:eastAsiaTheme="minorEastAsia"/>
                <w:kern w:val="0"/>
                <w:sz w:val="24"/>
                <w:szCs w:val="24"/>
              </w:rPr>
              <w:t>73,241.00</w:t>
            </w:r>
          </w:p>
        </w:tc>
        <w:tc>
          <w:tcPr>
            <w:tcW w:w="1842" w:type="dxa"/>
            <w:vAlign w:val="center"/>
          </w:tcPr>
          <w:p w:rsidR="00902591" w:rsidRDefault="00A745AA">
            <w:pPr>
              <w:jc w:val="right"/>
            </w:pPr>
            <w:r>
              <w:rPr>
                <w:rFonts w:eastAsiaTheme="minorEastAsia"/>
                <w:kern w:val="0"/>
                <w:sz w:val="24"/>
                <w:szCs w:val="24"/>
              </w:rPr>
              <w:t>16,830,781.80</w:t>
            </w:r>
          </w:p>
        </w:tc>
        <w:tc>
          <w:tcPr>
            <w:tcW w:w="1616" w:type="dxa"/>
            <w:vAlign w:val="center"/>
          </w:tcPr>
          <w:p w:rsidR="00902591" w:rsidRDefault="00A745AA">
            <w:pPr>
              <w:jc w:val="right"/>
            </w:pPr>
            <w:r>
              <w:rPr>
                <w:rFonts w:eastAsiaTheme="minorEastAsia"/>
                <w:kern w:val="0"/>
                <w:sz w:val="24"/>
                <w:szCs w:val="24"/>
              </w:rPr>
              <w:t>3.26</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26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债券品种</w:t>
            </w:r>
          </w:p>
        </w:tc>
        <w:tc>
          <w:tcPr>
            <w:tcW w:w="294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国家债券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央行票据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其中：政策性金融债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lastRenderedPageBreak/>
              <w:t>4</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企业短期融资券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中期票据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可转债（可交换债）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2,681,568.28</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0.52</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同业存单</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9</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其他</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10</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合计</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2,681,568.28</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0.52</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D06738" w:rsidRPr="00FF6B9A">
        <w:tc>
          <w:tcPr>
            <w:tcW w:w="125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31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28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42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数量</w:t>
            </w:r>
            <w:r w:rsidRPr="00FF6B9A">
              <w:rPr>
                <w:rFonts w:eastAsiaTheme="minorEastAsia"/>
                <w:color w:val="000000" w:themeColor="text1"/>
                <w:kern w:val="0"/>
              </w:rPr>
              <w:t>(</w:t>
            </w:r>
            <w:r w:rsidRPr="00FF6B9A">
              <w:rPr>
                <w:rFonts w:eastAsiaTheme="minorEastAsia"/>
                <w:color w:val="000000" w:themeColor="text1"/>
                <w:kern w:val="0"/>
              </w:rPr>
              <w:t>张</w:t>
            </w:r>
            <w:r w:rsidRPr="00FF6B9A">
              <w:rPr>
                <w:rFonts w:eastAsiaTheme="minorEastAsia"/>
                <w:color w:val="000000" w:themeColor="text1"/>
                <w:kern w:val="0"/>
              </w:rPr>
              <w:t>)</w:t>
            </w:r>
          </w:p>
        </w:tc>
        <w:tc>
          <w:tcPr>
            <w:tcW w:w="164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1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902591">
        <w:tc>
          <w:tcPr>
            <w:tcW w:w="1252" w:type="dxa"/>
            <w:vAlign w:val="center"/>
          </w:tcPr>
          <w:p w:rsidR="00902591" w:rsidRDefault="00A745AA">
            <w:pPr>
              <w:jc w:val="center"/>
            </w:pPr>
            <w:r>
              <w:rPr>
                <w:rFonts w:eastAsiaTheme="minorEastAsia"/>
                <w:color w:val="000000" w:themeColor="text1"/>
                <w:kern w:val="0"/>
              </w:rPr>
              <w:t>1</w:t>
            </w:r>
          </w:p>
        </w:tc>
        <w:tc>
          <w:tcPr>
            <w:tcW w:w="1310" w:type="dxa"/>
            <w:vAlign w:val="center"/>
          </w:tcPr>
          <w:p w:rsidR="00902591" w:rsidRDefault="00A745AA">
            <w:pPr>
              <w:jc w:val="center"/>
            </w:pPr>
            <w:r>
              <w:rPr>
                <w:rFonts w:eastAsiaTheme="minorEastAsia"/>
                <w:color w:val="000000" w:themeColor="text1"/>
                <w:kern w:val="0"/>
              </w:rPr>
              <w:t>113641</w:t>
            </w:r>
          </w:p>
        </w:tc>
        <w:tc>
          <w:tcPr>
            <w:tcW w:w="1282" w:type="dxa"/>
            <w:vAlign w:val="center"/>
          </w:tcPr>
          <w:p w:rsidR="00902591" w:rsidRDefault="00A745AA">
            <w:pPr>
              <w:jc w:val="center"/>
            </w:pPr>
            <w:r>
              <w:rPr>
                <w:rFonts w:eastAsiaTheme="minorEastAsia"/>
                <w:color w:val="000000" w:themeColor="text1"/>
                <w:kern w:val="0"/>
              </w:rPr>
              <w:t>华友转债</w:t>
            </w:r>
          </w:p>
        </w:tc>
        <w:tc>
          <w:tcPr>
            <w:tcW w:w="1426" w:type="dxa"/>
            <w:vAlign w:val="center"/>
          </w:tcPr>
          <w:p w:rsidR="00902591" w:rsidRDefault="00A745AA">
            <w:pPr>
              <w:jc w:val="right"/>
            </w:pPr>
            <w:r>
              <w:rPr>
                <w:rFonts w:eastAsiaTheme="minorEastAsia"/>
                <w:color w:val="000000" w:themeColor="text1"/>
                <w:kern w:val="0"/>
              </w:rPr>
              <w:t>22,260</w:t>
            </w:r>
          </w:p>
        </w:tc>
        <w:tc>
          <w:tcPr>
            <w:tcW w:w="1646" w:type="dxa"/>
            <w:vAlign w:val="center"/>
          </w:tcPr>
          <w:p w:rsidR="00902591" w:rsidRDefault="00A745AA">
            <w:pPr>
              <w:jc w:val="right"/>
            </w:pPr>
            <w:r>
              <w:rPr>
                <w:rFonts w:eastAsiaTheme="minorEastAsia"/>
                <w:color w:val="000000" w:themeColor="text1"/>
                <w:kern w:val="0"/>
              </w:rPr>
              <w:t>2,681,568.28</w:t>
            </w:r>
          </w:p>
        </w:tc>
        <w:tc>
          <w:tcPr>
            <w:tcW w:w="1612" w:type="dxa"/>
            <w:vAlign w:val="center"/>
          </w:tcPr>
          <w:p w:rsidR="00902591" w:rsidRDefault="00A745AA">
            <w:pPr>
              <w:jc w:val="right"/>
            </w:pPr>
            <w:r>
              <w:rPr>
                <w:rFonts w:eastAsiaTheme="minorEastAsia"/>
                <w:color w:val="000000" w:themeColor="text1"/>
                <w:kern w:val="0"/>
              </w:rPr>
              <w:t>0.52</w:t>
            </w:r>
          </w:p>
        </w:tc>
      </w:tr>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lastRenderedPageBreak/>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246,964.11</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42,619.87</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2.74</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289,586.72</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lastRenderedPageBreak/>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503,434,131.76</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14,023,972.44</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16,467,641.80</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500,990,462.40</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902591" w:rsidRDefault="00A745AA">
      <w:pPr>
        <w:spacing w:line="360" w:lineRule="auto"/>
        <w:ind w:firstLineChars="200" w:firstLine="420"/>
        <w:rPr>
          <w:rFonts w:eastAsiaTheme="minorEastAsia"/>
          <w:color w:val="000000" w:themeColor="text1"/>
        </w:rPr>
      </w:pPr>
      <w:r>
        <w:rPr>
          <w:rFonts w:eastAsiaTheme="minorEastAsia"/>
          <w:color w:val="000000" w:themeColor="text1"/>
        </w:rPr>
        <w:t xml:space="preserve">1. </w:t>
      </w:r>
      <w:r>
        <w:rPr>
          <w:rFonts w:eastAsiaTheme="minorEastAsia"/>
          <w:color w:val="000000" w:themeColor="text1"/>
        </w:rPr>
        <w:t>中国证监会准予上投摩根智慧互联股票型证券投资基金募集注册的文件；</w:t>
      </w:r>
    </w:p>
    <w:p w:rsidR="00902591" w:rsidRDefault="00A745AA">
      <w:pPr>
        <w:spacing w:line="360" w:lineRule="auto"/>
        <w:ind w:firstLineChars="200" w:firstLine="420"/>
        <w:rPr>
          <w:rFonts w:eastAsiaTheme="minorEastAsia"/>
          <w:color w:val="000000" w:themeColor="text1"/>
        </w:rPr>
      </w:pPr>
      <w:r>
        <w:rPr>
          <w:rFonts w:eastAsiaTheme="minorEastAsia"/>
          <w:color w:val="000000" w:themeColor="text1"/>
        </w:rPr>
        <w:t xml:space="preserve">2. </w:t>
      </w:r>
      <w:r>
        <w:rPr>
          <w:rFonts w:eastAsiaTheme="minorEastAsia"/>
          <w:color w:val="000000" w:themeColor="text1"/>
        </w:rPr>
        <w:t>《上投摩根智慧互联股票型证券投资基金基金合同》；</w:t>
      </w:r>
    </w:p>
    <w:p w:rsidR="00902591" w:rsidRDefault="00A745AA">
      <w:pPr>
        <w:spacing w:line="360" w:lineRule="auto"/>
        <w:ind w:firstLineChars="200" w:firstLine="420"/>
        <w:rPr>
          <w:rFonts w:eastAsiaTheme="minorEastAsia"/>
          <w:color w:val="000000" w:themeColor="text1"/>
        </w:rPr>
      </w:pPr>
      <w:r>
        <w:rPr>
          <w:rFonts w:eastAsiaTheme="minorEastAsia"/>
          <w:color w:val="000000" w:themeColor="text1"/>
        </w:rPr>
        <w:t xml:space="preserve">3. </w:t>
      </w:r>
      <w:r>
        <w:rPr>
          <w:rFonts w:eastAsiaTheme="minorEastAsia"/>
          <w:color w:val="000000" w:themeColor="text1"/>
        </w:rPr>
        <w:t>《上投摩根智慧互联股票型证券投资基金基金托管协议》；</w:t>
      </w:r>
    </w:p>
    <w:p w:rsidR="00902591" w:rsidRDefault="00A745AA">
      <w:pPr>
        <w:spacing w:line="360" w:lineRule="auto"/>
        <w:ind w:firstLineChars="200" w:firstLine="420"/>
        <w:rPr>
          <w:rFonts w:eastAsiaTheme="minorEastAsia"/>
          <w:color w:val="000000" w:themeColor="text1"/>
        </w:rPr>
      </w:pPr>
      <w:r>
        <w:rPr>
          <w:rFonts w:eastAsiaTheme="minorEastAsia"/>
          <w:color w:val="000000" w:themeColor="text1"/>
        </w:rPr>
        <w:t xml:space="preserve">4. </w:t>
      </w:r>
      <w:r>
        <w:rPr>
          <w:rFonts w:eastAsiaTheme="minorEastAsia"/>
          <w:color w:val="000000" w:themeColor="text1"/>
        </w:rPr>
        <w:t>《上投摩根基金管理有限公司开放式基金业务规则》；</w:t>
      </w:r>
    </w:p>
    <w:p w:rsidR="00902591" w:rsidRDefault="00A745AA">
      <w:pPr>
        <w:spacing w:line="360" w:lineRule="auto"/>
        <w:ind w:firstLineChars="200" w:firstLine="420"/>
        <w:rPr>
          <w:rFonts w:eastAsiaTheme="minorEastAsia"/>
          <w:color w:val="000000" w:themeColor="text1"/>
        </w:rPr>
      </w:pPr>
      <w:r>
        <w:rPr>
          <w:rFonts w:eastAsiaTheme="minorEastAsia"/>
          <w:color w:val="000000" w:themeColor="text1"/>
        </w:rPr>
        <w:t xml:space="preserve">5. </w:t>
      </w:r>
      <w:r>
        <w:rPr>
          <w:rFonts w:eastAsiaTheme="minorEastAsia"/>
          <w:color w:val="000000" w:themeColor="text1"/>
        </w:rPr>
        <w:t>基金管理人业务资格批件、营业执照；</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 xml:space="preserve">6. </w:t>
      </w:r>
      <w:r w:rsidRPr="00FF6B9A">
        <w:rPr>
          <w:rFonts w:eastAsiaTheme="minorEastAsia"/>
          <w:color w:val="000000" w:themeColor="text1"/>
        </w:rPr>
        <w:t>基金托管人业务资格批件和营业执照。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基金管理人或基金托管人处。</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二〇二二年四月二十二日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A745AA" w:rsidRPr="00A745AA">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A745AA">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上投摩根智慧互联股票型证券投资基金</w:t>
    </w:r>
    <w:r>
      <w:rPr>
        <w:rFonts w:hint="eastAsia"/>
      </w:rPr>
      <w:t>2022</w:t>
    </w:r>
    <w:r>
      <w:rPr>
        <w:rFonts w:hint="eastAsia"/>
      </w:rPr>
      <w:t>年第</w:t>
    </w:r>
    <w:r>
      <w:rPr>
        <w:rFonts w:hint="eastAsia"/>
      </w:rPr>
      <w:t>1</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2591"/>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45AA"/>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CEBE67-C80C-459E-AA04-85E57FF1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1228</Words>
  <Characters>7002</Characters>
  <Application>Microsoft Office Word</Application>
  <DocSecurity>0</DocSecurity>
  <Lines>58</Lines>
  <Paragraphs>16</Paragraphs>
  <ScaleCrop>false</ScaleCrop>
  <Company/>
  <LinksUpToDate>false</LinksUpToDate>
  <CharactersWithSpaces>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Wang,Xiaodi@FA</cp:lastModifiedBy>
  <cp:revision>268</cp:revision>
  <dcterms:created xsi:type="dcterms:W3CDTF">2012-10-16T06:07:00Z</dcterms:created>
  <dcterms:modified xsi:type="dcterms:W3CDTF">2022-04-21T03:22:00Z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