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摩根智慧互联股票型证券投资基金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7D0295" w:rsidRDefault="009C505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7D0295" w:rsidRDefault="009C505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7D0295" w:rsidRDefault="009C505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7D0295" w:rsidRDefault="009C505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7D0295" w:rsidRDefault="009C505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摩根智慧互联股票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001313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9</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544,798,525.67</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采用定量及定性研究方法，自下而上优选互联网主题上市公司，通过严格的风险控制，力争实现基金资产的长期增值。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7D0295" w:rsidRDefault="009C505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本基金将专注于互联网主题投资，对其相关行业的发展进行密切跟踪，充分把握互联网概念企业的投资机会。</w:t>
            </w:r>
          </w:p>
          <w:p w:rsidR="007D0295" w:rsidRDefault="009C505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在资产配置层面，本基金将根据各类证券的风险收益特征的相对变化，适度的调整确定基金资产在股票、债券及现金等类别资产间的分配比例，动态优化投资组合。</w:t>
            </w:r>
          </w:p>
          <w:p w:rsidR="007D0295" w:rsidRDefault="009C505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在个股选择层面，本基金主要采取</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的选股策略，</w:t>
            </w:r>
            <w:r>
              <w:rPr>
                <w:rFonts w:eastAsiaTheme="minorEastAsia"/>
                <w:color w:val="000000" w:themeColor="text1"/>
                <w:kern w:val="0"/>
                <w:szCs w:val="21"/>
              </w:rPr>
              <w:lastRenderedPageBreak/>
              <w:t>基于对互联网主题相关的上市公司盈利水平、成长性和估值水平的综合考量，使用定性与定量相结合的方法精选股票进行投资。</w:t>
            </w:r>
          </w:p>
          <w:p w:rsidR="007D0295" w:rsidRDefault="009C505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7D0295" w:rsidRDefault="009C505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7D0295" w:rsidRDefault="009C505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7D0295" w:rsidRDefault="009C505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当前互联网概念不仅仅包含传统意义上的计算机、通讯等行业，而是体现在社会发展的方方面面，互联网的运用在创造新型商业模式、传统产业升级等方面发挥越来越重要的作用，融合了互联网平台与技术的传统企业将会以领先者的角色占领市场。同时，互联网作为知识密集型、低能耗、高附加值的代表，符合未来大力发展低碳经济的政策趋势，将成为推动经济发展的重要力量之一。</w:t>
            </w:r>
          </w:p>
          <w:p w:rsidR="007D0295" w:rsidRDefault="009C505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专注于互联网主题投资，对其相关行业的发展进行密切跟踪，充分把握互联网概念企业的投资机会，发掘与互联主题相关的上市公司中商业模式独特、竞争优势明显，具有长期持续增长模式、估值水平相对合理的优质上市公司，分享企业成长及变革带来的资本增值。</w:t>
            </w:r>
          </w:p>
          <w:p w:rsidR="007D0295" w:rsidRDefault="009C505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7D0295" w:rsidRDefault="009C505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w:t>
            </w:r>
            <w:r>
              <w:rPr>
                <w:rFonts w:eastAsiaTheme="minorEastAsia"/>
                <w:color w:val="000000" w:themeColor="text1"/>
                <w:kern w:val="0"/>
                <w:szCs w:val="21"/>
              </w:rPr>
              <w:lastRenderedPageBreak/>
              <w:t>要通过类属配置与债券选择两个层次进行投资管理。</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、其他投资策略：包括可转换债券投资策略、中小企业私募债投资策略、股指期货投资策略、资产支持证券投资策略、股票期权投资策略、存托凭证投资策略等。</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7D0295" w:rsidRDefault="009C505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001313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016919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538,835,684.46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5,962,841.21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-34,683,942.62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-340,385.25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-109,585,837.68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-920,347.13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-0.2047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-0.1838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396,800,315.73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4,369,736.87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0.7364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0.7328</w:t>
            </w:r>
          </w:p>
        </w:tc>
      </w:tr>
    </w:tbl>
    <w:p w:rsidR="007D0295" w:rsidRDefault="009C505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摩根智慧互联股票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D0295">
        <w:tc>
          <w:tcPr>
            <w:tcW w:w="1290" w:type="dxa"/>
            <w:vAlign w:val="center"/>
          </w:tcPr>
          <w:p w:rsidR="007D0295" w:rsidRDefault="009C5056">
            <w:pPr>
              <w:jc w:val="left"/>
            </w:pPr>
            <w:r>
              <w:rPr>
                <w:rFonts w:eastAsiaTheme="minorEastAsia"/>
                <w:color w:val="000000" w:themeColor="text1"/>
                <w:szCs w:val="21"/>
              </w:rPr>
              <w:t>过去三个月</w:t>
            </w:r>
          </w:p>
        </w:tc>
        <w:tc>
          <w:tcPr>
            <w:tcW w:w="1291" w:type="dxa"/>
            <w:vAlign w:val="center"/>
          </w:tcPr>
          <w:p w:rsidR="007D0295" w:rsidRDefault="009C5056">
            <w:pPr>
              <w:jc w:val="right"/>
            </w:pPr>
            <w:r>
              <w:rPr>
                <w:rFonts w:eastAsiaTheme="minorEastAsia"/>
                <w:color w:val="000000" w:themeColor="text1"/>
                <w:szCs w:val="21"/>
              </w:rPr>
              <w:t>-21.82%</w:t>
            </w:r>
          </w:p>
        </w:tc>
        <w:tc>
          <w:tcPr>
            <w:tcW w:w="1291" w:type="dxa"/>
            <w:vAlign w:val="center"/>
          </w:tcPr>
          <w:p w:rsidR="007D0295" w:rsidRDefault="009C5056">
            <w:pPr>
              <w:jc w:val="right"/>
            </w:pPr>
            <w:r>
              <w:rPr>
                <w:rFonts w:eastAsiaTheme="minorEastAsia"/>
                <w:color w:val="000000" w:themeColor="text1"/>
                <w:szCs w:val="21"/>
              </w:rPr>
              <w:t>2.09%</w:t>
            </w:r>
          </w:p>
        </w:tc>
        <w:tc>
          <w:tcPr>
            <w:tcW w:w="1291" w:type="dxa"/>
            <w:vAlign w:val="center"/>
          </w:tcPr>
          <w:p w:rsidR="007D0295" w:rsidRDefault="009C5056">
            <w:pPr>
              <w:jc w:val="right"/>
            </w:pPr>
            <w:r>
              <w:rPr>
                <w:rFonts w:eastAsiaTheme="minorEastAsia"/>
                <w:color w:val="000000" w:themeColor="text1"/>
                <w:szCs w:val="21"/>
              </w:rPr>
              <w:t>-3.65%</w:t>
            </w:r>
          </w:p>
        </w:tc>
        <w:tc>
          <w:tcPr>
            <w:tcW w:w="1291" w:type="dxa"/>
            <w:vAlign w:val="center"/>
          </w:tcPr>
          <w:p w:rsidR="007D0295" w:rsidRDefault="009C5056">
            <w:pPr>
              <w:jc w:val="right"/>
            </w:pPr>
            <w:r>
              <w:rPr>
                <w:rFonts w:eastAsiaTheme="minorEastAsia"/>
                <w:color w:val="000000" w:themeColor="text1"/>
                <w:szCs w:val="21"/>
              </w:rPr>
              <w:t>0.74%</w:t>
            </w:r>
          </w:p>
        </w:tc>
        <w:tc>
          <w:tcPr>
            <w:tcW w:w="1291" w:type="dxa"/>
            <w:vAlign w:val="center"/>
          </w:tcPr>
          <w:p w:rsidR="007D0295" w:rsidRDefault="009C5056">
            <w:pPr>
              <w:jc w:val="right"/>
            </w:pPr>
            <w:r>
              <w:rPr>
                <w:rFonts w:eastAsiaTheme="minorEastAsia"/>
                <w:color w:val="000000" w:themeColor="text1"/>
                <w:szCs w:val="21"/>
              </w:rPr>
              <w:t>-18.17%</w:t>
            </w:r>
          </w:p>
        </w:tc>
        <w:tc>
          <w:tcPr>
            <w:tcW w:w="1291" w:type="dxa"/>
            <w:vAlign w:val="center"/>
          </w:tcPr>
          <w:p w:rsidR="007D0295" w:rsidRDefault="009C5056">
            <w:pPr>
              <w:jc w:val="right"/>
            </w:pPr>
            <w:r>
              <w:rPr>
                <w:rFonts w:eastAsiaTheme="minorEastAsia"/>
                <w:color w:val="000000" w:themeColor="text1"/>
                <w:szCs w:val="21"/>
              </w:rPr>
              <w:t>1.35%</w:t>
            </w:r>
          </w:p>
        </w:tc>
      </w:tr>
      <w:tr w:rsidR="007D0295">
        <w:tc>
          <w:tcPr>
            <w:tcW w:w="1290" w:type="dxa"/>
            <w:vAlign w:val="center"/>
          </w:tcPr>
          <w:p w:rsidR="007D0295" w:rsidRDefault="009C5056">
            <w:pPr>
              <w:jc w:val="left"/>
            </w:pPr>
            <w:r>
              <w:rPr>
                <w:rFonts w:eastAsiaTheme="minorEastAsia"/>
                <w:color w:val="000000" w:themeColor="text1"/>
                <w:szCs w:val="21"/>
              </w:rPr>
              <w:t>过去六个月</w:t>
            </w:r>
          </w:p>
        </w:tc>
        <w:tc>
          <w:tcPr>
            <w:tcW w:w="1291" w:type="dxa"/>
            <w:vAlign w:val="center"/>
          </w:tcPr>
          <w:p w:rsidR="007D0295" w:rsidRDefault="009C5056">
            <w:pPr>
              <w:jc w:val="right"/>
            </w:pPr>
            <w:r>
              <w:rPr>
                <w:rFonts w:eastAsiaTheme="minorEastAsia"/>
                <w:color w:val="000000" w:themeColor="text1"/>
                <w:szCs w:val="21"/>
              </w:rPr>
              <w:t>-21.36%</w:t>
            </w:r>
          </w:p>
        </w:tc>
        <w:tc>
          <w:tcPr>
            <w:tcW w:w="1291" w:type="dxa"/>
            <w:vAlign w:val="center"/>
          </w:tcPr>
          <w:p w:rsidR="007D0295" w:rsidRDefault="009C5056">
            <w:pPr>
              <w:jc w:val="right"/>
            </w:pPr>
            <w:r>
              <w:rPr>
                <w:rFonts w:eastAsiaTheme="minorEastAsia"/>
                <w:color w:val="000000" w:themeColor="text1"/>
                <w:szCs w:val="21"/>
              </w:rPr>
              <w:t>2.28%</w:t>
            </w:r>
          </w:p>
        </w:tc>
        <w:tc>
          <w:tcPr>
            <w:tcW w:w="1291" w:type="dxa"/>
            <w:vAlign w:val="center"/>
          </w:tcPr>
          <w:p w:rsidR="007D0295" w:rsidRDefault="009C5056">
            <w:pPr>
              <w:jc w:val="right"/>
            </w:pPr>
            <w:r>
              <w:rPr>
                <w:rFonts w:eastAsiaTheme="minorEastAsia"/>
                <w:color w:val="000000" w:themeColor="text1"/>
                <w:szCs w:val="21"/>
              </w:rPr>
              <w:t>-7.73%</w:t>
            </w:r>
          </w:p>
        </w:tc>
        <w:tc>
          <w:tcPr>
            <w:tcW w:w="1291" w:type="dxa"/>
            <w:vAlign w:val="center"/>
          </w:tcPr>
          <w:p w:rsidR="007D0295" w:rsidRDefault="009C5056">
            <w:pPr>
              <w:jc w:val="right"/>
            </w:pPr>
            <w:r>
              <w:rPr>
                <w:rFonts w:eastAsiaTheme="minorEastAsia"/>
                <w:color w:val="000000" w:themeColor="text1"/>
                <w:szCs w:val="21"/>
              </w:rPr>
              <w:t>0.71%</w:t>
            </w:r>
          </w:p>
        </w:tc>
        <w:tc>
          <w:tcPr>
            <w:tcW w:w="1291" w:type="dxa"/>
            <w:vAlign w:val="center"/>
          </w:tcPr>
          <w:p w:rsidR="007D0295" w:rsidRDefault="009C5056">
            <w:pPr>
              <w:jc w:val="right"/>
            </w:pPr>
            <w:r>
              <w:rPr>
                <w:rFonts w:eastAsiaTheme="minorEastAsia"/>
                <w:color w:val="000000" w:themeColor="text1"/>
                <w:szCs w:val="21"/>
              </w:rPr>
              <w:t>-13.63%</w:t>
            </w:r>
          </w:p>
        </w:tc>
        <w:tc>
          <w:tcPr>
            <w:tcW w:w="1291" w:type="dxa"/>
            <w:vAlign w:val="center"/>
          </w:tcPr>
          <w:p w:rsidR="007D0295" w:rsidRDefault="009C5056">
            <w:pPr>
              <w:jc w:val="right"/>
            </w:pPr>
            <w:r>
              <w:rPr>
                <w:rFonts w:eastAsiaTheme="minorEastAsia"/>
                <w:color w:val="000000" w:themeColor="text1"/>
                <w:szCs w:val="21"/>
              </w:rPr>
              <w:t>1.57%</w:t>
            </w:r>
          </w:p>
        </w:tc>
      </w:tr>
      <w:tr w:rsidR="007D0295">
        <w:tc>
          <w:tcPr>
            <w:tcW w:w="1290" w:type="dxa"/>
            <w:vAlign w:val="center"/>
          </w:tcPr>
          <w:p w:rsidR="007D0295" w:rsidRDefault="009C5056">
            <w:pPr>
              <w:jc w:val="left"/>
            </w:pPr>
            <w:r>
              <w:rPr>
                <w:rFonts w:eastAsiaTheme="minorEastAsia"/>
                <w:color w:val="000000" w:themeColor="text1"/>
                <w:szCs w:val="21"/>
              </w:rPr>
              <w:t>过去一年</w:t>
            </w:r>
          </w:p>
        </w:tc>
        <w:tc>
          <w:tcPr>
            <w:tcW w:w="1291" w:type="dxa"/>
            <w:vAlign w:val="center"/>
          </w:tcPr>
          <w:p w:rsidR="007D0295" w:rsidRDefault="009C5056">
            <w:pPr>
              <w:jc w:val="right"/>
            </w:pPr>
            <w:r>
              <w:rPr>
                <w:rFonts w:eastAsiaTheme="minorEastAsia"/>
                <w:color w:val="000000" w:themeColor="text1"/>
                <w:szCs w:val="21"/>
              </w:rPr>
              <w:t>-19.94%</w:t>
            </w:r>
          </w:p>
        </w:tc>
        <w:tc>
          <w:tcPr>
            <w:tcW w:w="1291" w:type="dxa"/>
            <w:vAlign w:val="center"/>
          </w:tcPr>
          <w:p w:rsidR="007D0295" w:rsidRDefault="009C5056">
            <w:pPr>
              <w:jc w:val="right"/>
            </w:pPr>
            <w:r>
              <w:rPr>
                <w:rFonts w:eastAsiaTheme="minorEastAsia"/>
                <w:color w:val="000000" w:themeColor="text1"/>
                <w:szCs w:val="21"/>
              </w:rPr>
              <w:t>1.98%</w:t>
            </w:r>
          </w:p>
        </w:tc>
        <w:tc>
          <w:tcPr>
            <w:tcW w:w="1291" w:type="dxa"/>
            <w:vAlign w:val="center"/>
          </w:tcPr>
          <w:p w:rsidR="007D0295" w:rsidRDefault="009C5056">
            <w:pPr>
              <w:jc w:val="right"/>
            </w:pPr>
            <w:r>
              <w:rPr>
                <w:rFonts w:eastAsiaTheme="minorEastAsia"/>
                <w:color w:val="000000" w:themeColor="text1"/>
                <w:szCs w:val="21"/>
              </w:rPr>
              <w:t>-1.97%</w:t>
            </w:r>
          </w:p>
        </w:tc>
        <w:tc>
          <w:tcPr>
            <w:tcW w:w="1291" w:type="dxa"/>
            <w:vAlign w:val="center"/>
          </w:tcPr>
          <w:p w:rsidR="007D0295" w:rsidRDefault="009C5056">
            <w:pPr>
              <w:jc w:val="right"/>
            </w:pPr>
            <w:r>
              <w:rPr>
                <w:rFonts w:eastAsiaTheme="minorEastAsia"/>
                <w:color w:val="000000" w:themeColor="text1"/>
                <w:szCs w:val="21"/>
              </w:rPr>
              <w:t>0.79%</w:t>
            </w:r>
          </w:p>
        </w:tc>
        <w:tc>
          <w:tcPr>
            <w:tcW w:w="1291" w:type="dxa"/>
            <w:vAlign w:val="center"/>
          </w:tcPr>
          <w:p w:rsidR="007D0295" w:rsidRDefault="009C5056">
            <w:pPr>
              <w:jc w:val="right"/>
            </w:pPr>
            <w:r>
              <w:rPr>
                <w:rFonts w:eastAsiaTheme="minorEastAsia"/>
                <w:color w:val="000000" w:themeColor="text1"/>
                <w:szCs w:val="21"/>
              </w:rPr>
              <w:t>-17.97%</w:t>
            </w:r>
          </w:p>
        </w:tc>
        <w:tc>
          <w:tcPr>
            <w:tcW w:w="1291" w:type="dxa"/>
            <w:vAlign w:val="center"/>
          </w:tcPr>
          <w:p w:rsidR="007D0295" w:rsidRDefault="009C5056">
            <w:pPr>
              <w:jc w:val="right"/>
            </w:pPr>
            <w:r>
              <w:rPr>
                <w:rFonts w:eastAsiaTheme="minorEastAsia"/>
                <w:color w:val="000000" w:themeColor="text1"/>
                <w:szCs w:val="21"/>
              </w:rPr>
              <w:t>1.19%</w:t>
            </w:r>
          </w:p>
        </w:tc>
      </w:tr>
      <w:tr w:rsidR="007D0295">
        <w:tc>
          <w:tcPr>
            <w:tcW w:w="1290" w:type="dxa"/>
            <w:vAlign w:val="center"/>
          </w:tcPr>
          <w:p w:rsidR="007D0295" w:rsidRDefault="009C5056">
            <w:pPr>
              <w:jc w:val="left"/>
            </w:pPr>
            <w:r>
              <w:rPr>
                <w:rFonts w:eastAsiaTheme="minorEastAsia"/>
                <w:color w:val="000000" w:themeColor="text1"/>
                <w:szCs w:val="21"/>
              </w:rPr>
              <w:t>过去三年</w:t>
            </w:r>
          </w:p>
        </w:tc>
        <w:tc>
          <w:tcPr>
            <w:tcW w:w="1291" w:type="dxa"/>
            <w:vAlign w:val="center"/>
          </w:tcPr>
          <w:p w:rsidR="007D0295" w:rsidRDefault="009C5056">
            <w:pPr>
              <w:jc w:val="right"/>
            </w:pPr>
            <w:r>
              <w:rPr>
                <w:rFonts w:eastAsiaTheme="minorEastAsia"/>
                <w:color w:val="000000" w:themeColor="text1"/>
                <w:szCs w:val="21"/>
              </w:rPr>
              <w:t>-35.23%</w:t>
            </w:r>
          </w:p>
        </w:tc>
        <w:tc>
          <w:tcPr>
            <w:tcW w:w="1291" w:type="dxa"/>
            <w:vAlign w:val="center"/>
          </w:tcPr>
          <w:p w:rsidR="007D0295" w:rsidRDefault="009C5056">
            <w:pPr>
              <w:jc w:val="right"/>
            </w:pPr>
            <w:r>
              <w:rPr>
                <w:rFonts w:eastAsiaTheme="minorEastAsia"/>
                <w:color w:val="000000" w:themeColor="text1"/>
                <w:szCs w:val="21"/>
              </w:rPr>
              <w:t>1.94%</w:t>
            </w:r>
          </w:p>
        </w:tc>
        <w:tc>
          <w:tcPr>
            <w:tcW w:w="1291" w:type="dxa"/>
            <w:vAlign w:val="center"/>
          </w:tcPr>
          <w:p w:rsidR="007D0295" w:rsidRDefault="009C5056">
            <w:pPr>
              <w:jc w:val="right"/>
            </w:pPr>
            <w:r>
              <w:rPr>
                <w:rFonts w:eastAsiaTheme="minorEastAsia"/>
                <w:color w:val="000000" w:themeColor="text1"/>
                <w:szCs w:val="21"/>
              </w:rPr>
              <w:t>-13.81%</w:t>
            </w:r>
          </w:p>
        </w:tc>
        <w:tc>
          <w:tcPr>
            <w:tcW w:w="1291" w:type="dxa"/>
            <w:vAlign w:val="center"/>
          </w:tcPr>
          <w:p w:rsidR="007D0295" w:rsidRDefault="009C5056">
            <w:pPr>
              <w:jc w:val="right"/>
            </w:pPr>
            <w:r>
              <w:rPr>
                <w:rFonts w:eastAsiaTheme="minorEastAsia"/>
                <w:color w:val="000000" w:themeColor="text1"/>
                <w:szCs w:val="21"/>
              </w:rPr>
              <w:t>0.92%</w:t>
            </w:r>
          </w:p>
        </w:tc>
        <w:tc>
          <w:tcPr>
            <w:tcW w:w="1291" w:type="dxa"/>
            <w:vAlign w:val="center"/>
          </w:tcPr>
          <w:p w:rsidR="007D0295" w:rsidRDefault="009C5056">
            <w:pPr>
              <w:jc w:val="right"/>
            </w:pPr>
            <w:r>
              <w:rPr>
                <w:rFonts w:eastAsiaTheme="minorEastAsia"/>
                <w:color w:val="000000" w:themeColor="text1"/>
                <w:szCs w:val="21"/>
              </w:rPr>
              <w:t>-21.42%</w:t>
            </w:r>
          </w:p>
        </w:tc>
        <w:tc>
          <w:tcPr>
            <w:tcW w:w="1291" w:type="dxa"/>
            <w:vAlign w:val="center"/>
          </w:tcPr>
          <w:p w:rsidR="007D0295" w:rsidRDefault="009C5056">
            <w:pPr>
              <w:jc w:val="right"/>
            </w:pPr>
            <w:r>
              <w:rPr>
                <w:rFonts w:eastAsiaTheme="minorEastAsia"/>
                <w:color w:val="000000" w:themeColor="text1"/>
                <w:szCs w:val="21"/>
              </w:rPr>
              <w:t>1.02%</w:t>
            </w:r>
          </w:p>
        </w:tc>
      </w:tr>
      <w:tr w:rsidR="007D0295">
        <w:tc>
          <w:tcPr>
            <w:tcW w:w="1290" w:type="dxa"/>
            <w:vAlign w:val="center"/>
          </w:tcPr>
          <w:p w:rsidR="007D0295" w:rsidRDefault="009C5056">
            <w:pPr>
              <w:jc w:val="left"/>
            </w:pPr>
            <w:r>
              <w:rPr>
                <w:rFonts w:eastAsiaTheme="minorEastAsia"/>
                <w:color w:val="000000" w:themeColor="text1"/>
                <w:szCs w:val="21"/>
              </w:rPr>
              <w:t>过去五年</w:t>
            </w:r>
          </w:p>
        </w:tc>
        <w:tc>
          <w:tcPr>
            <w:tcW w:w="1291" w:type="dxa"/>
            <w:vAlign w:val="center"/>
          </w:tcPr>
          <w:p w:rsidR="007D0295" w:rsidRDefault="009C5056">
            <w:pPr>
              <w:jc w:val="right"/>
            </w:pPr>
            <w:r>
              <w:rPr>
                <w:rFonts w:eastAsiaTheme="minorEastAsia"/>
                <w:color w:val="000000" w:themeColor="text1"/>
                <w:szCs w:val="21"/>
              </w:rPr>
              <w:t>29.42%</w:t>
            </w:r>
          </w:p>
        </w:tc>
        <w:tc>
          <w:tcPr>
            <w:tcW w:w="1291" w:type="dxa"/>
            <w:vAlign w:val="center"/>
          </w:tcPr>
          <w:p w:rsidR="007D0295" w:rsidRDefault="009C5056">
            <w:pPr>
              <w:jc w:val="right"/>
            </w:pPr>
            <w:r>
              <w:rPr>
                <w:rFonts w:eastAsiaTheme="minorEastAsia"/>
                <w:color w:val="000000" w:themeColor="text1"/>
                <w:szCs w:val="21"/>
              </w:rPr>
              <w:t>1.92%</w:t>
            </w:r>
          </w:p>
        </w:tc>
        <w:tc>
          <w:tcPr>
            <w:tcW w:w="1291" w:type="dxa"/>
            <w:vAlign w:val="center"/>
          </w:tcPr>
          <w:p w:rsidR="007D0295" w:rsidRDefault="009C5056">
            <w:pPr>
              <w:jc w:val="right"/>
            </w:pPr>
            <w:r>
              <w:rPr>
                <w:rFonts w:eastAsiaTheme="minorEastAsia"/>
                <w:color w:val="000000" w:themeColor="text1"/>
                <w:szCs w:val="21"/>
              </w:rPr>
              <w:t>9.49%</w:t>
            </w:r>
          </w:p>
        </w:tc>
        <w:tc>
          <w:tcPr>
            <w:tcW w:w="1291" w:type="dxa"/>
            <w:vAlign w:val="center"/>
          </w:tcPr>
          <w:p w:rsidR="007D0295" w:rsidRDefault="009C5056">
            <w:pPr>
              <w:jc w:val="right"/>
            </w:pPr>
            <w:r>
              <w:rPr>
                <w:rFonts w:eastAsiaTheme="minorEastAsia"/>
                <w:color w:val="000000" w:themeColor="text1"/>
                <w:szCs w:val="21"/>
              </w:rPr>
              <w:t>1.05%</w:t>
            </w:r>
          </w:p>
        </w:tc>
        <w:tc>
          <w:tcPr>
            <w:tcW w:w="1291" w:type="dxa"/>
            <w:vAlign w:val="center"/>
          </w:tcPr>
          <w:p w:rsidR="007D0295" w:rsidRDefault="009C5056">
            <w:pPr>
              <w:jc w:val="right"/>
            </w:pPr>
            <w:r>
              <w:rPr>
                <w:rFonts w:eastAsiaTheme="minorEastAsia"/>
                <w:color w:val="000000" w:themeColor="text1"/>
                <w:szCs w:val="21"/>
              </w:rPr>
              <w:t>19.93%</w:t>
            </w:r>
          </w:p>
        </w:tc>
        <w:tc>
          <w:tcPr>
            <w:tcW w:w="1291" w:type="dxa"/>
            <w:vAlign w:val="center"/>
          </w:tcPr>
          <w:p w:rsidR="007D0295" w:rsidRDefault="009C5056">
            <w:pPr>
              <w:jc w:val="right"/>
            </w:pPr>
            <w:r>
              <w:rPr>
                <w:rFonts w:eastAsiaTheme="minorEastAsia"/>
                <w:color w:val="000000" w:themeColor="text1"/>
                <w:szCs w:val="21"/>
              </w:rPr>
              <w:t>0.87%</w:t>
            </w:r>
          </w:p>
        </w:tc>
      </w:tr>
      <w:tr w:rsidR="007D0295">
        <w:tc>
          <w:tcPr>
            <w:tcW w:w="1290" w:type="dxa"/>
            <w:vAlign w:val="center"/>
          </w:tcPr>
          <w:p w:rsidR="007D0295" w:rsidRDefault="009C5056">
            <w:pPr>
              <w:jc w:val="left"/>
            </w:pPr>
            <w:r>
              <w:rPr>
                <w:rFonts w:eastAsiaTheme="minorEastAsia"/>
                <w:color w:val="000000" w:themeColor="text1"/>
                <w:szCs w:val="21"/>
              </w:rPr>
              <w:t>自基金合同生效起至今</w:t>
            </w:r>
          </w:p>
        </w:tc>
        <w:tc>
          <w:tcPr>
            <w:tcW w:w="1291" w:type="dxa"/>
            <w:vAlign w:val="center"/>
          </w:tcPr>
          <w:p w:rsidR="007D0295" w:rsidRDefault="009C5056">
            <w:pPr>
              <w:jc w:val="right"/>
            </w:pPr>
            <w:r>
              <w:rPr>
                <w:rFonts w:eastAsiaTheme="minorEastAsia"/>
                <w:color w:val="000000" w:themeColor="text1"/>
                <w:szCs w:val="21"/>
              </w:rPr>
              <w:t>-26.36%</w:t>
            </w:r>
          </w:p>
        </w:tc>
        <w:tc>
          <w:tcPr>
            <w:tcW w:w="1291" w:type="dxa"/>
            <w:vAlign w:val="center"/>
          </w:tcPr>
          <w:p w:rsidR="007D0295" w:rsidRDefault="009C5056">
            <w:pPr>
              <w:jc w:val="right"/>
            </w:pPr>
            <w:r>
              <w:rPr>
                <w:rFonts w:eastAsiaTheme="minorEastAsia"/>
                <w:color w:val="000000" w:themeColor="text1"/>
                <w:szCs w:val="21"/>
              </w:rPr>
              <w:t>1.92%</w:t>
            </w:r>
          </w:p>
        </w:tc>
        <w:tc>
          <w:tcPr>
            <w:tcW w:w="1291" w:type="dxa"/>
            <w:vAlign w:val="center"/>
          </w:tcPr>
          <w:p w:rsidR="007D0295" w:rsidRDefault="009C5056">
            <w:pPr>
              <w:jc w:val="right"/>
            </w:pPr>
            <w:r>
              <w:rPr>
                <w:rFonts w:eastAsiaTheme="minorEastAsia"/>
                <w:color w:val="000000" w:themeColor="text1"/>
                <w:szCs w:val="21"/>
              </w:rPr>
              <w:t>-29.95%</w:t>
            </w:r>
          </w:p>
        </w:tc>
        <w:tc>
          <w:tcPr>
            <w:tcW w:w="1291" w:type="dxa"/>
            <w:vAlign w:val="center"/>
          </w:tcPr>
          <w:p w:rsidR="007D0295" w:rsidRDefault="009C5056">
            <w:pPr>
              <w:jc w:val="right"/>
            </w:pPr>
            <w:r>
              <w:rPr>
                <w:rFonts w:eastAsiaTheme="minorEastAsia"/>
                <w:color w:val="000000" w:themeColor="text1"/>
                <w:szCs w:val="21"/>
              </w:rPr>
              <w:t>1.19%</w:t>
            </w:r>
          </w:p>
        </w:tc>
        <w:tc>
          <w:tcPr>
            <w:tcW w:w="1291" w:type="dxa"/>
            <w:vAlign w:val="center"/>
          </w:tcPr>
          <w:p w:rsidR="007D0295" w:rsidRDefault="009C5056">
            <w:pPr>
              <w:jc w:val="right"/>
            </w:pPr>
            <w:r>
              <w:rPr>
                <w:rFonts w:eastAsiaTheme="minorEastAsia"/>
                <w:color w:val="000000" w:themeColor="text1"/>
                <w:szCs w:val="21"/>
              </w:rPr>
              <w:t>3.59%</w:t>
            </w:r>
          </w:p>
        </w:tc>
        <w:tc>
          <w:tcPr>
            <w:tcW w:w="1291" w:type="dxa"/>
            <w:vAlign w:val="center"/>
          </w:tcPr>
          <w:p w:rsidR="007D0295" w:rsidRDefault="009C5056">
            <w:pPr>
              <w:jc w:val="right"/>
            </w:pPr>
            <w:r>
              <w:rPr>
                <w:rFonts w:eastAsiaTheme="minorEastAsia"/>
                <w:color w:val="000000" w:themeColor="text1"/>
                <w:szCs w:val="21"/>
              </w:rPr>
              <w:t>0.73%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摩根智慧互联股票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D0295">
        <w:tc>
          <w:tcPr>
            <w:tcW w:w="1290" w:type="dxa"/>
            <w:vAlign w:val="center"/>
          </w:tcPr>
          <w:p w:rsidR="007D0295" w:rsidRDefault="009C5056">
            <w:pPr>
              <w:jc w:val="left"/>
            </w:pPr>
            <w:r>
              <w:rPr>
                <w:rFonts w:eastAsiaTheme="minorEastAsia"/>
                <w:color w:val="000000" w:themeColor="text1"/>
                <w:szCs w:val="21"/>
              </w:rPr>
              <w:t>过去三个月</w:t>
            </w:r>
          </w:p>
        </w:tc>
        <w:tc>
          <w:tcPr>
            <w:tcW w:w="1291" w:type="dxa"/>
            <w:vAlign w:val="center"/>
          </w:tcPr>
          <w:p w:rsidR="007D0295" w:rsidRDefault="009C5056">
            <w:pPr>
              <w:jc w:val="right"/>
            </w:pPr>
            <w:r>
              <w:rPr>
                <w:rFonts w:eastAsiaTheme="minorEastAsia"/>
                <w:color w:val="000000" w:themeColor="text1"/>
                <w:szCs w:val="21"/>
              </w:rPr>
              <w:t>-21.92%</w:t>
            </w:r>
          </w:p>
        </w:tc>
        <w:tc>
          <w:tcPr>
            <w:tcW w:w="1291" w:type="dxa"/>
            <w:vAlign w:val="center"/>
          </w:tcPr>
          <w:p w:rsidR="007D0295" w:rsidRDefault="009C5056">
            <w:pPr>
              <w:jc w:val="right"/>
            </w:pPr>
            <w:r>
              <w:rPr>
                <w:rFonts w:eastAsiaTheme="minorEastAsia"/>
                <w:color w:val="000000" w:themeColor="text1"/>
                <w:szCs w:val="21"/>
              </w:rPr>
              <w:t>2.09%</w:t>
            </w:r>
          </w:p>
        </w:tc>
        <w:tc>
          <w:tcPr>
            <w:tcW w:w="1291" w:type="dxa"/>
            <w:vAlign w:val="center"/>
          </w:tcPr>
          <w:p w:rsidR="007D0295" w:rsidRDefault="009C5056">
            <w:pPr>
              <w:jc w:val="right"/>
            </w:pPr>
            <w:r>
              <w:rPr>
                <w:rFonts w:eastAsiaTheme="minorEastAsia"/>
                <w:color w:val="000000" w:themeColor="text1"/>
                <w:szCs w:val="21"/>
              </w:rPr>
              <w:t>-3.65%</w:t>
            </w:r>
          </w:p>
        </w:tc>
        <w:tc>
          <w:tcPr>
            <w:tcW w:w="1291" w:type="dxa"/>
            <w:vAlign w:val="center"/>
          </w:tcPr>
          <w:p w:rsidR="007D0295" w:rsidRDefault="009C5056">
            <w:pPr>
              <w:jc w:val="right"/>
            </w:pPr>
            <w:r>
              <w:rPr>
                <w:rFonts w:eastAsiaTheme="minorEastAsia"/>
                <w:color w:val="000000" w:themeColor="text1"/>
                <w:szCs w:val="21"/>
              </w:rPr>
              <w:t>0.74%</w:t>
            </w:r>
          </w:p>
        </w:tc>
        <w:tc>
          <w:tcPr>
            <w:tcW w:w="1291" w:type="dxa"/>
            <w:vAlign w:val="center"/>
          </w:tcPr>
          <w:p w:rsidR="007D0295" w:rsidRDefault="009C5056">
            <w:pPr>
              <w:jc w:val="right"/>
            </w:pPr>
            <w:r>
              <w:rPr>
                <w:rFonts w:eastAsiaTheme="minorEastAsia"/>
                <w:color w:val="000000" w:themeColor="text1"/>
                <w:szCs w:val="21"/>
              </w:rPr>
              <w:t>-18.27%</w:t>
            </w:r>
          </w:p>
        </w:tc>
        <w:tc>
          <w:tcPr>
            <w:tcW w:w="1291" w:type="dxa"/>
            <w:vAlign w:val="center"/>
          </w:tcPr>
          <w:p w:rsidR="007D0295" w:rsidRDefault="009C5056">
            <w:pPr>
              <w:jc w:val="right"/>
            </w:pPr>
            <w:r>
              <w:rPr>
                <w:rFonts w:eastAsiaTheme="minorEastAsia"/>
                <w:color w:val="000000" w:themeColor="text1"/>
                <w:szCs w:val="21"/>
              </w:rPr>
              <w:t>1.35%</w:t>
            </w:r>
          </w:p>
        </w:tc>
      </w:tr>
      <w:tr w:rsidR="007D0295">
        <w:tc>
          <w:tcPr>
            <w:tcW w:w="1290" w:type="dxa"/>
            <w:vAlign w:val="center"/>
          </w:tcPr>
          <w:p w:rsidR="007D0295" w:rsidRDefault="009C5056">
            <w:pPr>
              <w:jc w:val="left"/>
            </w:pPr>
            <w:r>
              <w:rPr>
                <w:rFonts w:eastAsiaTheme="minorEastAsia"/>
                <w:color w:val="000000" w:themeColor="text1"/>
                <w:szCs w:val="21"/>
              </w:rPr>
              <w:t>过去六个月</w:t>
            </w:r>
          </w:p>
        </w:tc>
        <w:tc>
          <w:tcPr>
            <w:tcW w:w="1291" w:type="dxa"/>
            <w:vAlign w:val="center"/>
          </w:tcPr>
          <w:p w:rsidR="007D0295" w:rsidRDefault="009C5056">
            <w:pPr>
              <w:jc w:val="right"/>
            </w:pPr>
            <w:r>
              <w:rPr>
                <w:rFonts w:eastAsiaTheme="minorEastAsia"/>
                <w:color w:val="000000" w:themeColor="text1"/>
                <w:szCs w:val="21"/>
              </w:rPr>
              <w:t>-21.58%</w:t>
            </w:r>
          </w:p>
        </w:tc>
        <w:tc>
          <w:tcPr>
            <w:tcW w:w="1291" w:type="dxa"/>
            <w:vAlign w:val="center"/>
          </w:tcPr>
          <w:p w:rsidR="007D0295" w:rsidRDefault="009C5056">
            <w:pPr>
              <w:jc w:val="right"/>
            </w:pPr>
            <w:r>
              <w:rPr>
                <w:rFonts w:eastAsiaTheme="minorEastAsia"/>
                <w:color w:val="000000" w:themeColor="text1"/>
                <w:szCs w:val="21"/>
              </w:rPr>
              <w:t>2.28%</w:t>
            </w:r>
          </w:p>
        </w:tc>
        <w:tc>
          <w:tcPr>
            <w:tcW w:w="1291" w:type="dxa"/>
            <w:vAlign w:val="center"/>
          </w:tcPr>
          <w:p w:rsidR="007D0295" w:rsidRDefault="009C5056">
            <w:pPr>
              <w:jc w:val="right"/>
            </w:pPr>
            <w:r>
              <w:rPr>
                <w:rFonts w:eastAsiaTheme="minorEastAsia"/>
                <w:color w:val="000000" w:themeColor="text1"/>
                <w:szCs w:val="21"/>
              </w:rPr>
              <w:t>-7.73%</w:t>
            </w:r>
          </w:p>
        </w:tc>
        <w:tc>
          <w:tcPr>
            <w:tcW w:w="1291" w:type="dxa"/>
            <w:vAlign w:val="center"/>
          </w:tcPr>
          <w:p w:rsidR="007D0295" w:rsidRDefault="009C5056">
            <w:pPr>
              <w:jc w:val="right"/>
            </w:pPr>
            <w:r>
              <w:rPr>
                <w:rFonts w:eastAsiaTheme="minorEastAsia"/>
                <w:color w:val="000000" w:themeColor="text1"/>
                <w:szCs w:val="21"/>
              </w:rPr>
              <w:t>0.71%</w:t>
            </w:r>
          </w:p>
        </w:tc>
        <w:tc>
          <w:tcPr>
            <w:tcW w:w="1291" w:type="dxa"/>
            <w:vAlign w:val="center"/>
          </w:tcPr>
          <w:p w:rsidR="007D0295" w:rsidRDefault="009C5056">
            <w:pPr>
              <w:jc w:val="right"/>
            </w:pPr>
            <w:r>
              <w:rPr>
                <w:rFonts w:eastAsiaTheme="minorEastAsia"/>
                <w:color w:val="000000" w:themeColor="text1"/>
                <w:szCs w:val="21"/>
              </w:rPr>
              <w:t>-13.85%</w:t>
            </w:r>
          </w:p>
        </w:tc>
        <w:tc>
          <w:tcPr>
            <w:tcW w:w="1291" w:type="dxa"/>
            <w:vAlign w:val="center"/>
          </w:tcPr>
          <w:p w:rsidR="007D0295" w:rsidRDefault="009C5056">
            <w:pPr>
              <w:jc w:val="right"/>
            </w:pPr>
            <w:r>
              <w:rPr>
                <w:rFonts w:eastAsiaTheme="minorEastAsia"/>
                <w:color w:val="000000" w:themeColor="text1"/>
                <w:szCs w:val="21"/>
              </w:rPr>
              <w:t>1.57%</w:t>
            </w:r>
          </w:p>
        </w:tc>
      </w:tr>
      <w:tr w:rsidR="007D0295">
        <w:tc>
          <w:tcPr>
            <w:tcW w:w="1290" w:type="dxa"/>
            <w:vAlign w:val="center"/>
          </w:tcPr>
          <w:p w:rsidR="007D0295" w:rsidRDefault="009C5056">
            <w:pPr>
              <w:jc w:val="left"/>
            </w:pPr>
            <w:r>
              <w:rPr>
                <w:rFonts w:eastAsiaTheme="minorEastAsia"/>
                <w:color w:val="000000" w:themeColor="text1"/>
                <w:szCs w:val="21"/>
              </w:rPr>
              <w:t>过去一年</w:t>
            </w:r>
          </w:p>
        </w:tc>
        <w:tc>
          <w:tcPr>
            <w:tcW w:w="1291" w:type="dxa"/>
            <w:vAlign w:val="center"/>
          </w:tcPr>
          <w:p w:rsidR="007D0295" w:rsidRDefault="009C5056">
            <w:pPr>
              <w:jc w:val="right"/>
            </w:pPr>
            <w:r>
              <w:rPr>
                <w:rFonts w:eastAsiaTheme="minorEastAsia"/>
                <w:color w:val="000000" w:themeColor="text1"/>
                <w:szCs w:val="21"/>
              </w:rPr>
              <w:t>-</w:t>
            </w:r>
          </w:p>
        </w:tc>
        <w:tc>
          <w:tcPr>
            <w:tcW w:w="1291" w:type="dxa"/>
            <w:vAlign w:val="center"/>
          </w:tcPr>
          <w:p w:rsidR="007D0295" w:rsidRDefault="009C5056">
            <w:pPr>
              <w:jc w:val="right"/>
            </w:pPr>
            <w:r>
              <w:rPr>
                <w:rFonts w:eastAsiaTheme="minorEastAsia"/>
                <w:color w:val="000000" w:themeColor="text1"/>
                <w:szCs w:val="21"/>
              </w:rPr>
              <w:t>-</w:t>
            </w:r>
          </w:p>
        </w:tc>
        <w:tc>
          <w:tcPr>
            <w:tcW w:w="1291" w:type="dxa"/>
            <w:vAlign w:val="center"/>
          </w:tcPr>
          <w:p w:rsidR="007D0295" w:rsidRDefault="009C5056">
            <w:pPr>
              <w:jc w:val="right"/>
            </w:pPr>
            <w:r>
              <w:rPr>
                <w:rFonts w:eastAsiaTheme="minorEastAsia"/>
                <w:color w:val="000000" w:themeColor="text1"/>
                <w:szCs w:val="21"/>
              </w:rPr>
              <w:t>-</w:t>
            </w:r>
          </w:p>
        </w:tc>
        <w:tc>
          <w:tcPr>
            <w:tcW w:w="1291" w:type="dxa"/>
            <w:vAlign w:val="center"/>
          </w:tcPr>
          <w:p w:rsidR="007D0295" w:rsidRDefault="009C5056">
            <w:pPr>
              <w:jc w:val="right"/>
            </w:pPr>
            <w:r>
              <w:rPr>
                <w:rFonts w:eastAsiaTheme="minorEastAsia"/>
                <w:color w:val="000000" w:themeColor="text1"/>
                <w:szCs w:val="21"/>
              </w:rPr>
              <w:t>-</w:t>
            </w:r>
          </w:p>
        </w:tc>
        <w:tc>
          <w:tcPr>
            <w:tcW w:w="1291" w:type="dxa"/>
            <w:vAlign w:val="center"/>
          </w:tcPr>
          <w:p w:rsidR="007D0295" w:rsidRDefault="009C5056">
            <w:pPr>
              <w:jc w:val="right"/>
            </w:pPr>
            <w:r>
              <w:rPr>
                <w:rFonts w:eastAsiaTheme="minorEastAsia"/>
                <w:color w:val="000000" w:themeColor="text1"/>
                <w:szCs w:val="21"/>
              </w:rPr>
              <w:t>-</w:t>
            </w:r>
          </w:p>
        </w:tc>
        <w:tc>
          <w:tcPr>
            <w:tcW w:w="1291" w:type="dxa"/>
            <w:vAlign w:val="center"/>
          </w:tcPr>
          <w:p w:rsidR="007D0295" w:rsidRDefault="009C5056">
            <w:pPr>
              <w:jc w:val="right"/>
            </w:pPr>
            <w:r>
              <w:rPr>
                <w:rFonts w:eastAsiaTheme="minorEastAsia"/>
                <w:color w:val="000000" w:themeColor="text1"/>
                <w:szCs w:val="21"/>
              </w:rPr>
              <w:t>-</w:t>
            </w:r>
          </w:p>
        </w:tc>
      </w:tr>
      <w:tr w:rsidR="007D0295">
        <w:tc>
          <w:tcPr>
            <w:tcW w:w="1290" w:type="dxa"/>
            <w:vAlign w:val="center"/>
          </w:tcPr>
          <w:p w:rsidR="007D0295" w:rsidRDefault="009C5056">
            <w:pPr>
              <w:jc w:val="left"/>
            </w:pPr>
            <w:r>
              <w:rPr>
                <w:rFonts w:eastAsiaTheme="minorEastAsia"/>
                <w:color w:val="000000" w:themeColor="text1"/>
                <w:szCs w:val="21"/>
              </w:rPr>
              <w:t>过去三年</w:t>
            </w:r>
          </w:p>
        </w:tc>
        <w:tc>
          <w:tcPr>
            <w:tcW w:w="1291" w:type="dxa"/>
            <w:vAlign w:val="center"/>
          </w:tcPr>
          <w:p w:rsidR="007D0295" w:rsidRDefault="009C5056">
            <w:pPr>
              <w:jc w:val="right"/>
            </w:pPr>
            <w:r>
              <w:rPr>
                <w:rFonts w:eastAsiaTheme="minorEastAsia"/>
                <w:color w:val="000000" w:themeColor="text1"/>
                <w:szCs w:val="21"/>
              </w:rPr>
              <w:t>-</w:t>
            </w:r>
          </w:p>
        </w:tc>
        <w:tc>
          <w:tcPr>
            <w:tcW w:w="1291" w:type="dxa"/>
            <w:vAlign w:val="center"/>
          </w:tcPr>
          <w:p w:rsidR="007D0295" w:rsidRDefault="009C5056">
            <w:pPr>
              <w:jc w:val="right"/>
            </w:pPr>
            <w:r>
              <w:rPr>
                <w:rFonts w:eastAsiaTheme="minorEastAsia"/>
                <w:color w:val="000000" w:themeColor="text1"/>
                <w:szCs w:val="21"/>
              </w:rPr>
              <w:t>-</w:t>
            </w:r>
          </w:p>
        </w:tc>
        <w:tc>
          <w:tcPr>
            <w:tcW w:w="1291" w:type="dxa"/>
            <w:vAlign w:val="center"/>
          </w:tcPr>
          <w:p w:rsidR="007D0295" w:rsidRDefault="009C5056">
            <w:pPr>
              <w:jc w:val="right"/>
            </w:pPr>
            <w:r>
              <w:rPr>
                <w:rFonts w:eastAsiaTheme="minorEastAsia"/>
                <w:color w:val="000000" w:themeColor="text1"/>
                <w:szCs w:val="21"/>
              </w:rPr>
              <w:t>-</w:t>
            </w:r>
          </w:p>
        </w:tc>
        <w:tc>
          <w:tcPr>
            <w:tcW w:w="1291" w:type="dxa"/>
            <w:vAlign w:val="center"/>
          </w:tcPr>
          <w:p w:rsidR="007D0295" w:rsidRDefault="009C5056">
            <w:pPr>
              <w:jc w:val="right"/>
            </w:pPr>
            <w:r>
              <w:rPr>
                <w:rFonts w:eastAsiaTheme="minorEastAsia"/>
                <w:color w:val="000000" w:themeColor="text1"/>
                <w:szCs w:val="21"/>
              </w:rPr>
              <w:t>-</w:t>
            </w:r>
          </w:p>
        </w:tc>
        <w:tc>
          <w:tcPr>
            <w:tcW w:w="1291" w:type="dxa"/>
            <w:vAlign w:val="center"/>
          </w:tcPr>
          <w:p w:rsidR="007D0295" w:rsidRDefault="009C5056">
            <w:pPr>
              <w:jc w:val="right"/>
            </w:pPr>
            <w:r>
              <w:rPr>
                <w:rFonts w:eastAsiaTheme="minorEastAsia"/>
                <w:color w:val="000000" w:themeColor="text1"/>
                <w:szCs w:val="21"/>
              </w:rPr>
              <w:t>-</w:t>
            </w:r>
          </w:p>
        </w:tc>
        <w:tc>
          <w:tcPr>
            <w:tcW w:w="1291" w:type="dxa"/>
            <w:vAlign w:val="center"/>
          </w:tcPr>
          <w:p w:rsidR="007D0295" w:rsidRDefault="009C5056">
            <w:pPr>
              <w:jc w:val="right"/>
            </w:pPr>
            <w:r>
              <w:rPr>
                <w:rFonts w:eastAsiaTheme="minorEastAsia"/>
                <w:color w:val="000000" w:themeColor="text1"/>
                <w:szCs w:val="21"/>
              </w:rPr>
              <w:t>-</w:t>
            </w:r>
          </w:p>
        </w:tc>
      </w:tr>
      <w:tr w:rsidR="007D0295">
        <w:tc>
          <w:tcPr>
            <w:tcW w:w="1290" w:type="dxa"/>
            <w:vAlign w:val="center"/>
          </w:tcPr>
          <w:p w:rsidR="007D0295" w:rsidRDefault="009C5056">
            <w:pPr>
              <w:jc w:val="left"/>
            </w:pPr>
            <w:r>
              <w:rPr>
                <w:rFonts w:eastAsiaTheme="minorEastAsia"/>
                <w:color w:val="000000" w:themeColor="text1"/>
                <w:szCs w:val="21"/>
              </w:rPr>
              <w:t>过去五年</w:t>
            </w:r>
          </w:p>
        </w:tc>
        <w:tc>
          <w:tcPr>
            <w:tcW w:w="1291" w:type="dxa"/>
            <w:vAlign w:val="center"/>
          </w:tcPr>
          <w:p w:rsidR="007D0295" w:rsidRDefault="009C5056">
            <w:pPr>
              <w:jc w:val="right"/>
            </w:pPr>
            <w:r>
              <w:rPr>
                <w:rFonts w:eastAsiaTheme="minorEastAsia"/>
                <w:color w:val="000000" w:themeColor="text1"/>
                <w:szCs w:val="21"/>
              </w:rPr>
              <w:t>-</w:t>
            </w:r>
          </w:p>
        </w:tc>
        <w:tc>
          <w:tcPr>
            <w:tcW w:w="1291" w:type="dxa"/>
            <w:vAlign w:val="center"/>
          </w:tcPr>
          <w:p w:rsidR="007D0295" w:rsidRDefault="009C5056">
            <w:pPr>
              <w:jc w:val="right"/>
            </w:pPr>
            <w:r>
              <w:rPr>
                <w:rFonts w:eastAsiaTheme="minorEastAsia"/>
                <w:color w:val="000000" w:themeColor="text1"/>
                <w:szCs w:val="21"/>
              </w:rPr>
              <w:t>-</w:t>
            </w:r>
          </w:p>
        </w:tc>
        <w:tc>
          <w:tcPr>
            <w:tcW w:w="1291" w:type="dxa"/>
            <w:vAlign w:val="center"/>
          </w:tcPr>
          <w:p w:rsidR="007D0295" w:rsidRDefault="009C5056">
            <w:pPr>
              <w:jc w:val="right"/>
            </w:pPr>
            <w:r>
              <w:rPr>
                <w:rFonts w:eastAsiaTheme="minorEastAsia"/>
                <w:color w:val="000000" w:themeColor="text1"/>
                <w:szCs w:val="21"/>
              </w:rPr>
              <w:t>-</w:t>
            </w:r>
          </w:p>
        </w:tc>
        <w:tc>
          <w:tcPr>
            <w:tcW w:w="1291" w:type="dxa"/>
            <w:vAlign w:val="center"/>
          </w:tcPr>
          <w:p w:rsidR="007D0295" w:rsidRDefault="009C5056">
            <w:pPr>
              <w:jc w:val="right"/>
            </w:pPr>
            <w:r>
              <w:rPr>
                <w:rFonts w:eastAsiaTheme="minorEastAsia"/>
                <w:color w:val="000000" w:themeColor="text1"/>
                <w:szCs w:val="21"/>
              </w:rPr>
              <w:t>-</w:t>
            </w:r>
          </w:p>
        </w:tc>
        <w:tc>
          <w:tcPr>
            <w:tcW w:w="1291" w:type="dxa"/>
            <w:vAlign w:val="center"/>
          </w:tcPr>
          <w:p w:rsidR="007D0295" w:rsidRDefault="009C5056">
            <w:pPr>
              <w:jc w:val="right"/>
            </w:pPr>
            <w:r>
              <w:rPr>
                <w:rFonts w:eastAsiaTheme="minorEastAsia"/>
                <w:color w:val="000000" w:themeColor="text1"/>
                <w:szCs w:val="21"/>
              </w:rPr>
              <w:t>-</w:t>
            </w:r>
          </w:p>
        </w:tc>
        <w:tc>
          <w:tcPr>
            <w:tcW w:w="1291" w:type="dxa"/>
            <w:vAlign w:val="center"/>
          </w:tcPr>
          <w:p w:rsidR="007D0295" w:rsidRDefault="009C5056">
            <w:pPr>
              <w:jc w:val="right"/>
            </w:pPr>
            <w:r>
              <w:rPr>
                <w:rFonts w:eastAsiaTheme="minorEastAsia"/>
                <w:color w:val="000000" w:themeColor="text1"/>
                <w:szCs w:val="21"/>
              </w:rPr>
              <w:t>-</w:t>
            </w:r>
          </w:p>
        </w:tc>
      </w:tr>
      <w:tr w:rsidR="007D0295">
        <w:tc>
          <w:tcPr>
            <w:tcW w:w="1290" w:type="dxa"/>
            <w:vAlign w:val="center"/>
          </w:tcPr>
          <w:p w:rsidR="007D0295" w:rsidRDefault="009C5056">
            <w:pPr>
              <w:jc w:val="left"/>
            </w:pPr>
            <w:r>
              <w:rPr>
                <w:rFonts w:eastAsiaTheme="minorEastAsia"/>
                <w:color w:val="000000" w:themeColor="text1"/>
                <w:szCs w:val="21"/>
              </w:rPr>
              <w:t>自基金合同生效起至今</w:t>
            </w:r>
          </w:p>
        </w:tc>
        <w:tc>
          <w:tcPr>
            <w:tcW w:w="1291" w:type="dxa"/>
            <w:vAlign w:val="center"/>
          </w:tcPr>
          <w:p w:rsidR="007D0295" w:rsidRDefault="009C5056">
            <w:pPr>
              <w:jc w:val="right"/>
            </w:pPr>
            <w:r>
              <w:rPr>
                <w:rFonts w:eastAsiaTheme="minorEastAsia"/>
                <w:color w:val="000000" w:themeColor="text1"/>
                <w:szCs w:val="21"/>
              </w:rPr>
              <w:t>-15.91%</w:t>
            </w:r>
          </w:p>
        </w:tc>
        <w:tc>
          <w:tcPr>
            <w:tcW w:w="1291" w:type="dxa"/>
            <w:vAlign w:val="center"/>
          </w:tcPr>
          <w:p w:rsidR="007D0295" w:rsidRDefault="009C5056">
            <w:pPr>
              <w:jc w:val="right"/>
            </w:pPr>
            <w:r>
              <w:rPr>
                <w:rFonts w:eastAsiaTheme="minorEastAsia"/>
                <w:color w:val="000000" w:themeColor="text1"/>
                <w:szCs w:val="21"/>
              </w:rPr>
              <w:t>1.97%</w:t>
            </w:r>
          </w:p>
        </w:tc>
        <w:tc>
          <w:tcPr>
            <w:tcW w:w="1291" w:type="dxa"/>
            <w:vAlign w:val="center"/>
          </w:tcPr>
          <w:p w:rsidR="007D0295" w:rsidRDefault="009C5056">
            <w:pPr>
              <w:jc w:val="right"/>
            </w:pPr>
            <w:r>
              <w:rPr>
                <w:rFonts w:eastAsiaTheme="minorEastAsia"/>
                <w:color w:val="000000" w:themeColor="text1"/>
                <w:szCs w:val="21"/>
              </w:rPr>
              <w:t>2.74%</w:t>
            </w:r>
          </w:p>
        </w:tc>
        <w:tc>
          <w:tcPr>
            <w:tcW w:w="1291" w:type="dxa"/>
            <w:vAlign w:val="center"/>
          </w:tcPr>
          <w:p w:rsidR="007D0295" w:rsidRDefault="009C5056">
            <w:pPr>
              <w:jc w:val="right"/>
            </w:pPr>
            <w:r>
              <w:rPr>
                <w:rFonts w:eastAsiaTheme="minorEastAsia"/>
                <w:color w:val="000000" w:themeColor="text1"/>
                <w:szCs w:val="21"/>
              </w:rPr>
              <w:t>0.75%</w:t>
            </w:r>
          </w:p>
        </w:tc>
        <w:tc>
          <w:tcPr>
            <w:tcW w:w="1291" w:type="dxa"/>
            <w:vAlign w:val="center"/>
          </w:tcPr>
          <w:p w:rsidR="007D0295" w:rsidRDefault="009C5056">
            <w:pPr>
              <w:jc w:val="right"/>
            </w:pPr>
            <w:r>
              <w:rPr>
                <w:rFonts w:eastAsiaTheme="minorEastAsia"/>
                <w:color w:val="000000" w:themeColor="text1"/>
                <w:szCs w:val="21"/>
              </w:rPr>
              <w:t>-18.65%</w:t>
            </w:r>
          </w:p>
        </w:tc>
        <w:tc>
          <w:tcPr>
            <w:tcW w:w="1291" w:type="dxa"/>
            <w:vAlign w:val="center"/>
          </w:tcPr>
          <w:p w:rsidR="007D0295" w:rsidRDefault="009C5056">
            <w:pPr>
              <w:jc w:val="right"/>
            </w:pPr>
            <w:r>
              <w:rPr>
                <w:rFonts w:eastAsiaTheme="minorEastAsia"/>
                <w:color w:val="000000" w:themeColor="text1"/>
                <w:szCs w:val="21"/>
              </w:rPr>
              <w:t>1.22%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w:t>
      </w:r>
      <w:r w:rsidRPr="00B27A29">
        <w:rPr>
          <w:rFonts w:eastAsiaTheme="minorEastAsia"/>
          <w:b/>
          <w:color w:val="000000" w:themeColor="text1"/>
          <w:szCs w:val="21"/>
        </w:rPr>
        <w:lastRenderedPageBreak/>
        <w:t>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摩根智慧互联股票型证券投资基金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．摩根智慧互联股票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D0295" w:rsidRDefault="009C505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．摩根智慧互联股票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D0295" w:rsidRDefault="009C505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7D0295">
        <w:tc>
          <w:tcPr>
            <w:tcW w:w="952" w:type="dxa"/>
            <w:vAlign w:val="center"/>
          </w:tcPr>
          <w:p w:rsidR="007D0295" w:rsidRDefault="009C5056">
            <w:pPr>
              <w:jc w:val="center"/>
            </w:pPr>
            <w:r>
              <w:rPr>
                <w:rFonts w:eastAsiaTheme="minorEastAsia"/>
                <w:color w:val="000000" w:themeColor="text1"/>
                <w:szCs w:val="21"/>
              </w:rPr>
              <w:t>郭晨</w:t>
            </w:r>
          </w:p>
        </w:tc>
        <w:tc>
          <w:tcPr>
            <w:tcW w:w="930" w:type="dxa"/>
            <w:vAlign w:val="center"/>
          </w:tcPr>
          <w:p w:rsidR="007D0295" w:rsidRDefault="009C5056">
            <w:pPr>
              <w:jc w:val="center"/>
            </w:pPr>
            <w:r>
              <w:rPr>
                <w:rFonts w:eastAsiaTheme="minorEastAsia"/>
                <w:color w:val="000000" w:themeColor="text1"/>
                <w:szCs w:val="21"/>
              </w:rPr>
              <w:t>本基金基金经理</w:t>
            </w:r>
          </w:p>
        </w:tc>
        <w:tc>
          <w:tcPr>
            <w:tcW w:w="1210" w:type="dxa"/>
            <w:vAlign w:val="center"/>
          </w:tcPr>
          <w:p w:rsidR="007D0295" w:rsidRDefault="009C5056">
            <w:pPr>
              <w:jc w:val="center"/>
            </w:pPr>
            <w:r>
              <w:rPr>
                <w:rFonts w:eastAsiaTheme="minorEastAsia"/>
                <w:color w:val="000000" w:themeColor="text1"/>
                <w:szCs w:val="21"/>
              </w:rPr>
              <w:t>2015-06-09</w:t>
            </w:r>
          </w:p>
        </w:tc>
        <w:tc>
          <w:tcPr>
            <w:tcW w:w="1309" w:type="dxa"/>
            <w:vAlign w:val="center"/>
          </w:tcPr>
          <w:p w:rsidR="007D0295" w:rsidRDefault="009C5056">
            <w:pPr>
              <w:jc w:val="center"/>
            </w:pPr>
            <w:r>
              <w:rPr>
                <w:rFonts w:eastAsiaTheme="minorEastAsia"/>
                <w:color w:val="000000" w:themeColor="text1"/>
                <w:szCs w:val="21"/>
              </w:rPr>
              <w:t>-</w:t>
            </w:r>
          </w:p>
        </w:tc>
        <w:tc>
          <w:tcPr>
            <w:tcW w:w="1254" w:type="dxa"/>
            <w:vAlign w:val="center"/>
          </w:tcPr>
          <w:p w:rsidR="007D0295" w:rsidRDefault="009C5056">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7D0295" w:rsidRDefault="009C5056">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7D0295" w:rsidRDefault="009C505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7D0295" w:rsidRDefault="009C505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郭晨先生为本基金首任基金经理，其任职日期指本基金基金合同生效之日。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7D0295" w:rsidRDefault="009C505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D0295" w:rsidRDefault="009C505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7D0295" w:rsidRDefault="009C505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7D0295" w:rsidRDefault="009C5056">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三季度沪深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3.98%</w:t>
      </w:r>
      <w:r>
        <w:rPr>
          <w:rFonts w:eastAsiaTheme="minorEastAsia"/>
          <w:color w:val="000000" w:themeColor="text1"/>
          <w:szCs w:val="21"/>
        </w:rPr>
        <w:t>，创业板指数下跌</w:t>
      </w:r>
      <w:r>
        <w:rPr>
          <w:rFonts w:eastAsiaTheme="minorEastAsia"/>
          <w:color w:val="000000" w:themeColor="text1"/>
          <w:szCs w:val="21"/>
        </w:rPr>
        <w:t>9.53%</w:t>
      </w:r>
      <w:r>
        <w:rPr>
          <w:rFonts w:eastAsiaTheme="minorEastAsia"/>
          <w:color w:val="000000" w:themeColor="text1"/>
          <w:szCs w:val="21"/>
        </w:rPr>
        <w:t>。本季度市场表现不佳，没有太多的亮点，尤其是成长板块如人工智能（</w:t>
      </w:r>
      <w:r>
        <w:rPr>
          <w:rFonts w:eastAsiaTheme="minorEastAsia"/>
          <w:color w:val="000000" w:themeColor="text1"/>
          <w:szCs w:val="21"/>
        </w:rPr>
        <w:t>AI</w:t>
      </w:r>
      <w:r>
        <w:rPr>
          <w:rFonts w:eastAsiaTheme="minorEastAsia"/>
          <w:color w:val="000000" w:themeColor="text1"/>
          <w:szCs w:val="21"/>
        </w:rPr>
        <w:t>）、</w:t>
      </w:r>
      <w:r>
        <w:rPr>
          <w:rFonts w:eastAsiaTheme="minorEastAsia"/>
          <w:color w:val="000000" w:themeColor="text1"/>
          <w:szCs w:val="21"/>
        </w:rPr>
        <w:t>TMT</w:t>
      </w:r>
      <w:r>
        <w:rPr>
          <w:rFonts w:eastAsiaTheme="minorEastAsia"/>
          <w:color w:val="000000" w:themeColor="text1"/>
          <w:szCs w:val="21"/>
        </w:rPr>
        <w:t>、新能源等行业跌幅较大。三季度出台了一些房地产刺激政策，顺周期、房地产产业链等行业表现相对较好。三季度国内经济继续低迷，各项经济数据都很一般，政府开始出台一些经济刺激政策，比较引入注目的是放松房地产限购政策，但是效果如何还要进一步跟踪。美国经济依然稳健，美元继续强势，美债收益率继续攀升，美国开启降息周期还需时日。本季度市场流动性较差，北向资金不断卖出，市场成交量逐渐萎缩，上半年表现良好的人工智能板块在这种背景下，调整幅度较大。从行业发展情况来看，</w:t>
      </w:r>
      <w:r>
        <w:rPr>
          <w:rFonts w:eastAsiaTheme="minorEastAsia"/>
          <w:color w:val="000000" w:themeColor="text1"/>
          <w:szCs w:val="21"/>
        </w:rPr>
        <w:t>AI</w:t>
      </w:r>
      <w:r>
        <w:rPr>
          <w:rFonts w:eastAsiaTheme="minorEastAsia"/>
          <w:color w:val="000000" w:themeColor="text1"/>
          <w:szCs w:val="21"/>
        </w:rPr>
        <w:t>的发展依然如火如荼，基本面没有太大问题。未来随着</w:t>
      </w:r>
      <w:r>
        <w:rPr>
          <w:rFonts w:eastAsiaTheme="minorEastAsia"/>
          <w:color w:val="000000" w:themeColor="text1"/>
          <w:szCs w:val="21"/>
        </w:rPr>
        <w:t>A</w:t>
      </w:r>
      <w:r>
        <w:rPr>
          <w:rFonts w:eastAsiaTheme="minorEastAsia"/>
          <w:color w:val="000000" w:themeColor="text1"/>
          <w:szCs w:val="21"/>
        </w:rPr>
        <w:t>股整体企稳，</w:t>
      </w:r>
      <w:r>
        <w:rPr>
          <w:rFonts w:eastAsiaTheme="minorEastAsia"/>
          <w:color w:val="000000" w:themeColor="text1"/>
          <w:szCs w:val="21"/>
        </w:rPr>
        <w:t>AI</w:t>
      </w:r>
      <w:r>
        <w:rPr>
          <w:rFonts w:eastAsiaTheme="minorEastAsia"/>
          <w:color w:val="000000" w:themeColor="text1"/>
          <w:szCs w:val="21"/>
        </w:rPr>
        <w:t>相关行业有机会继续表现。</w:t>
      </w:r>
    </w:p>
    <w:p w:rsidR="007D0295" w:rsidRDefault="009C5056">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我们始终看好国内权益市场的长期机会，认为市场处于一个长期慢牛的走势之中，结构性行情为主。三季度本基金重点配置在一些与智慧互联主题相关的高景气度行业上，比如</w:t>
      </w:r>
      <w:r>
        <w:rPr>
          <w:rFonts w:eastAsiaTheme="minorEastAsia"/>
          <w:color w:val="000000" w:themeColor="text1"/>
          <w:szCs w:val="21"/>
        </w:rPr>
        <w:t>AI</w:t>
      </w:r>
      <w:r>
        <w:rPr>
          <w:rFonts w:eastAsiaTheme="minorEastAsia"/>
          <w:color w:val="000000" w:themeColor="text1"/>
          <w:szCs w:val="21"/>
        </w:rPr>
        <w:t>的算力和应用、人型机器人、智能驾驶、信创、数字经济等，受到成长板块大幅回调的影响，三季度净值表现不佳。本基金将始终坚持价值投资思路，超配智慧互联主题相关高景气度行业，选择其中相对优秀的龙头公司长期投资。</w:t>
      </w:r>
    </w:p>
    <w:p w:rsidR="007D0295" w:rsidRDefault="009C5056">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我们并不悲观。目前市场对国内经济较为悲观，对政策的效果也没有什么预期，估值已经跌到了非常低的位置。监管层已经出台了一系列活跃资本市场的政策，目前政策底或已经看到，我们继续期待市场底的到来。宏观经济有其自身的规律，经济</w:t>
      </w:r>
      <w:r>
        <w:rPr>
          <w:rFonts w:eastAsiaTheme="minorEastAsia"/>
          <w:color w:val="000000" w:themeColor="text1"/>
          <w:szCs w:val="21"/>
        </w:rPr>
        <w:t>V</w:t>
      </w:r>
      <w:r>
        <w:rPr>
          <w:rFonts w:eastAsiaTheme="minorEastAsia"/>
          <w:color w:val="000000" w:themeColor="text1"/>
          <w:szCs w:val="21"/>
        </w:rPr>
        <w:t>型反转的概率不大，温和复苏的可能性更大，维持经济的中速增长是可期的。未来市场主线大概率依然在成长板块。港股在经历调整之后，估值吸引力提升，依然是国内经济变化高弹性的标的。未来重点关注以下几个方向：一是新技术引领的高景气行业，如人工智能、人型机器人、智能驾驶等，二是估值合理，基本面即将迎来反转的成长行业，如医药、半导体等。</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我们会始终坚持价值投资，坚持超配高景气度行业，选择朝阳行业中较优秀的龙头公司长期投资。近期智慧互联主题相关行业基本面出现了较多的向好变化，本基金会深耕这些板块，主要关注</w:t>
      </w:r>
      <w:r w:rsidRPr="00B27A29">
        <w:rPr>
          <w:rFonts w:eastAsiaTheme="minorEastAsia"/>
          <w:color w:val="000000" w:themeColor="text1"/>
          <w:szCs w:val="21"/>
        </w:rPr>
        <w:t>AI</w:t>
      </w:r>
      <w:r w:rsidRPr="00B27A29">
        <w:rPr>
          <w:rFonts w:eastAsiaTheme="minorEastAsia"/>
          <w:color w:val="000000" w:themeColor="text1"/>
          <w:szCs w:val="21"/>
        </w:rPr>
        <w:t>的算力和应用、智能机器人、智能驾驶、信创、数字经济、半导体等细分行业。合理的估值，较高的业绩增速，成长的确定性是本基金最看重的。</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7D0295" w:rsidRDefault="009C505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本报告期摩根智慧互联</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:-21.82%</w:t>
      </w:r>
      <w:r>
        <w:rPr>
          <w:rFonts w:eastAsiaTheme="minorEastAsia"/>
          <w:color w:val="000000" w:themeColor="text1"/>
          <w:szCs w:val="21"/>
        </w:rPr>
        <w:t>，同期业绩比较基准收益率为</w:t>
      </w:r>
      <w:r>
        <w:rPr>
          <w:rFonts w:eastAsiaTheme="minorEastAsia"/>
          <w:color w:val="000000" w:themeColor="text1"/>
          <w:szCs w:val="21"/>
        </w:rPr>
        <w:t>:-3.65%</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摩根智慧互联</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:-21.92%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:-3.65%</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352,991,174.01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87.69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352,991,174.01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87.69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45,127,537.03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4,427,848.96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402,546,560.00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151,714,917.80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37.82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1,166,691.78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4,939,429.00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168,514,344.29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13,266,162.00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2,947,879.60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258,797.16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10,182,952.38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352,991,174.01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87.99</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7D0295">
        <w:tc>
          <w:tcPr>
            <w:tcW w:w="817" w:type="dxa"/>
            <w:vAlign w:val="center"/>
          </w:tcPr>
          <w:p w:rsidR="007D0295" w:rsidRDefault="009C5056">
            <w:pPr>
              <w:jc w:val="center"/>
            </w:pPr>
            <w:r>
              <w:rPr>
                <w:rFonts w:eastAsiaTheme="minorEastAsia"/>
                <w:kern w:val="0"/>
                <w:szCs w:val="21"/>
              </w:rPr>
              <w:t>1</w:t>
            </w:r>
          </w:p>
        </w:tc>
        <w:tc>
          <w:tcPr>
            <w:tcW w:w="1276" w:type="dxa"/>
            <w:vAlign w:val="center"/>
          </w:tcPr>
          <w:p w:rsidR="007D0295" w:rsidRDefault="009C5056">
            <w:pPr>
              <w:jc w:val="center"/>
            </w:pPr>
            <w:r>
              <w:rPr>
                <w:rFonts w:eastAsiaTheme="minorEastAsia"/>
                <w:kern w:val="0"/>
                <w:szCs w:val="21"/>
              </w:rPr>
              <w:t>300308</w:t>
            </w:r>
          </w:p>
        </w:tc>
        <w:tc>
          <w:tcPr>
            <w:tcW w:w="1701" w:type="dxa"/>
            <w:vAlign w:val="center"/>
          </w:tcPr>
          <w:p w:rsidR="007D0295" w:rsidRDefault="009C5056">
            <w:pPr>
              <w:jc w:val="center"/>
            </w:pPr>
            <w:r>
              <w:rPr>
                <w:rFonts w:eastAsiaTheme="minorEastAsia"/>
                <w:kern w:val="0"/>
                <w:szCs w:val="21"/>
              </w:rPr>
              <w:t>中际旭创</w:t>
            </w:r>
          </w:p>
        </w:tc>
        <w:tc>
          <w:tcPr>
            <w:tcW w:w="1276" w:type="dxa"/>
            <w:vAlign w:val="center"/>
          </w:tcPr>
          <w:p w:rsidR="007D0295" w:rsidRDefault="009C5056">
            <w:pPr>
              <w:jc w:val="right"/>
            </w:pPr>
            <w:r>
              <w:rPr>
                <w:rFonts w:eastAsiaTheme="minorEastAsia"/>
                <w:kern w:val="0"/>
                <w:szCs w:val="21"/>
              </w:rPr>
              <w:t>241,654.00</w:t>
            </w:r>
          </w:p>
        </w:tc>
        <w:tc>
          <w:tcPr>
            <w:tcW w:w="1842" w:type="dxa"/>
            <w:vAlign w:val="center"/>
          </w:tcPr>
          <w:p w:rsidR="007D0295" w:rsidRDefault="009C5056">
            <w:pPr>
              <w:jc w:val="right"/>
            </w:pPr>
            <w:r>
              <w:rPr>
                <w:rFonts w:eastAsiaTheme="minorEastAsia"/>
                <w:kern w:val="0"/>
                <w:szCs w:val="21"/>
              </w:rPr>
              <w:t>27,983,533.20</w:t>
            </w:r>
          </w:p>
        </w:tc>
        <w:tc>
          <w:tcPr>
            <w:tcW w:w="1616" w:type="dxa"/>
            <w:vAlign w:val="center"/>
          </w:tcPr>
          <w:p w:rsidR="007D0295" w:rsidRDefault="009C5056">
            <w:pPr>
              <w:jc w:val="right"/>
            </w:pPr>
            <w:r>
              <w:rPr>
                <w:rFonts w:eastAsiaTheme="minorEastAsia"/>
                <w:kern w:val="0"/>
                <w:szCs w:val="21"/>
              </w:rPr>
              <w:t>6.98</w:t>
            </w:r>
          </w:p>
        </w:tc>
      </w:tr>
      <w:tr w:rsidR="007D0295">
        <w:tc>
          <w:tcPr>
            <w:tcW w:w="817" w:type="dxa"/>
            <w:vAlign w:val="center"/>
          </w:tcPr>
          <w:p w:rsidR="007D0295" w:rsidRDefault="009C5056">
            <w:pPr>
              <w:jc w:val="center"/>
            </w:pPr>
            <w:r>
              <w:rPr>
                <w:rFonts w:eastAsiaTheme="minorEastAsia"/>
                <w:kern w:val="0"/>
                <w:szCs w:val="21"/>
              </w:rPr>
              <w:t>2</w:t>
            </w:r>
          </w:p>
        </w:tc>
        <w:tc>
          <w:tcPr>
            <w:tcW w:w="1276" w:type="dxa"/>
            <w:vAlign w:val="center"/>
          </w:tcPr>
          <w:p w:rsidR="007D0295" w:rsidRDefault="009C5056">
            <w:pPr>
              <w:jc w:val="center"/>
            </w:pPr>
            <w:r>
              <w:rPr>
                <w:rFonts w:eastAsiaTheme="minorEastAsia"/>
                <w:kern w:val="0"/>
                <w:szCs w:val="21"/>
              </w:rPr>
              <w:t>601138</w:t>
            </w:r>
          </w:p>
        </w:tc>
        <w:tc>
          <w:tcPr>
            <w:tcW w:w="1701" w:type="dxa"/>
            <w:vAlign w:val="center"/>
          </w:tcPr>
          <w:p w:rsidR="007D0295" w:rsidRDefault="009C5056">
            <w:pPr>
              <w:jc w:val="center"/>
            </w:pPr>
            <w:r>
              <w:rPr>
                <w:rFonts w:eastAsiaTheme="minorEastAsia"/>
                <w:kern w:val="0"/>
                <w:szCs w:val="21"/>
              </w:rPr>
              <w:t>工业富联</w:t>
            </w:r>
          </w:p>
        </w:tc>
        <w:tc>
          <w:tcPr>
            <w:tcW w:w="1276" w:type="dxa"/>
            <w:vAlign w:val="center"/>
          </w:tcPr>
          <w:p w:rsidR="007D0295" w:rsidRDefault="009C5056">
            <w:pPr>
              <w:jc w:val="right"/>
            </w:pPr>
            <w:r>
              <w:rPr>
                <w:rFonts w:eastAsiaTheme="minorEastAsia"/>
                <w:kern w:val="0"/>
                <w:szCs w:val="21"/>
              </w:rPr>
              <w:t>1,154,400.00</w:t>
            </w:r>
          </w:p>
        </w:tc>
        <w:tc>
          <w:tcPr>
            <w:tcW w:w="1842" w:type="dxa"/>
            <w:vAlign w:val="center"/>
          </w:tcPr>
          <w:p w:rsidR="007D0295" w:rsidRDefault="009C5056">
            <w:pPr>
              <w:jc w:val="right"/>
            </w:pPr>
            <w:r>
              <w:rPr>
                <w:rFonts w:eastAsiaTheme="minorEastAsia"/>
                <w:kern w:val="0"/>
                <w:szCs w:val="21"/>
              </w:rPr>
              <w:t>22,741,680.00</w:t>
            </w:r>
          </w:p>
        </w:tc>
        <w:tc>
          <w:tcPr>
            <w:tcW w:w="1616" w:type="dxa"/>
            <w:vAlign w:val="center"/>
          </w:tcPr>
          <w:p w:rsidR="007D0295" w:rsidRDefault="009C5056">
            <w:pPr>
              <w:jc w:val="right"/>
            </w:pPr>
            <w:r>
              <w:rPr>
                <w:rFonts w:eastAsiaTheme="minorEastAsia"/>
                <w:kern w:val="0"/>
                <w:szCs w:val="21"/>
              </w:rPr>
              <w:t>5.67</w:t>
            </w:r>
          </w:p>
        </w:tc>
      </w:tr>
      <w:tr w:rsidR="007D0295">
        <w:tc>
          <w:tcPr>
            <w:tcW w:w="817" w:type="dxa"/>
            <w:vAlign w:val="center"/>
          </w:tcPr>
          <w:p w:rsidR="007D0295" w:rsidRDefault="009C5056">
            <w:pPr>
              <w:jc w:val="center"/>
            </w:pPr>
            <w:r>
              <w:rPr>
                <w:rFonts w:eastAsiaTheme="minorEastAsia"/>
                <w:kern w:val="0"/>
                <w:szCs w:val="21"/>
              </w:rPr>
              <w:t>3</w:t>
            </w:r>
          </w:p>
        </w:tc>
        <w:tc>
          <w:tcPr>
            <w:tcW w:w="1276" w:type="dxa"/>
            <w:vAlign w:val="center"/>
          </w:tcPr>
          <w:p w:rsidR="007D0295" w:rsidRDefault="009C5056">
            <w:pPr>
              <w:jc w:val="center"/>
            </w:pPr>
            <w:r>
              <w:rPr>
                <w:rFonts w:eastAsiaTheme="minorEastAsia"/>
                <w:kern w:val="0"/>
                <w:szCs w:val="21"/>
              </w:rPr>
              <w:t>603444</w:t>
            </w:r>
          </w:p>
        </w:tc>
        <w:tc>
          <w:tcPr>
            <w:tcW w:w="1701" w:type="dxa"/>
            <w:vAlign w:val="center"/>
          </w:tcPr>
          <w:p w:rsidR="007D0295" w:rsidRDefault="009C5056">
            <w:pPr>
              <w:jc w:val="center"/>
            </w:pPr>
            <w:r>
              <w:rPr>
                <w:rFonts w:eastAsiaTheme="minorEastAsia"/>
                <w:kern w:val="0"/>
                <w:szCs w:val="21"/>
              </w:rPr>
              <w:t>吉比特</w:t>
            </w:r>
          </w:p>
        </w:tc>
        <w:tc>
          <w:tcPr>
            <w:tcW w:w="1276" w:type="dxa"/>
            <w:vAlign w:val="center"/>
          </w:tcPr>
          <w:p w:rsidR="007D0295" w:rsidRDefault="009C5056">
            <w:pPr>
              <w:jc w:val="right"/>
            </w:pPr>
            <w:r>
              <w:rPr>
                <w:rFonts w:eastAsiaTheme="minorEastAsia"/>
                <w:kern w:val="0"/>
                <w:szCs w:val="21"/>
              </w:rPr>
              <w:t>59,500.00</w:t>
            </w:r>
          </w:p>
        </w:tc>
        <w:tc>
          <w:tcPr>
            <w:tcW w:w="1842" w:type="dxa"/>
            <w:vAlign w:val="center"/>
          </w:tcPr>
          <w:p w:rsidR="007D0295" w:rsidRDefault="009C5056">
            <w:pPr>
              <w:jc w:val="right"/>
            </w:pPr>
            <w:r>
              <w:rPr>
                <w:rFonts w:eastAsiaTheme="minorEastAsia"/>
                <w:kern w:val="0"/>
                <w:szCs w:val="21"/>
              </w:rPr>
              <w:t>21,754,390.00</w:t>
            </w:r>
          </w:p>
        </w:tc>
        <w:tc>
          <w:tcPr>
            <w:tcW w:w="1616" w:type="dxa"/>
            <w:vAlign w:val="center"/>
          </w:tcPr>
          <w:p w:rsidR="007D0295" w:rsidRDefault="009C5056">
            <w:pPr>
              <w:jc w:val="right"/>
            </w:pPr>
            <w:r>
              <w:rPr>
                <w:rFonts w:eastAsiaTheme="minorEastAsia"/>
                <w:kern w:val="0"/>
                <w:szCs w:val="21"/>
              </w:rPr>
              <w:t>5.42</w:t>
            </w:r>
          </w:p>
        </w:tc>
      </w:tr>
      <w:tr w:rsidR="007D0295">
        <w:tc>
          <w:tcPr>
            <w:tcW w:w="817" w:type="dxa"/>
            <w:vAlign w:val="center"/>
          </w:tcPr>
          <w:p w:rsidR="007D0295" w:rsidRDefault="009C5056">
            <w:pPr>
              <w:jc w:val="center"/>
            </w:pPr>
            <w:r>
              <w:rPr>
                <w:rFonts w:eastAsiaTheme="minorEastAsia"/>
                <w:kern w:val="0"/>
                <w:szCs w:val="21"/>
              </w:rPr>
              <w:t>4</w:t>
            </w:r>
          </w:p>
        </w:tc>
        <w:tc>
          <w:tcPr>
            <w:tcW w:w="1276" w:type="dxa"/>
            <w:vAlign w:val="center"/>
          </w:tcPr>
          <w:p w:rsidR="007D0295" w:rsidRDefault="009C5056">
            <w:pPr>
              <w:jc w:val="center"/>
            </w:pPr>
            <w:r>
              <w:rPr>
                <w:rFonts w:eastAsiaTheme="minorEastAsia"/>
                <w:kern w:val="0"/>
                <w:szCs w:val="21"/>
              </w:rPr>
              <w:t>002555</w:t>
            </w:r>
          </w:p>
        </w:tc>
        <w:tc>
          <w:tcPr>
            <w:tcW w:w="1701" w:type="dxa"/>
            <w:vAlign w:val="center"/>
          </w:tcPr>
          <w:p w:rsidR="007D0295" w:rsidRDefault="009C5056">
            <w:pPr>
              <w:jc w:val="center"/>
            </w:pPr>
            <w:r>
              <w:rPr>
                <w:rFonts w:eastAsiaTheme="minorEastAsia"/>
                <w:kern w:val="0"/>
                <w:szCs w:val="21"/>
              </w:rPr>
              <w:t>三七互娱</w:t>
            </w:r>
          </w:p>
        </w:tc>
        <w:tc>
          <w:tcPr>
            <w:tcW w:w="1276" w:type="dxa"/>
            <w:vAlign w:val="center"/>
          </w:tcPr>
          <w:p w:rsidR="007D0295" w:rsidRDefault="009C5056">
            <w:pPr>
              <w:jc w:val="right"/>
            </w:pPr>
            <w:r>
              <w:rPr>
                <w:rFonts w:eastAsiaTheme="minorEastAsia"/>
                <w:kern w:val="0"/>
                <w:szCs w:val="21"/>
              </w:rPr>
              <w:t>998,101.00</w:t>
            </w:r>
          </w:p>
        </w:tc>
        <w:tc>
          <w:tcPr>
            <w:tcW w:w="1842" w:type="dxa"/>
            <w:vAlign w:val="center"/>
          </w:tcPr>
          <w:p w:rsidR="007D0295" w:rsidRDefault="009C5056">
            <w:pPr>
              <w:jc w:val="right"/>
            </w:pPr>
            <w:r>
              <w:rPr>
                <w:rFonts w:eastAsiaTheme="minorEastAsia"/>
                <w:kern w:val="0"/>
                <w:szCs w:val="21"/>
              </w:rPr>
              <w:t>21,658,791.70</w:t>
            </w:r>
          </w:p>
        </w:tc>
        <w:tc>
          <w:tcPr>
            <w:tcW w:w="1616" w:type="dxa"/>
            <w:vAlign w:val="center"/>
          </w:tcPr>
          <w:p w:rsidR="007D0295" w:rsidRDefault="009C5056">
            <w:pPr>
              <w:jc w:val="right"/>
            </w:pPr>
            <w:r>
              <w:rPr>
                <w:rFonts w:eastAsiaTheme="minorEastAsia"/>
                <w:kern w:val="0"/>
                <w:szCs w:val="21"/>
              </w:rPr>
              <w:t>5.40</w:t>
            </w:r>
          </w:p>
        </w:tc>
      </w:tr>
      <w:tr w:rsidR="007D0295">
        <w:tc>
          <w:tcPr>
            <w:tcW w:w="817" w:type="dxa"/>
            <w:vAlign w:val="center"/>
          </w:tcPr>
          <w:p w:rsidR="007D0295" w:rsidRDefault="009C5056">
            <w:pPr>
              <w:jc w:val="center"/>
            </w:pPr>
            <w:r>
              <w:rPr>
                <w:rFonts w:eastAsiaTheme="minorEastAsia"/>
                <w:kern w:val="0"/>
                <w:szCs w:val="21"/>
              </w:rPr>
              <w:t>5</w:t>
            </w:r>
          </w:p>
        </w:tc>
        <w:tc>
          <w:tcPr>
            <w:tcW w:w="1276" w:type="dxa"/>
            <w:vAlign w:val="center"/>
          </w:tcPr>
          <w:p w:rsidR="007D0295" w:rsidRDefault="009C5056">
            <w:pPr>
              <w:jc w:val="center"/>
            </w:pPr>
            <w:r>
              <w:rPr>
                <w:rFonts w:eastAsiaTheme="minorEastAsia"/>
                <w:kern w:val="0"/>
                <w:szCs w:val="21"/>
              </w:rPr>
              <w:t>688111</w:t>
            </w:r>
          </w:p>
        </w:tc>
        <w:tc>
          <w:tcPr>
            <w:tcW w:w="1701" w:type="dxa"/>
            <w:vAlign w:val="center"/>
          </w:tcPr>
          <w:p w:rsidR="007D0295" w:rsidRDefault="009C5056">
            <w:pPr>
              <w:jc w:val="center"/>
            </w:pPr>
            <w:r>
              <w:rPr>
                <w:rFonts w:eastAsiaTheme="minorEastAsia"/>
                <w:kern w:val="0"/>
                <w:szCs w:val="21"/>
              </w:rPr>
              <w:t>金山办公</w:t>
            </w:r>
          </w:p>
        </w:tc>
        <w:tc>
          <w:tcPr>
            <w:tcW w:w="1276" w:type="dxa"/>
            <w:vAlign w:val="center"/>
          </w:tcPr>
          <w:p w:rsidR="007D0295" w:rsidRDefault="009C5056">
            <w:pPr>
              <w:jc w:val="right"/>
            </w:pPr>
            <w:r>
              <w:rPr>
                <w:rFonts w:eastAsiaTheme="minorEastAsia"/>
                <w:kern w:val="0"/>
                <w:szCs w:val="21"/>
              </w:rPr>
              <w:t>46,641.00</w:t>
            </w:r>
          </w:p>
        </w:tc>
        <w:tc>
          <w:tcPr>
            <w:tcW w:w="1842" w:type="dxa"/>
            <w:vAlign w:val="center"/>
          </w:tcPr>
          <w:p w:rsidR="007D0295" w:rsidRDefault="009C5056">
            <w:pPr>
              <w:jc w:val="right"/>
            </w:pPr>
            <w:r>
              <w:rPr>
                <w:rFonts w:eastAsiaTheme="minorEastAsia"/>
                <w:kern w:val="0"/>
                <w:szCs w:val="21"/>
              </w:rPr>
              <w:t>17,294,482.80</w:t>
            </w:r>
          </w:p>
        </w:tc>
        <w:tc>
          <w:tcPr>
            <w:tcW w:w="1616" w:type="dxa"/>
            <w:vAlign w:val="center"/>
          </w:tcPr>
          <w:p w:rsidR="007D0295" w:rsidRDefault="009C5056">
            <w:pPr>
              <w:jc w:val="right"/>
            </w:pPr>
            <w:r>
              <w:rPr>
                <w:rFonts w:eastAsiaTheme="minorEastAsia"/>
                <w:kern w:val="0"/>
                <w:szCs w:val="21"/>
              </w:rPr>
              <w:t>4.31</w:t>
            </w:r>
          </w:p>
        </w:tc>
      </w:tr>
      <w:tr w:rsidR="007D0295">
        <w:tc>
          <w:tcPr>
            <w:tcW w:w="817" w:type="dxa"/>
            <w:vAlign w:val="center"/>
          </w:tcPr>
          <w:p w:rsidR="007D0295" w:rsidRDefault="009C5056">
            <w:pPr>
              <w:jc w:val="center"/>
            </w:pPr>
            <w:r>
              <w:rPr>
                <w:rFonts w:eastAsiaTheme="minorEastAsia"/>
                <w:kern w:val="0"/>
                <w:szCs w:val="21"/>
              </w:rPr>
              <w:t>6</w:t>
            </w:r>
          </w:p>
        </w:tc>
        <w:tc>
          <w:tcPr>
            <w:tcW w:w="1276" w:type="dxa"/>
            <w:vAlign w:val="center"/>
          </w:tcPr>
          <w:p w:rsidR="007D0295" w:rsidRDefault="009C5056">
            <w:pPr>
              <w:jc w:val="center"/>
            </w:pPr>
            <w:r>
              <w:rPr>
                <w:rFonts w:eastAsiaTheme="minorEastAsia"/>
                <w:kern w:val="0"/>
                <w:szCs w:val="21"/>
              </w:rPr>
              <w:t>300394</w:t>
            </w:r>
          </w:p>
        </w:tc>
        <w:tc>
          <w:tcPr>
            <w:tcW w:w="1701" w:type="dxa"/>
            <w:vAlign w:val="center"/>
          </w:tcPr>
          <w:p w:rsidR="007D0295" w:rsidRDefault="009C5056">
            <w:pPr>
              <w:jc w:val="center"/>
            </w:pPr>
            <w:r>
              <w:rPr>
                <w:rFonts w:eastAsiaTheme="minorEastAsia"/>
                <w:kern w:val="0"/>
                <w:szCs w:val="21"/>
              </w:rPr>
              <w:t>天孚通信</w:t>
            </w:r>
          </w:p>
        </w:tc>
        <w:tc>
          <w:tcPr>
            <w:tcW w:w="1276" w:type="dxa"/>
            <w:vAlign w:val="center"/>
          </w:tcPr>
          <w:p w:rsidR="007D0295" w:rsidRDefault="009C5056">
            <w:pPr>
              <w:jc w:val="right"/>
            </w:pPr>
            <w:r>
              <w:rPr>
                <w:rFonts w:eastAsiaTheme="minorEastAsia"/>
                <w:kern w:val="0"/>
                <w:szCs w:val="21"/>
              </w:rPr>
              <w:t>164,700.00</w:t>
            </w:r>
          </w:p>
        </w:tc>
        <w:tc>
          <w:tcPr>
            <w:tcW w:w="1842" w:type="dxa"/>
            <w:vAlign w:val="center"/>
          </w:tcPr>
          <w:p w:rsidR="007D0295" w:rsidRDefault="009C5056">
            <w:pPr>
              <w:jc w:val="right"/>
            </w:pPr>
            <w:r>
              <w:rPr>
                <w:rFonts w:eastAsiaTheme="minorEastAsia"/>
                <w:kern w:val="0"/>
                <w:szCs w:val="21"/>
              </w:rPr>
              <w:t>15,646,500.00</w:t>
            </w:r>
          </w:p>
        </w:tc>
        <w:tc>
          <w:tcPr>
            <w:tcW w:w="1616" w:type="dxa"/>
            <w:vAlign w:val="center"/>
          </w:tcPr>
          <w:p w:rsidR="007D0295" w:rsidRDefault="009C5056">
            <w:pPr>
              <w:jc w:val="right"/>
            </w:pPr>
            <w:r>
              <w:rPr>
                <w:rFonts w:eastAsiaTheme="minorEastAsia"/>
                <w:kern w:val="0"/>
                <w:szCs w:val="21"/>
              </w:rPr>
              <w:t>3.90</w:t>
            </w:r>
          </w:p>
        </w:tc>
      </w:tr>
      <w:tr w:rsidR="007D0295">
        <w:tc>
          <w:tcPr>
            <w:tcW w:w="817" w:type="dxa"/>
            <w:vAlign w:val="center"/>
          </w:tcPr>
          <w:p w:rsidR="007D0295" w:rsidRDefault="009C5056">
            <w:pPr>
              <w:jc w:val="center"/>
            </w:pPr>
            <w:r>
              <w:rPr>
                <w:rFonts w:eastAsiaTheme="minorEastAsia"/>
                <w:kern w:val="0"/>
                <w:szCs w:val="21"/>
              </w:rPr>
              <w:t>7</w:t>
            </w:r>
          </w:p>
        </w:tc>
        <w:tc>
          <w:tcPr>
            <w:tcW w:w="1276" w:type="dxa"/>
            <w:vAlign w:val="center"/>
          </w:tcPr>
          <w:p w:rsidR="007D0295" w:rsidRDefault="009C5056">
            <w:pPr>
              <w:jc w:val="center"/>
            </w:pPr>
            <w:r>
              <w:rPr>
                <w:rFonts w:eastAsiaTheme="minorEastAsia"/>
                <w:kern w:val="0"/>
                <w:szCs w:val="21"/>
              </w:rPr>
              <w:t>002236</w:t>
            </w:r>
          </w:p>
        </w:tc>
        <w:tc>
          <w:tcPr>
            <w:tcW w:w="1701" w:type="dxa"/>
            <w:vAlign w:val="center"/>
          </w:tcPr>
          <w:p w:rsidR="007D0295" w:rsidRDefault="009C5056">
            <w:pPr>
              <w:jc w:val="center"/>
            </w:pPr>
            <w:r>
              <w:rPr>
                <w:rFonts w:eastAsiaTheme="minorEastAsia"/>
                <w:kern w:val="0"/>
                <w:szCs w:val="21"/>
              </w:rPr>
              <w:t>大华股份</w:t>
            </w:r>
          </w:p>
        </w:tc>
        <w:tc>
          <w:tcPr>
            <w:tcW w:w="1276" w:type="dxa"/>
            <w:vAlign w:val="center"/>
          </w:tcPr>
          <w:p w:rsidR="007D0295" w:rsidRDefault="009C5056">
            <w:pPr>
              <w:jc w:val="right"/>
            </w:pPr>
            <w:r>
              <w:rPr>
                <w:rFonts w:eastAsiaTheme="minorEastAsia"/>
                <w:kern w:val="0"/>
                <w:szCs w:val="21"/>
              </w:rPr>
              <w:t>644,685.00</w:t>
            </w:r>
          </w:p>
        </w:tc>
        <w:tc>
          <w:tcPr>
            <w:tcW w:w="1842" w:type="dxa"/>
            <w:vAlign w:val="center"/>
          </w:tcPr>
          <w:p w:rsidR="007D0295" w:rsidRDefault="009C5056">
            <w:pPr>
              <w:jc w:val="right"/>
            </w:pPr>
            <w:r>
              <w:rPr>
                <w:rFonts w:eastAsiaTheme="minorEastAsia"/>
                <w:kern w:val="0"/>
                <w:szCs w:val="21"/>
              </w:rPr>
              <w:t>14,357,134.95</w:t>
            </w:r>
          </w:p>
        </w:tc>
        <w:tc>
          <w:tcPr>
            <w:tcW w:w="1616" w:type="dxa"/>
            <w:vAlign w:val="center"/>
          </w:tcPr>
          <w:p w:rsidR="007D0295" w:rsidRDefault="009C5056">
            <w:pPr>
              <w:jc w:val="right"/>
            </w:pPr>
            <w:r>
              <w:rPr>
                <w:rFonts w:eastAsiaTheme="minorEastAsia"/>
                <w:kern w:val="0"/>
                <w:szCs w:val="21"/>
              </w:rPr>
              <w:t>3.58</w:t>
            </w:r>
          </w:p>
        </w:tc>
      </w:tr>
      <w:tr w:rsidR="007D0295">
        <w:tc>
          <w:tcPr>
            <w:tcW w:w="817" w:type="dxa"/>
            <w:vAlign w:val="center"/>
          </w:tcPr>
          <w:p w:rsidR="007D0295" w:rsidRDefault="009C5056">
            <w:pPr>
              <w:jc w:val="center"/>
            </w:pPr>
            <w:r>
              <w:rPr>
                <w:rFonts w:eastAsiaTheme="minorEastAsia"/>
                <w:kern w:val="0"/>
                <w:szCs w:val="21"/>
              </w:rPr>
              <w:t>8</w:t>
            </w:r>
          </w:p>
        </w:tc>
        <w:tc>
          <w:tcPr>
            <w:tcW w:w="1276" w:type="dxa"/>
            <w:vAlign w:val="center"/>
          </w:tcPr>
          <w:p w:rsidR="007D0295" w:rsidRDefault="009C5056">
            <w:pPr>
              <w:jc w:val="center"/>
            </w:pPr>
            <w:r>
              <w:rPr>
                <w:rFonts w:eastAsiaTheme="minorEastAsia"/>
                <w:kern w:val="0"/>
                <w:szCs w:val="21"/>
              </w:rPr>
              <w:t>300502</w:t>
            </w:r>
          </w:p>
        </w:tc>
        <w:tc>
          <w:tcPr>
            <w:tcW w:w="1701" w:type="dxa"/>
            <w:vAlign w:val="center"/>
          </w:tcPr>
          <w:p w:rsidR="007D0295" w:rsidRDefault="009C5056">
            <w:pPr>
              <w:jc w:val="center"/>
            </w:pPr>
            <w:r>
              <w:rPr>
                <w:rFonts w:eastAsiaTheme="minorEastAsia"/>
                <w:kern w:val="0"/>
                <w:szCs w:val="21"/>
              </w:rPr>
              <w:t>新易盛</w:t>
            </w:r>
          </w:p>
        </w:tc>
        <w:tc>
          <w:tcPr>
            <w:tcW w:w="1276" w:type="dxa"/>
            <w:vAlign w:val="center"/>
          </w:tcPr>
          <w:p w:rsidR="007D0295" w:rsidRDefault="009C5056">
            <w:pPr>
              <w:jc w:val="right"/>
            </w:pPr>
            <w:r>
              <w:rPr>
                <w:rFonts w:eastAsiaTheme="minorEastAsia"/>
                <w:kern w:val="0"/>
                <w:szCs w:val="21"/>
              </w:rPr>
              <w:t>308,027.00</w:t>
            </w:r>
          </w:p>
        </w:tc>
        <w:tc>
          <w:tcPr>
            <w:tcW w:w="1842" w:type="dxa"/>
            <w:vAlign w:val="center"/>
          </w:tcPr>
          <w:p w:rsidR="007D0295" w:rsidRDefault="009C5056">
            <w:pPr>
              <w:jc w:val="right"/>
            </w:pPr>
            <w:r>
              <w:rPr>
                <w:rFonts w:eastAsiaTheme="minorEastAsia"/>
                <w:kern w:val="0"/>
                <w:szCs w:val="21"/>
              </w:rPr>
              <w:t>14,169,242.00</w:t>
            </w:r>
          </w:p>
        </w:tc>
        <w:tc>
          <w:tcPr>
            <w:tcW w:w="1616" w:type="dxa"/>
            <w:vAlign w:val="center"/>
          </w:tcPr>
          <w:p w:rsidR="007D0295" w:rsidRDefault="009C5056">
            <w:pPr>
              <w:jc w:val="right"/>
            </w:pPr>
            <w:r>
              <w:rPr>
                <w:rFonts w:eastAsiaTheme="minorEastAsia"/>
                <w:kern w:val="0"/>
                <w:szCs w:val="21"/>
              </w:rPr>
              <w:t>3.53</w:t>
            </w:r>
          </w:p>
        </w:tc>
      </w:tr>
      <w:tr w:rsidR="007D0295">
        <w:tc>
          <w:tcPr>
            <w:tcW w:w="817" w:type="dxa"/>
            <w:vAlign w:val="center"/>
          </w:tcPr>
          <w:p w:rsidR="007D0295" w:rsidRDefault="009C5056">
            <w:pPr>
              <w:jc w:val="center"/>
            </w:pPr>
            <w:r>
              <w:rPr>
                <w:rFonts w:eastAsiaTheme="minorEastAsia"/>
                <w:kern w:val="0"/>
                <w:szCs w:val="21"/>
              </w:rPr>
              <w:t>9</w:t>
            </w:r>
          </w:p>
        </w:tc>
        <w:tc>
          <w:tcPr>
            <w:tcW w:w="1276" w:type="dxa"/>
            <w:vAlign w:val="center"/>
          </w:tcPr>
          <w:p w:rsidR="007D0295" w:rsidRDefault="009C5056">
            <w:pPr>
              <w:jc w:val="center"/>
            </w:pPr>
            <w:r>
              <w:rPr>
                <w:rFonts w:eastAsiaTheme="minorEastAsia"/>
                <w:kern w:val="0"/>
                <w:szCs w:val="21"/>
              </w:rPr>
              <w:t>300280</w:t>
            </w:r>
          </w:p>
        </w:tc>
        <w:tc>
          <w:tcPr>
            <w:tcW w:w="1701" w:type="dxa"/>
            <w:vAlign w:val="center"/>
          </w:tcPr>
          <w:p w:rsidR="007D0295" w:rsidRDefault="009C5056">
            <w:pPr>
              <w:jc w:val="center"/>
            </w:pPr>
            <w:r>
              <w:rPr>
                <w:rFonts w:eastAsiaTheme="minorEastAsia"/>
                <w:kern w:val="0"/>
                <w:szCs w:val="21"/>
              </w:rPr>
              <w:t>紫天科技</w:t>
            </w:r>
          </w:p>
        </w:tc>
        <w:tc>
          <w:tcPr>
            <w:tcW w:w="1276" w:type="dxa"/>
            <w:vAlign w:val="center"/>
          </w:tcPr>
          <w:p w:rsidR="007D0295" w:rsidRDefault="009C5056">
            <w:pPr>
              <w:jc w:val="right"/>
            </w:pPr>
            <w:r>
              <w:rPr>
                <w:rFonts w:eastAsiaTheme="minorEastAsia"/>
                <w:kern w:val="0"/>
                <w:szCs w:val="21"/>
              </w:rPr>
              <w:t>382,200.00</w:t>
            </w:r>
          </w:p>
        </w:tc>
        <w:tc>
          <w:tcPr>
            <w:tcW w:w="1842" w:type="dxa"/>
            <w:vAlign w:val="center"/>
          </w:tcPr>
          <w:p w:rsidR="007D0295" w:rsidRDefault="009C5056">
            <w:pPr>
              <w:jc w:val="right"/>
            </w:pPr>
            <w:r>
              <w:rPr>
                <w:rFonts w:eastAsiaTheme="minorEastAsia"/>
                <w:kern w:val="0"/>
                <w:szCs w:val="21"/>
              </w:rPr>
              <w:t>13,266,162.00</w:t>
            </w:r>
          </w:p>
        </w:tc>
        <w:tc>
          <w:tcPr>
            <w:tcW w:w="1616" w:type="dxa"/>
            <w:vAlign w:val="center"/>
          </w:tcPr>
          <w:p w:rsidR="007D0295" w:rsidRDefault="009C5056">
            <w:pPr>
              <w:jc w:val="right"/>
            </w:pPr>
            <w:r>
              <w:rPr>
                <w:rFonts w:eastAsiaTheme="minorEastAsia"/>
                <w:kern w:val="0"/>
                <w:szCs w:val="21"/>
              </w:rPr>
              <w:t>3.31</w:t>
            </w:r>
          </w:p>
        </w:tc>
      </w:tr>
      <w:tr w:rsidR="007D0295">
        <w:tc>
          <w:tcPr>
            <w:tcW w:w="817" w:type="dxa"/>
            <w:vAlign w:val="center"/>
          </w:tcPr>
          <w:p w:rsidR="007D0295" w:rsidRDefault="009C5056">
            <w:pPr>
              <w:jc w:val="center"/>
            </w:pPr>
            <w:r>
              <w:rPr>
                <w:rFonts w:eastAsiaTheme="minorEastAsia"/>
                <w:kern w:val="0"/>
                <w:szCs w:val="21"/>
              </w:rPr>
              <w:t>10</w:t>
            </w:r>
          </w:p>
        </w:tc>
        <w:tc>
          <w:tcPr>
            <w:tcW w:w="1276" w:type="dxa"/>
            <w:vAlign w:val="center"/>
          </w:tcPr>
          <w:p w:rsidR="007D0295" w:rsidRDefault="009C5056">
            <w:pPr>
              <w:jc w:val="center"/>
            </w:pPr>
            <w:r>
              <w:rPr>
                <w:rFonts w:eastAsiaTheme="minorEastAsia"/>
                <w:kern w:val="0"/>
                <w:szCs w:val="21"/>
              </w:rPr>
              <w:t>300002</w:t>
            </w:r>
          </w:p>
        </w:tc>
        <w:tc>
          <w:tcPr>
            <w:tcW w:w="1701" w:type="dxa"/>
            <w:vAlign w:val="center"/>
          </w:tcPr>
          <w:p w:rsidR="007D0295" w:rsidRDefault="009C5056">
            <w:pPr>
              <w:jc w:val="center"/>
            </w:pPr>
            <w:r>
              <w:rPr>
                <w:rFonts w:eastAsiaTheme="minorEastAsia"/>
                <w:kern w:val="0"/>
                <w:szCs w:val="21"/>
              </w:rPr>
              <w:t>神州泰岳</w:t>
            </w:r>
          </w:p>
        </w:tc>
        <w:tc>
          <w:tcPr>
            <w:tcW w:w="1276" w:type="dxa"/>
            <w:vAlign w:val="center"/>
          </w:tcPr>
          <w:p w:rsidR="007D0295" w:rsidRDefault="009C5056">
            <w:pPr>
              <w:jc w:val="right"/>
            </w:pPr>
            <w:r>
              <w:rPr>
                <w:rFonts w:eastAsiaTheme="minorEastAsia"/>
                <w:kern w:val="0"/>
                <w:szCs w:val="21"/>
              </w:rPr>
              <w:t>1,223,900.00</w:t>
            </w:r>
          </w:p>
        </w:tc>
        <w:tc>
          <w:tcPr>
            <w:tcW w:w="1842" w:type="dxa"/>
            <w:vAlign w:val="center"/>
          </w:tcPr>
          <w:p w:rsidR="007D0295" w:rsidRDefault="009C5056">
            <w:pPr>
              <w:jc w:val="right"/>
            </w:pPr>
            <w:r>
              <w:rPr>
                <w:rFonts w:eastAsiaTheme="minorEastAsia"/>
                <w:kern w:val="0"/>
                <w:szCs w:val="21"/>
              </w:rPr>
              <w:t>12,312,434.00</w:t>
            </w:r>
          </w:p>
        </w:tc>
        <w:tc>
          <w:tcPr>
            <w:tcW w:w="1616" w:type="dxa"/>
            <w:vAlign w:val="center"/>
          </w:tcPr>
          <w:p w:rsidR="007D0295" w:rsidRDefault="009C5056">
            <w:pPr>
              <w:jc w:val="right"/>
            </w:pPr>
            <w:r>
              <w:rPr>
                <w:rFonts w:eastAsiaTheme="minorEastAsia"/>
                <w:kern w:val="0"/>
                <w:szCs w:val="21"/>
              </w:rPr>
              <w:t>3.07</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本基金投资的前十名证券的发行主体中，三七互娱网络科技集团股份有限公司（股票代码</w:t>
      </w:r>
      <w:r w:rsidRPr="00B27A29">
        <w:rPr>
          <w:rFonts w:eastAsiaTheme="minorEastAsia"/>
          <w:color w:val="000000" w:themeColor="text1"/>
          <w:szCs w:val="21"/>
        </w:rPr>
        <w:t>002555</w:t>
      </w:r>
      <w:r w:rsidRPr="00B27A29">
        <w:rPr>
          <w:rFonts w:eastAsiaTheme="minorEastAsia"/>
          <w:color w:val="000000" w:themeColor="text1"/>
          <w:szCs w:val="21"/>
        </w:rPr>
        <w:t>）在报告编制日前一年内曾受到中国证监会的立案调查。</w:t>
      </w:r>
    </w:p>
    <w:p w:rsidR="007D0295" w:rsidRDefault="009C5056">
      <w:pPr>
        <w:widowControl/>
        <w:spacing w:line="360" w:lineRule="auto"/>
        <w:rPr>
          <w:rFonts w:eastAsiaTheme="minorEastAsia"/>
          <w:color w:val="000000" w:themeColor="text1"/>
          <w:szCs w:val="21"/>
        </w:rPr>
      </w:pPr>
      <w:r>
        <w:rPr>
          <w:rFonts w:eastAsiaTheme="minorEastAsia"/>
          <w:color w:val="000000" w:themeColor="text1"/>
          <w:szCs w:val="21"/>
        </w:rPr>
        <w:t>本基金对上述主体所发行证券的投资决策程序符合相关法律法规、基金合同及公司投资制度的要求。</w:t>
      </w:r>
    </w:p>
    <w:p w:rsidR="007D0295" w:rsidRDefault="009C5056">
      <w:pPr>
        <w:widowControl/>
        <w:spacing w:line="360" w:lineRule="auto"/>
        <w:rPr>
          <w:rFonts w:eastAsiaTheme="minorEastAsia"/>
          <w:color w:val="000000" w:themeColor="text1"/>
          <w:szCs w:val="21"/>
        </w:rPr>
      </w:pPr>
      <w:r>
        <w:rPr>
          <w:rFonts w:eastAsiaTheme="minorEastAsia"/>
          <w:color w:val="000000" w:themeColor="text1"/>
          <w:szCs w:val="21"/>
        </w:rPr>
        <w:t>除上述股票外，本基金投资的其余前十名证券的发行主体本期未出现被监管部门立案调查，或在报告编制日前一年内受到公开谴责、处罚的情形。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218,865.27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3,998,187.23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210,796.46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4,427,848.96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529,652,137.01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3,207,489.72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19,647,839.62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5,082,684.46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10,464,292.17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2,327,332.97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538,835,684.46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5,962,841.21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w:t>
            </w:r>
            <w:r w:rsidRPr="00B27A29">
              <w:rPr>
                <w:color w:val="000000" w:themeColor="text1"/>
                <w:sz w:val="21"/>
                <w:szCs w:val="21"/>
              </w:rPr>
              <w:lastRenderedPageBreak/>
              <w:t>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lastRenderedPageBreak/>
              <w:t>423,830.47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423,830.47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FC2359" w:rsidRDefault="00FC2359" w:rsidP="00FC2359">
      <w:pPr>
        <w:spacing w:line="360" w:lineRule="auto"/>
        <w:jc w:val="left"/>
        <w:rPr>
          <w:b/>
          <w:color w:val="000000" w:themeColor="text1"/>
          <w:szCs w:val="21"/>
        </w:rPr>
      </w:pPr>
    </w:p>
    <w:p w:rsidR="00FC2359" w:rsidRDefault="00FC2359" w:rsidP="00FC2359">
      <w:pPr>
        <w:spacing w:line="360" w:lineRule="auto"/>
        <w:jc w:val="left"/>
        <w:rPr>
          <w:b/>
          <w:color w:val="000000" w:themeColor="text1"/>
          <w:szCs w:val="21"/>
        </w:rPr>
      </w:pPr>
      <w:r>
        <w:rPr>
          <w:b/>
          <w:color w:val="000000" w:themeColor="text1"/>
          <w:szCs w:val="21"/>
        </w:rPr>
        <w:t xml:space="preserve">7.2 </w:t>
      </w:r>
      <w:r>
        <w:rPr>
          <w:rFonts w:hint="eastAsia"/>
          <w:b/>
          <w:color w:val="000000" w:themeColor="text1"/>
          <w:szCs w:val="21"/>
        </w:rPr>
        <w:t>基金管理人运用固有资金投资本基金交易明细</w:t>
      </w:r>
    </w:p>
    <w:p w:rsidR="00FC2359" w:rsidRDefault="00FC2359" w:rsidP="00FC2359">
      <w:pPr>
        <w:spacing w:line="360" w:lineRule="auto"/>
        <w:jc w:val="left"/>
        <w:rPr>
          <w:color w:val="000000" w:themeColor="text1"/>
          <w:szCs w:val="21"/>
        </w:rPr>
      </w:pPr>
      <w:r>
        <w:rPr>
          <w:rFonts w:hint="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7D0295" w:rsidRDefault="009C505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rsidR="007D0295" w:rsidRDefault="009C505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摩根智慧互联股票型证券投资基金基金合同</w:t>
      </w:r>
    </w:p>
    <w:p w:rsidR="007D0295" w:rsidRDefault="009C505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摩根智慧互联股票型证券投资基金托管协议</w:t>
      </w:r>
    </w:p>
    <w:p w:rsidR="007D0295" w:rsidRDefault="009C505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7D0295" w:rsidRDefault="009C505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7D0295" w:rsidRDefault="009C505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7D0295" w:rsidRDefault="009C505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056" w:rsidRDefault="009C5056">
      <w:r>
        <w:separator/>
      </w:r>
    </w:p>
  </w:endnote>
  <w:endnote w:type="continuationSeparator" w:id="0">
    <w:p w:rsidR="009C5056" w:rsidRDefault="009C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B07A0">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B07A0">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B07A0">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056" w:rsidRDefault="009C5056">
      <w:r>
        <w:separator/>
      </w:r>
    </w:p>
  </w:footnote>
  <w:footnote w:type="continuationSeparator" w:id="0">
    <w:p w:rsidR="009C5056" w:rsidRDefault="009C5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摩根智慧互联股票型证券投资基金</w:t>
    </w:r>
    <w:r>
      <w:t>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0295"/>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07A0"/>
    <w:rsid w:val="009B4286"/>
    <w:rsid w:val="009B5BF9"/>
    <w:rsid w:val="009B5DAF"/>
    <w:rsid w:val="009B5F83"/>
    <w:rsid w:val="009B61C5"/>
    <w:rsid w:val="009B769E"/>
    <w:rsid w:val="009C03E5"/>
    <w:rsid w:val="009C4D19"/>
    <w:rsid w:val="009C5056"/>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2359"/>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46087">
      <w:bodyDiv w:val="1"/>
      <w:marLeft w:val="0"/>
      <w:marRight w:val="0"/>
      <w:marTop w:val="0"/>
      <w:marBottom w:val="0"/>
      <w:divBdr>
        <w:top w:val="none" w:sz="0" w:space="0" w:color="auto"/>
        <w:left w:val="none" w:sz="0" w:space="0" w:color="auto"/>
        <w:bottom w:val="none" w:sz="0" w:space="0" w:color="auto"/>
        <w:right w:val="none" w:sz="0" w:space="0" w:color="auto"/>
      </w:divBdr>
    </w:div>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2AE5FC-AEFE-4AC1-95D4-D415F9AA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TotalTime>
  <Pages>14</Pages>
  <Words>1273</Words>
  <Characters>7257</Characters>
  <Application>Microsoft Office Word</Application>
  <DocSecurity>0</DocSecurity>
  <Lines>60</Lines>
  <Paragraphs>17</Paragraphs>
  <ScaleCrop>false</ScaleCrop>
  <Company>TRT. Ltd. Co.</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221</cp:revision>
  <cp:lastPrinted>2007-07-19T00:46:00Z</cp:lastPrinted>
  <dcterms:created xsi:type="dcterms:W3CDTF">2013-06-21T06:56:00Z</dcterms:created>
  <dcterms:modified xsi:type="dcterms:W3CDTF">2023-10-24T07:01:00Z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