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摩根科技前沿灵活配置混合型证券投资基金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摩根科技前沿混合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001538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1,444,091,367.63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采用定量及定性研究方法，自下而上优选科技前沿主题上市公司，通过严格的风险控制，力争实现基金资产的长期增值。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w:t>
            </w:r>
            <w:r>
              <w:rPr>
                <w:rFonts w:eastAsiaTheme="minorEastAsia"/>
                <w:color w:val="000000" w:themeColor="text1"/>
                <w:kern w:val="0"/>
                <w:szCs w:val="21"/>
              </w:rPr>
              <w:t>个股。</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固定收益类投资策略</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w:t>
            </w:r>
            <w:r>
              <w:rPr>
                <w:rFonts w:eastAsiaTheme="minorEastAsia"/>
                <w:color w:val="000000" w:themeColor="text1"/>
                <w:kern w:val="0"/>
                <w:szCs w:val="21"/>
              </w:rPr>
              <w:t>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w:t>
            </w:r>
            <w:r w:rsidRPr="00B27A29">
              <w:rPr>
                <w:rFonts w:eastAsiaTheme="minorEastAsia"/>
                <w:color w:val="000000" w:themeColor="text1"/>
                <w:kern w:val="0"/>
                <w:szCs w:val="21"/>
              </w:rPr>
              <w:lastRenderedPageBreak/>
              <w:t>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461A9" w:rsidRDefault="00F944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001538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014964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1,442,027,466.41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2,063,901.22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-42,531,058.08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-68,342.89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-222,528,965.42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-296,646.57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2,920,303,044.68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4,146,044.30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2.0088</w:t>
            </w:r>
          </w:p>
        </w:tc>
      </w:tr>
    </w:tbl>
    <w:p w:rsidR="00D461A9" w:rsidRDefault="00F944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461A9">
        <w:tc>
          <w:tcPr>
            <w:tcW w:w="1290" w:type="dxa"/>
            <w:vAlign w:val="center"/>
          </w:tcPr>
          <w:p w:rsidR="00D461A9" w:rsidRDefault="00F94406">
            <w:pPr>
              <w:jc w:val="left"/>
            </w:pPr>
            <w:r>
              <w:rPr>
                <w:rFonts w:eastAsiaTheme="minorEastAsia"/>
                <w:color w:val="000000" w:themeColor="text1"/>
                <w:szCs w:val="21"/>
              </w:rPr>
              <w:t>过去三个月</w:t>
            </w:r>
          </w:p>
        </w:tc>
        <w:tc>
          <w:tcPr>
            <w:tcW w:w="1291" w:type="dxa"/>
            <w:vAlign w:val="center"/>
          </w:tcPr>
          <w:p w:rsidR="00D461A9" w:rsidRDefault="00F94406">
            <w:pPr>
              <w:jc w:val="right"/>
            </w:pPr>
            <w:r>
              <w:rPr>
                <w:rFonts w:eastAsiaTheme="minorEastAsia"/>
                <w:color w:val="000000" w:themeColor="text1"/>
                <w:szCs w:val="21"/>
              </w:rPr>
              <w:t>-6.96%</w:t>
            </w:r>
          </w:p>
        </w:tc>
        <w:tc>
          <w:tcPr>
            <w:tcW w:w="1291" w:type="dxa"/>
            <w:vAlign w:val="center"/>
          </w:tcPr>
          <w:p w:rsidR="00D461A9" w:rsidRDefault="00F94406">
            <w:pPr>
              <w:jc w:val="right"/>
            </w:pPr>
            <w:r>
              <w:rPr>
                <w:rFonts w:eastAsiaTheme="minorEastAsia"/>
                <w:color w:val="000000" w:themeColor="text1"/>
                <w:szCs w:val="21"/>
              </w:rPr>
              <w:t>0.85%</w:t>
            </w:r>
          </w:p>
        </w:tc>
        <w:tc>
          <w:tcPr>
            <w:tcW w:w="1291" w:type="dxa"/>
            <w:vAlign w:val="center"/>
          </w:tcPr>
          <w:p w:rsidR="00D461A9" w:rsidRDefault="00F94406">
            <w:pPr>
              <w:jc w:val="right"/>
            </w:pPr>
            <w:r>
              <w:rPr>
                <w:rFonts w:eastAsiaTheme="minorEastAsia"/>
                <w:color w:val="000000" w:themeColor="text1"/>
                <w:szCs w:val="21"/>
              </w:rPr>
              <w:t>-2.58%</w:t>
            </w:r>
          </w:p>
        </w:tc>
        <w:tc>
          <w:tcPr>
            <w:tcW w:w="1291" w:type="dxa"/>
            <w:vAlign w:val="center"/>
          </w:tcPr>
          <w:p w:rsidR="00D461A9" w:rsidRDefault="00F94406">
            <w:pPr>
              <w:jc w:val="right"/>
            </w:pPr>
            <w:r>
              <w:rPr>
                <w:rFonts w:eastAsiaTheme="minorEastAsia"/>
                <w:color w:val="000000" w:themeColor="text1"/>
                <w:szCs w:val="21"/>
              </w:rPr>
              <w:t>0.52%</w:t>
            </w:r>
          </w:p>
        </w:tc>
        <w:tc>
          <w:tcPr>
            <w:tcW w:w="1291" w:type="dxa"/>
            <w:vAlign w:val="center"/>
          </w:tcPr>
          <w:p w:rsidR="00D461A9" w:rsidRDefault="00F94406">
            <w:pPr>
              <w:jc w:val="right"/>
            </w:pPr>
            <w:r>
              <w:rPr>
                <w:rFonts w:eastAsiaTheme="minorEastAsia"/>
                <w:color w:val="000000" w:themeColor="text1"/>
                <w:szCs w:val="21"/>
              </w:rPr>
              <w:t>-4.38%</w:t>
            </w:r>
          </w:p>
        </w:tc>
        <w:tc>
          <w:tcPr>
            <w:tcW w:w="1291" w:type="dxa"/>
            <w:vAlign w:val="center"/>
          </w:tcPr>
          <w:p w:rsidR="00D461A9" w:rsidRDefault="00F94406">
            <w:pPr>
              <w:jc w:val="right"/>
            </w:pPr>
            <w:r>
              <w:rPr>
                <w:rFonts w:eastAsiaTheme="minorEastAsia"/>
                <w:color w:val="000000" w:themeColor="text1"/>
                <w:szCs w:val="21"/>
              </w:rPr>
              <w:t>0.33%</w:t>
            </w:r>
          </w:p>
        </w:tc>
      </w:tr>
      <w:tr w:rsidR="00D461A9">
        <w:tc>
          <w:tcPr>
            <w:tcW w:w="1290" w:type="dxa"/>
            <w:vAlign w:val="center"/>
          </w:tcPr>
          <w:p w:rsidR="00D461A9" w:rsidRDefault="00F94406">
            <w:pPr>
              <w:jc w:val="left"/>
            </w:pPr>
            <w:r>
              <w:rPr>
                <w:rFonts w:eastAsiaTheme="minorEastAsia"/>
                <w:color w:val="000000" w:themeColor="text1"/>
                <w:szCs w:val="21"/>
              </w:rPr>
              <w:t>过去六个月</w:t>
            </w:r>
          </w:p>
        </w:tc>
        <w:tc>
          <w:tcPr>
            <w:tcW w:w="1291" w:type="dxa"/>
            <w:vAlign w:val="center"/>
          </w:tcPr>
          <w:p w:rsidR="00D461A9" w:rsidRDefault="00F94406">
            <w:pPr>
              <w:jc w:val="right"/>
            </w:pPr>
            <w:r>
              <w:rPr>
                <w:rFonts w:eastAsiaTheme="minorEastAsia"/>
                <w:color w:val="000000" w:themeColor="text1"/>
                <w:szCs w:val="21"/>
              </w:rPr>
              <w:t>-3.61%</w:t>
            </w:r>
          </w:p>
        </w:tc>
        <w:tc>
          <w:tcPr>
            <w:tcW w:w="1291" w:type="dxa"/>
            <w:vAlign w:val="center"/>
          </w:tcPr>
          <w:p w:rsidR="00D461A9" w:rsidRDefault="00F94406">
            <w:pPr>
              <w:jc w:val="right"/>
            </w:pPr>
            <w:r>
              <w:rPr>
                <w:rFonts w:eastAsiaTheme="minorEastAsia"/>
                <w:color w:val="000000" w:themeColor="text1"/>
                <w:szCs w:val="21"/>
              </w:rPr>
              <w:t>1.09%</w:t>
            </w:r>
          </w:p>
        </w:tc>
        <w:tc>
          <w:tcPr>
            <w:tcW w:w="1291" w:type="dxa"/>
            <w:vAlign w:val="center"/>
          </w:tcPr>
          <w:p w:rsidR="00D461A9" w:rsidRDefault="00F94406">
            <w:pPr>
              <w:jc w:val="right"/>
            </w:pPr>
            <w:r>
              <w:rPr>
                <w:rFonts w:eastAsiaTheme="minorEastAsia"/>
                <w:color w:val="000000" w:themeColor="text1"/>
                <w:szCs w:val="21"/>
              </w:rPr>
              <w:t>-5.16%</w:t>
            </w:r>
          </w:p>
        </w:tc>
        <w:tc>
          <w:tcPr>
            <w:tcW w:w="1291" w:type="dxa"/>
            <w:vAlign w:val="center"/>
          </w:tcPr>
          <w:p w:rsidR="00D461A9" w:rsidRDefault="00F94406">
            <w:pPr>
              <w:jc w:val="right"/>
            </w:pPr>
            <w:r>
              <w:rPr>
                <w:rFonts w:eastAsiaTheme="minorEastAsia"/>
                <w:color w:val="000000" w:themeColor="text1"/>
                <w:szCs w:val="21"/>
              </w:rPr>
              <w:t>0.49%</w:t>
            </w:r>
          </w:p>
        </w:tc>
        <w:tc>
          <w:tcPr>
            <w:tcW w:w="1291" w:type="dxa"/>
            <w:vAlign w:val="center"/>
          </w:tcPr>
          <w:p w:rsidR="00D461A9" w:rsidRDefault="00F94406">
            <w:pPr>
              <w:jc w:val="right"/>
            </w:pPr>
            <w:r>
              <w:rPr>
                <w:rFonts w:eastAsiaTheme="minorEastAsia"/>
                <w:color w:val="000000" w:themeColor="text1"/>
                <w:szCs w:val="21"/>
              </w:rPr>
              <w:t>1.55%</w:t>
            </w:r>
          </w:p>
        </w:tc>
        <w:tc>
          <w:tcPr>
            <w:tcW w:w="1291" w:type="dxa"/>
            <w:vAlign w:val="center"/>
          </w:tcPr>
          <w:p w:rsidR="00D461A9" w:rsidRDefault="00F94406">
            <w:pPr>
              <w:jc w:val="right"/>
            </w:pPr>
            <w:r>
              <w:rPr>
                <w:rFonts w:eastAsiaTheme="minorEastAsia"/>
                <w:color w:val="000000" w:themeColor="text1"/>
                <w:szCs w:val="21"/>
              </w:rPr>
              <w:t>0.60%</w:t>
            </w:r>
          </w:p>
        </w:tc>
      </w:tr>
      <w:tr w:rsidR="00D461A9">
        <w:tc>
          <w:tcPr>
            <w:tcW w:w="1290" w:type="dxa"/>
            <w:vAlign w:val="center"/>
          </w:tcPr>
          <w:p w:rsidR="00D461A9" w:rsidRDefault="00F94406">
            <w:pPr>
              <w:jc w:val="left"/>
            </w:pPr>
            <w:r>
              <w:rPr>
                <w:rFonts w:eastAsiaTheme="minorEastAsia"/>
                <w:color w:val="000000" w:themeColor="text1"/>
                <w:szCs w:val="21"/>
              </w:rPr>
              <w:t>过去一年</w:t>
            </w:r>
          </w:p>
        </w:tc>
        <w:tc>
          <w:tcPr>
            <w:tcW w:w="1291" w:type="dxa"/>
            <w:vAlign w:val="center"/>
          </w:tcPr>
          <w:p w:rsidR="00D461A9" w:rsidRDefault="00F94406">
            <w:pPr>
              <w:jc w:val="right"/>
            </w:pPr>
            <w:r>
              <w:rPr>
                <w:rFonts w:eastAsiaTheme="minorEastAsia"/>
                <w:color w:val="000000" w:themeColor="text1"/>
                <w:szCs w:val="21"/>
              </w:rPr>
              <w:t>-7.34%</w:t>
            </w:r>
          </w:p>
        </w:tc>
        <w:tc>
          <w:tcPr>
            <w:tcW w:w="1291" w:type="dxa"/>
            <w:vAlign w:val="center"/>
          </w:tcPr>
          <w:p w:rsidR="00D461A9" w:rsidRDefault="00F94406">
            <w:pPr>
              <w:jc w:val="right"/>
            </w:pPr>
            <w:r>
              <w:rPr>
                <w:rFonts w:eastAsiaTheme="minorEastAsia"/>
                <w:color w:val="000000" w:themeColor="text1"/>
                <w:szCs w:val="21"/>
              </w:rPr>
              <w:t>1.05%</w:t>
            </w:r>
          </w:p>
        </w:tc>
        <w:tc>
          <w:tcPr>
            <w:tcW w:w="1291" w:type="dxa"/>
            <w:vAlign w:val="center"/>
          </w:tcPr>
          <w:p w:rsidR="00D461A9" w:rsidRDefault="00F94406">
            <w:pPr>
              <w:jc w:val="right"/>
            </w:pPr>
            <w:r>
              <w:rPr>
                <w:rFonts w:eastAsiaTheme="minorEastAsia"/>
                <w:color w:val="000000" w:themeColor="text1"/>
                <w:szCs w:val="21"/>
              </w:rPr>
              <w:t>-1.25%</w:t>
            </w:r>
          </w:p>
        </w:tc>
        <w:tc>
          <w:tcPr>
            <w:tcW w:w="1291" w:type="dxa"/>
            <w:vAlign w:val="center"/>
          </w:tcPr>
          <w:p w:rsidR="00D461A9" w:rsidRDefault="00F94406">
            <w:pPr>
              <w:jc w:val="right"/>
            </w:pPr>
            <w:r>
              <w:rPr>
                <w:rFonts w:eastAsiaTheme="minorEastAsia"/>
                <w:color w:val="000000" w:themeColor="text1"/>
                <w:szCs w:val="21"/>
              </w:rPr>
              <w:t>0.55%</w:t>
            </w:r>
          </w:p>
        </w:tc>
        <w:tc>
          <w:tcPr>
            <w:tcW w:w="1291" w:type="dxa"/>
            <w:vAlign w:val="center"/>
          </w:tcPr>
          <w:p w:rsidR="00D461A9" w:rsidRDefault="00F94406">
            <w:pPr>
              <w:jc w:val="right"/>
            </w:pPr>
            <w:r>
              <w:rPr>
                <w:rFonts w:eastAsiaTheme="minorEastAsia"/>
                <w:color w:val="000000" w:themeColor="text1"/>
                <w:szCs w:val="21"/>
              </w:rPr>
              <w:t>-6.09%</w:t>
            </w:r>
          </w:p>
        </w:tc>
        <w:tc>
          <w:tcPr>
            <w:tcW w:w="1291" w:type="dxa"/>
            <w:vAlign w:val="center"/>
          </w:tcPr>
          <w:p w:rsidR="00D461A9" w:rsidRDefault="00F94406">
            <w:pPr>
              <w:jc w:val="right"/>
            </w:pPr>
            <w:r>
              <w:rPr>
                <w:rFonts w:eastAsiaTheme="minorEastAsia"/>
                <w:color w:val="000000" w:themeColor="text1"/>
                <w:szCs w:val="21"/>
              </w:rPr>
              <w:t>0.50%</w:t>
            </w:r>
          </w:p>
        </w:tc>
      </w:tr>
      <w:tr w:rsidR="00D461A9">
        <w:tc>
          <w:tcPr>
            <w:tcW w:w="1290" w:type="dxa"/>
            <w:vAlign w:val="center"/>
          </w:tcPr>
          <w:p w:rsidR="00D461A9" w:rsidRDefault="00F94406">
            <w:pPr>
              <w:jc w:val="left"/>
            </w:pPr>
            <w:r>
              <w:rPr>
                <w:rFonts w:eastAsiaTheme="minorEastAsia"/>
                <w:color w:val="000000" w:themeColor="text1"/>
                <w:szCs w:val="21"/>
              </w:rPr>
              <w:t>过去三年</w:t>
            </w:r>
          </w:p>
        </w:tc>
        <w:tc>
          <w:tcPr>
            <w:tcW w:w="1291" w:type="dxa"/>
            <w:vAlign w:val="center"/>
          </w:tcPr>
          <w:p w:rsidR="00D461A9" w:rsidRDefault="00F94406">
            <w:pPr>
              <w:jc w:val="right"/>
            </w:pPr>
            <w:r>
              <w:rPr>
                <w:rFonts w:eastAsiaTheme="minorEastAsia"/>
                <w:color w:val="000000" w:themeColor="text1"/>
                <w:szCs w:val="21"/>
              </w:rPr>
              <w:t>-18.95%</w:t>
            </w:r>
          </w:p>
        </w:tc>
        <w:tc>
          <w:tcPr>
            <w:tcW w:w="1291" w:type="dxa"/>
            <w:vAlign w:val="center"/>
          </w:tcPr>
          <w:p w:rsidR="00D461A9" w:rsidRDefault="00F94406">
            <w:pPr>
              <w:jc w:val="right"/>
            </w:pPr>
            <w:r>
              <w:rPr>
                <w:rFonts w:eastAsiaTheme="minorEastAsia"/>
                <w:color w:val="000000" w:themeColor="text1"/>
                <w:szCs w:val="21"/>
              </w:rPr>
              <w:t>1.38%</w:t>
            </w:r>
          </w:p>
        </w:tc>
        <w:tc>
          <w:tcPr>
            <w:tcW w:w="1291" w:type="dxa"/>
            <w:vAlign w:val="center"/>
          </w:tcPr>
          <w:p w:rsidR="00D461A9" w:rsidRDefault="00F94406">
            <w:pPr>
              <w:jc w:val="right"/>
            </w:pPr>
            <w:r>
              <w:rPr>
                <w:rFonts w:eastAsiaTheme="minorEastAsia"/>
                <w:color w:val="000000" w:themeColor="text1"/>
                <w:szCs w:val="21"/>
              </w:rPr>
              <w:t>-8.45%</w:t>
            </w:r>
          </w:p>
        </w:tc>
        <w:tc>
          <w:tcPr>
            <w:tcW w:w="1291" w:type="dxa"/>
            <w:vAlign w:val="center"/>
          </w:tcPr>
          <w:p w:rsidR="00D461A9" w:rsidRDefault="00F94406">
            <w:pPr>
              <w:jc w:val="right"/>
            </w:pPr>
            <w:r>
              <w:rPr>
                <w:rFonts w:eastAsiaTheme="minorEastAsia"/>
                <w:color w:val="000000" w:themeColor="text1"/>
                <w:szCs w:val="21"/>
              </w:rPr>
              <w:t>0.65%</w:t>
            </w:r>
          </w:p>
        </w:tc>
        <w:tc>
          <w:tcPr>
            <w:tcW w:w="1291" w:type="dxa"/>
            <w:vAlign w:val="center"/>
          </w:tcPr>
          <w:p w:rsidR="00D461A9" w:rsidRDefault="00F94406">
            <w:pPr>
              <w:jc w:val="right"/>
            </w:pPr>
            <w:r>
              <w:rPr>
                <w:rFonts w:eastAsiaTheme="minorEastAsia"/>
                <w:color w:val="000000" w:themeColor="text1"/>
                <w:szCs w:val="21"/>
              </w:rPr>
              <w:t>-10.50%</w:t>
            </w:r>
          </w:p>
        </w:tc>
        <w:tc>
          <w:tcPr>
            <w:tcW w:w="1291" w:type="dxa"/>
            <w:vAlign w:val="center"/>
          </w:tcPr>
          <w:p w:rsidR="00D461A9" w:rsidRDefault="00F94406">
            <w:pPr>
              <w:jc w:val="right"/>
            </w:pPr>
            <w:r>
              <w:rPr>
                <w:rFonts w:eastAsiaTheme="minorEastAsia"/>
                <w:color w:val="000000" w:themeColor="text1"/>
                <w:szCs w:val="21"/>
              </w:rPr>
              <w:t>0.73%</w:t>
            </w:r>
          </w:p>
        </w:tc>
      </w:tr>
      <w:tr w:rsidR="00D461A9">
        <w:tc>
          <w:tcPr>
            <w:tcW w:w="1290" w:type="dxa"/>
            <w:vAlign w:val="center"/>
          </w:tcPr>
          <w:p w:rsidR="00D461A9" w:rsidRDefault="00F94406">
            <w:pPr>
              <w:jc w:val="left"/>
            </w:pPr>
            <w:r>
              <w:rPr>
                <w:rFonts w:eastAsiaTheme="minorEastAsia"/>
                <w:color w:val="000000" w:themeColor="text1"/>
                <w:szCs w:val="21"/>
              </w:rPr>
              <w:t>过去五年</w:t>
            </w:r>
          </w:p>
        </w:tc>
        <w:tc>
          <w:tcPr>
            <w:tcW w:w="1291" w:type="dxa"/>
            <w:vAlign w:val="center"/>
          </w:tcPr>
          <w:p w:rsidR="00D461A9" w:rsidRDefault="00F94406">
            <w:pPr>
              <w:jc w:val="right"/>
            </w:pPr>
            <w:r>
              <w:rPr>
                <w:rFonts w:eastAsiaTheme="minorEastAsia"/>
                <w:color w:val="000000" w:themeColor="text1"/>
                <w:szCs w:val="21"/>
              </w:rPr>
              <w:t>113.84%</w:t>
            </w:r>
          </w:p>
        </w:tc>
        <w:tc>
          <w:tcPr>
            <w:tcW w:w="1291" w:type="dxa"/>
            <w:vAlign w:val="center"/>
          </w:tcPr>
          <w:p w:rsidR="00D461A9" w:rsidRDefault="00F94406">
            <w:pPr>
              <w:jc w:val="right"/>
            </w:pPr>
            <w:r>
              <w:rPr>
                <w:rFonts w:eastAsiaTheme="minorEastAsia"/>
                <w:color w:val="000000" w:themeColor="text1"/>
                <w:szCs w:val="21"/>
              </w:rPr>
              <w:t>1.39%</w:t>
            </w:r>
          </w:p>
        </w:tc>
        <w:tc>
          <w:tcPr>
            <w:tcW w:w="1291" w:type="dxa"/>
            <w:vAlign w:val="center"/>
          </w:tcPr>
          <w:p w:rsidR="00D461A9" w:rsidRDefault="00F94406">
            <w:pPr>
              <w:jc w:val="right"/>
            </w:pPr>
            <w:r>
              <w:rPr>
                <w:rFonts w:eastAsiaTheme="minorEastAsia"/>
                <w:color w:val="000000" w:themeColor="text1"/>
                <w:szCs w:val="21"/>
              </w:rPr>
              <w:t>8.85%</w:t>
            </w:r>
          </w:p>
        </w:tc>
        <w:tc>
          <w:tcPr>
            <w:tcW w:w="1291" w:type="dxa"/>
            <w:vAlign w:val="center"/>
          </w:tcPr>
          <w:p w:rsidR="00D461A9" w:rsidRDefault="00F94406">
            <w:pPr>
              <w:jc w:val="right"/>
            </w:pPr>
            <w:r>
              <w:rPr>
                <w:rFonts w:eastAsiaTheme="minorEastAsia"/>
                <w:color w:val="000000" w:themeColor="text1"/>
                <w:szCs w:val="21"/>
              </w:rPr>
              <w:t>0.74%</w:t>
            </w:r>
          </w:p>
        </w:tc>
        <w:tc>
          <w:tcPr>
            <w:tcW w:w="1291" w:type="dxa"/>
            <w:vAlign w:val="center"/>
          </w:tcPr>
          <w:p w:rsidR="00D461A9" w:rsidRDefault="00F94406">
            <w:pPr>
              <w:jc w:val="right"/>
            </w:pPr>
            <w:r>
              <w:rPr>
                <w:rFonts w:eastAsiaTheme="minorEastAsia"/>
                <w:color w:val="000000" w:themeColor="text1"/>
                <w:szCs w:val="21"/>
              </w:rPr>
              <w:t>104.99%</w:t>
            </w:r>
          </w:p>
        </w:tc>
        <w:tc>
          <w:tcPr>
            <w:tcW w:w="1291" w:type="dxa"/>
            <w:vAlign w:val="center"/>
          </w:tcPr>
          <w:p w:rsidR="00D461A9" w:rsidRDefault="00F94406">
            <w:pPr>
              <w:jc w:val="right"/>
            </w:pPr>
            <w:r>
              <w:rPr>
                <w:rFonts w:eastAsiaTheme="minorEastAsia"/>
                <w:color w:val="000000" w:themeColor="text1"/>
                <w:szCs w:val="21"/>
              </w:rPr>
              <w:t>0.65%</w:t>
            </w:r>
          </w:p>
        </w:tc>
      </w:tr>
      <w:tr w:rsidR="00D461A9">
        <w:tc>
          <w:tcPr>
            <w:tcW w:w="1290" w:type="dxa"/>
            <w:vAlign w:val="center"/>
          </w:tcPr>
          <w:p w:rsidR="00D461A9" w:rsidRDefault="00F94406">
            <w:pPr>
              <w:jc w:val="left"/>
            </w:pPr>
            <w:r>
              <w:rPr>
                <w:rFonts w:eastAsiaTheme="minorEastAsia"/>
                <w:color w:val="000000" w:themeColor="text1"/>
                <w:szCs w:val="21"/>
              </w:rPr>
              <w:t>自基金合同生效起至今</w:t>
            </w:r>
          </w:p>
        </w:tc>
        <w:tc>
          <w:tcPr>
            <w:tcW w:w="1291" w:type="dxa"/>
            <w:vAlign w:val="center"/>
          </w:tcPr>
          <w:p w:rsidR="00D461A9" w:rsidRDefault="00F94406">
            <w:pPr>
              <w:jc w:val="right"/>
            </w:pPr>
            <w:r>
              <w:rPr>
                <w:rFonts w:eastAsiaTheme="minorEastAsia"/>
                <w:color w:val="000000" w:themeColor="text1"/>
                <w:szCs w:val="21"/>
              </w:rPr>
              <w:t>102.51%</w:t>
            </w:r>
          </w:p>
        </w:tc>
        <w:tc>
          <w:tcPr>
            <w:tcW w:w="1291" w:type="dxa"/>
            <w:vAlign w:val="center"/>
          </w:tcPr>
          <w:p w:rsidR="00D461A9" w:rsidRDefault="00F94406">
            <w:pPr>
              <w:jc w:val="right"/>
            </w:pPr>
            <w:r>
              <w:rPr>
                <w:rFonts w:eastAsiaTheme="minorEastAsia"/>
                <w:color w:val="000000" w:themeColor="text1"/>
                <w:szCs w:val="21"/>
              </w:rPr>
              <w:t>1.42%</w:t>
            </w:r>
          </w:p>
        </w:tc>
        <w:tc>
          <w:tcPr>
            <w:tcW w:w="1291" w:type="dxa"/>
            <w:vAlign w:val="center"/>
          </w:tcPr>
          <w:p w:rsidR="00D461A9" w:rsidRDefault="00F94406">
            <w:pPr>
              <w:jc w:val="right"/>
            </w:pPr>
            <w:r>
              <w:rPr>
                <w:rFonts w:eastAsiaTheme="minorEastAsia"/>
                <w:color w:val="000000" w:themeColor="text1"/>
                <w:szCs w:val="21"/>
              </w:rPr>
              <w:t>0.71%</w:t>
            </w:r>
          </w:p>
        </w:tc>
        <w:tc>
          <w:tcPr>
            <w:tcW w:w="1291" w:type="dxa"/>
            <w:vAlign w:val="center"/>
          </w:tcPr>
          <w:p w:rsidR="00D461A9" w:rsidRDefault="00F94406">
            <w:pPr>
              <w:jc w:val="right"/>
            </w:pPr>
            <w:r>
              <w:rPr>
                <w:rFonts w:eastAsiaTheme="minorEastAsia"/>
                <w:color w:val="000000" w:themeColor="text1"/>
                <w:szCs w:val="21"/>
              </w:rPr>
              <w:t>0.80%</w:t>
            </w:r>
          </w:p>
        </w:tc>
        <w:tc>
          <w:tcPr>
            <w:tcW w:w="1291" w:type="dxa"/>
            <w:vAlign w:val="center"/>
          </w:tcPr>
          <w:p w:rsidR="00D461A9" w:rsidRDefault="00F94406">
            <w:pPr>
              <w:jc w:val="right"/>
            </w:pPr>
            <w:r>
              <w:rPr>
                <w:rFonts w:eastAsiaTheme="minorEastAsia"/>
                <w:color w:val="000000" w:themeColor="text1"/>
                <w:szCs w:val="21"/>
              </w:rPr>
              <w:t>101.80%</w:t>
            </w:r>
          </w:p>
        </w:tc>
        <w:tc>
          <w:tcPr>
            <w:tcW w:w="1291" w:type="dxa"/>
            <w:vAlign w:val="center"/>
          </w:tcPr>
          <w:p w:rsidR="00D461A9" w:rsidRDefault="00F94406">
            <w:pPr>
              <w:jc w:val="right"/>
            </w:pPr>
            <w:r>
              <w:rPr>
                <w:rFonts w:eastAsiaTheme="minorEastAsia"/>
                <w:color w:val="000000" w:themeColor="text1"/>
                <w:szCs w:val="21"/>
              </w:rPr>
              <w:t>0.62%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461A9">
        <w:tc>
          <w:tcPr>
            <w:tcW w:w="1290" w:type="dxa"/>
            <w:vAlign w:val="center"/>
          </w:tcPr>
          <w:p w:rsidR="00D461A9" w:rsidRDefault="00F94406">
            <w:pPr>
              <w:jc w:val="left"/>
            </w:pPr>
            <w:r>
              <w:rPr>
                <w:rFonts w:eastAsiaTheme="minorEastAsia"/>
                <w:color w:val="000000" w:themeColor="text1"/>
                <w:szCs w:val="21"/>
              </w:rPr>
              <w:t>过去三个月</w:t>
            </w:r>
          </w:p>
        </w:tc>
        <w:tc>
          <w:tcPr>
            <w:tcW w:w="1291" w:type="dxa"/>
            <w:vAlign w:val="center"/>
          </w:tcPr>
          <w:p w:rsidR="00D461A9" w:rsidRDefault="00F94406">
            <w:pPr>
              <w:jc w:val="right"/>
            </w:pPr>
            <w:r>
              <w:rPr>
                <w:rFonts w:eastAsiaTheme="minorEastAsia"/>
                <w:color w:val="000000" w:themeColor="text1"/>
                <w:szCs w:val="21"/>
              </w:rPr>
              <w:t>-7.08%</w:t>
            </w:r>
          </w:p>
        </w:tc>
        <w:tc>
          <w:tcPr>
            <w:tcW w:w="1291" w:type="dxa"/>
            <w:vAlign w:val="center"/>
          </w:tcPr>
          <w:p w:rsidR="00D461A9" w:rsidRDefault="00F94406">
            <w:pPr>
              <w:jc w:val="right"/>
            </w:pPr>
            <w:r>
              <w:rPr>
                <w:rFonts w:eastAsiaTheme="minorEastAsia"/>
                <w:color w:val="000000" w:themeColor="text1"/>
                <w:szCs w:val="21"/>
              </w:rPr>
              <w:t>0.85%</w:t>
            </w:r>
          </w:p>
        </w:tc>
        <w:tc>
          <w:tcPr>
            <w:tcW w:w="1291" w:type="dxa"/>
            <w:vAlign w:val="center"/>
          </w:tcPr>
          <w:p w:rsidR="00D461A9" w:rsidRDefault="00F94406">
            <w:pPr>
              <w:jc w:val="right"/>
            </w:pPr>
            <w:r>
              <w:rPr>
                <w:rFonts w:eastAsiaTheme="minorEastAsia"/>
                <w:color w:val="000000" w:themeColor="text1"/>
                <w:szCs w:val="21"/>
              </w:rPr>
              <w:t>-2.58%</w:t>
            </w:r>
          </w:p>
        </w:tc>
        <w:tc>
          <w:tcPr>
            <w:tcW w:w="1291" w:type="dxa"/>
            <w:vAlign w:val="center"/>
          </w:tcPr>
          <w:p w:rsidR="00D461A9" w:rsidRDefault="00F94406">
            <w:pPr>
              <w:jc w:val="right"/>
            </w:pPr>
            <w:r>
              <w:rPr>
                <w:rFonts w:eastAsiaTheme="minorEastAsia"/>
                <w:color w:val="000000" w:themeColor="text1"/>
                <w:szCs w:val="21"/>
              </w:rPr>
              <w:t>0.52%</w:t>
            </w:r>
          </w:p>
        </w:tc>
        <w:tc>
          <w:tcPr>
            <w:tcW w:w="1291" w:type="dxa"/>
            <w:vAlign w:val="center"/>
          </w:tcPr>
          <w:p w:rsidR="00D461A9" w:rsidRDefault="00F94406">
            <w:pPr>
              <w:jc w:val="right"/>
            </w:pPr>
            <w:r>
              <w:rPr>
                <w:rFonts w:eastAsiaTheme="minorEastAsia"/>
                <w:color w:val="000000" w:themeColor="text1"/>
                <w:szCs w:val="21"/>
              </w:rPr>
              <w:t>-4.50%</w:t>
            </w:r>
          </w:p>
        </w:tc>
        <w:tc>
          <w:tcPr>
            <w:tcW w:w="1291" w:type="dxa"/>
            <w:vAlign w:val="center"/>
          </w:tcPr>
          <w:p w:rsidR="00D461A9" w:rsidRDefault="00F94406">
            <w:pPr>
              <w:jc w:val="right"/>
            </w:pPr>
            <w:r>
              <w:rPr>
                <w:rFonts w:eastAsiaTheme="minorEastAsia"/>
                <w:color w:val="000000" w:themeColor="text1"/>
                <w:szCs w:val="21"/>
              </w:rPr>
              <w:t>0.33%</w:t>
            </w:r>
          </w:p>
        </w:tc>
      </w:tr>
      <w:tr w:rsidR="00D461A9">
        <w:tc>
          <w:tcPr>
            <w:tcW w:w="1290" w:type="dxa"/>
            <w:vAlign w:val="center"/>
          </w:tcPr>
          <w:p w:rsidR="00D461A9" w:rsidRDefault="00F94406">
            <w:pPr>
              <w:jc w:val="left"/>
            </w:pPr>
            <w:r>
              <w:rPr>
                <w:rFonts w:eastAsiaTheme="minorEastAsia"/>
                <w:color w:val="000000" w:themeColor="text1"/>
                <w:szCs w:val="21"/>
              </w:rPr>
              <w:t>过去六个月</w:t>
            </w:r>
          </w:p>
        </w:tc>
        <w:tc>
          <w:tcPr>
            <w:tcW w:w="1291" w:type="dxa"/>
            <w:vAlign w:val="center"/>
          </w:tcPr>
          <w:p w:rsidR="00D461A9" w:rsidRDefault="00F94406">
            <w:pPr>
              <w:jc w:val="right"/>
            </w:pPr>
            <w:r>
              <w:rPr>
                <w:rFonts w:eastAsiaTheme="minorEastAsia"/>
                <w:color w:val="000000" w:themeColor="text1"/>
                <w:szCs w:val="21"/>
              </w:rPr>
              <w:t>-3.85%</w:t>
            </w:r>
          </w:p>
        </w:tc>
        <w:tc>
          <w:tcPr>
            <w:tcW w:w="1291" w:type="dxa"/>
            <w:vAlign w:val="center"/>
          </w:tcPr>
          <w:p w:rsidR="00D461A9" w:rsidRDefault="00F94406">
            <w:pPr>
              <w:jc w:val="right"/>
            </w:pPr>
            <w:r>
              <w:rPr>
                <w:rFonts w:eastAsiaTheme="minorEastAsia"/>
                <w:color w:val="000000" w:themeColor="text1"/>
                <w:szCs w:val="21"/>
              </w:rPr>
              <w:t>1.09%</w:t>
            </w:r>
          </w:p>
        </w:tc>
        <w:tc>
          <w:tcPr>
            <w:tcW w:w="1291" w:type="dxa"/>
            <w:vAlign w:val="center"/>
          </w:tcPr>
          <w:p w:rsidR="00D461A9" w:rsidRDefault="00F94406">
            <w:pPr>
              <w:jc w:val="right"/>
            </w:pPr>
            <w:r>
              <w:rPr>
                <w:rFonts w:eastAsiaTheme="minorEastAsia"/>
                <w:color w:val="000000" w:themeColor="text1"/>
                <w:szCs w:val="21"/>
              </w:rPr>
              <w:t>-5.16%</w:t>
            </w:r>
          </w:p>
        </w:tc>
        <w:tc>
          <w:tcPr>
            <w:tcW w:w="1291" w:type="dxa"/>
            <w:vAlign w:val="center"/>
          </w:tcPr>
          <w:p w:rsidR="00D461A9" w:rsidRDefault="00F94406">
            <w:pPr>
              <w:jc w:val="right"/>
            </w:pPr>
            <w:r>
              <w:rPr>
                <w:rFonts w:eastAsiaTheme="minorEastAsia"/>
                <w:color w:val="000000" w:themeColor="text1"/>
                <w:szCs w:val="21"/>
              </w:rPr>
              <w:t>0.49%</w:t>
            </w:r>
          </w:p>
        </w:tc>
        <w:tc>
          <w:tcPr>
            <w:tcW w:w="1291" w:type="dxa"/>
            <w:vAlign w:val="center"/>
          </w:tcPr>
          <w:p w:rsidR="00D461A9" w:rsidRDefault="00F94406">
            <w:pPr>
              <w:jc w:val="right"/>
            </w:pPr>
            <w:r>
              <w:rPr>
                <w:rFonts w:eastAsiaTheme="minorEastAsia"/>
                <w:color w:val="000000" w:themeColor="text1"/>
                <w:szCs w:val="21"/>
              </w:rPr>
              <w:t>1.31%</w:t>
            </w:r>
          </w:p>
        </w:tc>
        <w:tc>
          <w:tcPr>
            <w:tcW w:w="1291" w:type="dxa"/>
            <w:vAlign w:val="center"/>
          </w:tcPr>
          <w:p w:rsidR="00D461A9" w:rsidRDefault="00F94406">
            <w:pPr>
              <w:jc w:val="right"/>
            </w:pPr>
            <w:r>
              <w:rPr>
                <w:rFonts w:eastAsiaTheme="minorEastAsia"/>
                <w:color w:val="000000" w:themeColor="text1"/>
                <w:szCs w:val="21"/>
              </w:rPr>
              <w:t>0.60%</w:t>
            </w:r>
          </w:p>
        </w:tc>
      </w:tr>
      <w:tr w:rsidR="00D461A9">
        <w:tc>
          <w:tcPr>
            <w:tcW w:w="1290" w:type="dxa"/>
            <w:vAlign w:val="center"/>
          </w:tcPr>
          <w:p w:rsidR="00D461A9" w:rsidRDefault="00F94406">
            <w:pPr>
              <w:jc w:val="left"/>
            </w:pPr>
            <w:r>
              <w:rPr>
                <w:rFonts w:eastAsiaTheme="minorEastAsia"/>
                <w:color w:val="000000" w:themeColor="text1"/>
                <w:szCs w:val="21"/>
              </w:rPr>
              <w:t>过去一年</w:t>
            </w:r>
          </w:p>
        </w:tc>
        <w:tc>
          <w:tcPr>
            <w:tcW w:w="1291" w:type="dxa"/>
            <w:vAlign w:val="center"/>
          </w:tcPr>
          <w:p w:rsidR="00D461A9" w:rsidRDefault="00F94406">
            <w:pPr>
              <w:jc w:val="right"/>
            </w:pPr>
            <w:r>
              <w:rPr>
                <w:rFonts w:eastAsiaTheme="minorEastAsia"/>
                <w:color w:val="000000" w:themeColor="text1"/>
                <w:szCs w:val="21"/>
              </w:rPr>
              <w:t>-7.80%</w:t>
            </w:r>
          </w:p>
        </w:tc>
        <w:tc>
          <w:tcPr>
            <w:tcW w:w="1291" w:type="dxa"/>
            <w:vAlign w:val="center"/>
          </w:tcPr>
          <w:p w:rsidR="00D461A9" w:rsidRDefault="00F94406">
            <w:pPr>
              <w:jc w:val="right"/>
            </w:pPr>
            <w:r>
              <w:rPr>
                <w:rFonts w:eastAsiaTheme="minorEastAsia"/>
                <w:color w:val="000000" w:themeColor="text1"/>
                <w:szCs w:val="21"/>
              </w:rPr>
              <w:t>1.05%</w:t>
            </w:r>
          </w:p>
        </w:tc>
        <w:tc>
          <w:tcPr>
            <w:tcW w:w="1291" w:type="dxa"/>
            <w:vAlign w:val="center"/>
          </w:tcPr>
          <w:p w:rsidR="00D461A9" w:rsidRDefault="00F94406">
            <w:pPr>
              <w:jc w:val="right"/>
            </w:pPr>
            <w:r>
              <w:rPr>
                <w:rFonts w:eastAsiaTheme="minorEastAsia"/>
                <w:color w:val="000000" w:themeColor="text1"/>
                <w:szCs w:val="21"/>
              </w:rPr>
              <w:t>-1.25%</w:t>
            </w:r>
          </w:p>
        </w:tc>
        <w:tc>
          <w:tcPr>
            <w:tcW w:w="1291" w:type="dxa"/>
            <w:vAlign w:val="center"/>
          </w:tcPr>
          <w:p w:rsidR="00D461A9" w:rsidRDefault="00F94406">
            <w:pPr>
              <w:jc w:val="right"/>
            </w:pPr>
            <w:r>
              <w:rPr>
                <w:rFonts w:eastAsiaTheme="minorEastAsia"/>
                <w:color w:val="000000" w:themeColor="text1"/>
                <w:szCs w:val="21"/>
              </w:rPr>
              <w:t>0.55%</w:t>
            </w:r>
          </w:p>
        </w:tc>
        <w:tc>
          <w:tcPr>
            <w:tcW w:w="1291" w:type="dxa"/>
            <w:vAlign w:val="center"/>
          </w:tcPr>
          <w:p w:rsidR="00D461A9" w:rsidRDefault="00F94406">
            <w:pPr>
              <w:jc w:val="right"/>
            </w:pPr>
            <w:r>
              <w:rPr>
                <w:rFonts w:eastAsiaTheme="minorEastAsia"/>
                <w:color w:val="000000" w:themeColor="text1"/>
                <w:szCs w:val="21"/>
              </w:rPr>
              <w:t>-6.55%</w:t>
            </w:r>
          </w:p>
        </w:tc>
        <w:tc>
          <w:tcPr>
            <w:tcW w:w="1291" w:type="dxa"/>
            <w:vAlign w:val="center"/>
          </w:tcPr>
          <w:p w:rsidR="00D461A9" w:rsidRDefault="00F94406">
            <w:pPr>
              <w:jc w:val="right"/>
            </w:pPr>
            <w:r>
              <w:rPr>
                <w:rFonts w:eastAsiaTheme="minorEastAsia"/>
                <w:color w:val="000000" w:themeColor="text1"/>
                <w:szCs w:val="21"/>
              </w:rPr>
              <w:t>0.50%</w:t>
            </w:r>
          </w:p>
        </w:tc>
      </w:tr>
      <w:tr w:rsidR="00D461A9">
        <w:tc>
          <w:tcPr>
            <w:tcW w:w="1290" w:type="dxa"/>
            <w:vAlign w:val="center"/>
          </w:tcPr>
          <w:p w:rsidR="00D461A9" w:rsidRDefault="00F94406">
            <w:pPr>
              <w:jc w:val="left"/>
            </w:pPr>
            <w:r>
              <w:rPr>
                <w:rFonts w:eastAsiaTheme="minorEastAsia"/>
                <w:color w:val="000000" w:themeColor="text1"/>
                <w:szCs w:val="21"/>
              </w:rPr>
              <w:t>过去三年</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r>
      <w:tr w:rsidR="00D461A9">
        <w:tc>
          <w:tcPr>
            <w:tcW w:w="1290" w:type="dxa"/>
            <w:vAlign w:val="center"/>
          </w:tcPr>
          <w:p w:rsidR="00D461A9" w:rsidRDefault="00F94406">
            <w:pPr>
              <w:jc w:val="left"/>
            </w:pPr>
            <w:r>
              <w:rPr>
                <w:rFonts w:eastAsiaTheme="minorEastAsia"/>
                <w:color w:val="000000" w:themeColor="text1"/>
                <w:szCs w:val="21"/>
              </w:rPr>
              <w:t>过去五年</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c>
          <w:tcPr>
            <w:tcW w:w="1291" w:type="dxa"/>
            <w:vAlign w:val="center"/>
          </w:tcPr>
          <w:p w:rsidR="00D461A9" w:rsidRDefault="00F94406">
            <w:pPr>
              <w:jc w:val="right"/>
            </w:pPr>
            <w:r>
              <w:rPr>
                <w:rFonts w:eastAsiaTheme="minorEastAsia"/>
                <w:color w:val="000000" w:themeColor="text1"/>
                <w:szCs w:val="21"/>
              </w:rPr>
              <w:t>-</w:t>
            </w:r>
          </w:p>
        </w:tc>
      </w:tr>
      <w:tr w:rsidR="00D461A9">
        <w:tc>
          <w:tcPr>
            <w:tcW w:w="1290" w:type="dxa"/>
            <w:vAlign w:val="center"/>
          </w:tcPr>
          <w:p w:rsidR="00D461A9" w:rsidRDefault="00F94406">
            <w:pPr>
              <w:jc w:val="left"/>
            </w:pPr>
            <w:r>
              <w:rPr>
                <w:rFonts w:eastAsiaTheme="minorEastAsia"/>
                <w:color w:val="000000" w:themeColor="text1"/>
                <w:szCs w:val="21"/>
              </w:rPr>
              <w:t>自基金合同生效起至今</w:t>
            </w:r>
          </w:p>
        </w:tc>
        <w:tc>
          <w:tcPr>
            <w:tcW w:w="1291" w:type="dxa"/>
            <w:vAlign w:val="center"/>
          </w:tcPr>
          <w:p w:rsidR="00D461A9" w:rsidRDefault="00F94406">
            <w:pPr>
              <w:jc w:val="right"/>
            </w:pPr>
            <w:r>
              <w:rPr>
                <w:rFonts w:eastAsiaTheme="minorEastAsia"/>
                <w:color w:val="000000" w:themeColor="text1"/>
                <w:szCs w:val="21"/>
              </w:rPr>
              <w:t>-31.41%</w:t>
            </w:r>
          </w:p>
        </w:tc>
        <w:tc>
          <w:tcPr>
            <w:tcW w:w="1291" w:type="dxa"/>
            <w:vAlign w:val="center"/>
          </w:tcPr>
          <w:p w:rsidR="00D461A9" w:rsidRDefault="00F94406">
            <w:pPr>
              <w:jc w:val="right"/>
            </w:pPr>
            <w:r>
              <w:rPr>
                <w:rFonts w:eastAsiaTheme="minorEastAsia"/>
                <w:color w:val="000000" w:themeColor="text1"/>
                <w:szCs w:val="21"/>
              </w:rPr>
              <w:t>1.22%</w:t>
            </w:r>
          </w:p>
        </w:tc>
        <w:tc>
          <w:tcPr>
            <w:tcW w:w="1291" w:type="dxa"/>
            <w:vAlign w:val="center"/>
          </w:tcPr>
          <w:p w:rsidR="00D461A9" w:rsidRDefault="00F94406">
            <w:pPr>
              <w:jc w:val="right"/>
            </w:pPr>
            <w:r>
              <w:rPr>
                <w:rFonts w:eastAsiaTheme="minorEastAsia"/>
                <w:color w:val="000000" w:themeColor="text1"/>
                <w:szCs w:val="21"/>
              </w:rPr>
              <w:t>-11.73%</w:t>
            </w:r>
          </w:p>
        </w:tc>
        <w:tc>
          <w:tcPr>
            <w:tcW w:w="1291" w:type="dxa"/>
            <w:vAlign w:val="center"/>
          </w:tcPr>
          <w:p w:rsidR="00D461A9" w:rsidRDefault="00F94406">
            <w:pPr>
              <w:jc w:val="right"/>
            </w:pPr>
            <w:r>
              <w:rPr>
                <w:rFonts w:eastAsiaTheme="minorEastAsia"/>
                <w:color w:val="000000" w:themeColor="text1"/>
                <w:szCs w:val="21"/>
              </w:rPr>
              <w:t>0.66%</w:t>
            </w:r>
          </w:p>
        </w:tc>
        <w:tc>
          <w:tcPr>
            <w:tcW w:w="1291" w:type="dxa"/>
            <w:vAlign w:val="center"/>
          </w:tcPr>
          <w:p w:rsidR="00D461A9" w:rsidRDefault="00F94406">
            <w:pPr>
              <w:jc w:val="right"/>
            </w:pPr>
            <w:r>
              <w:rPr>
                <w:rFonts w:eastAsiaTheme="minorEastAsia"/>
                <w:color w:val="000000" w:themeColor="text1"/>
                <w:szCs w:val="21"/>
              </w:rPr>
              <w:t>-19.68%</w:t>
            </w:r>
          </w:p>
        </w:tc>
        <w:tc>
          <w:tcPr>
            <w:tcW w:w="1291" w:type="dxa"/>
            <w:vAlign w:val="center"/>
          </w:tcPr>
          <w:p w:rsidR="00D461A9" w:rsidRDefault="00F94406">
            <w:pPr>
              <w:jc w:val="right"/>
            </w:pPr>
            <w:r>
              <w:rPr>
                <w:rFonts w:eastAsiaTheme="minorEastAsia"/>
                <w:color w:val="000000" w:themeColor="text1"/>
                <w:szCs w:val="21"/>
              </w:rPr>
              <w:t>0.56%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摩根科技前沿灵活配置混合型证券投资基金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．摩根科技前沿混合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．摩根科技前沿混合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461A9">
        <w:tc>
          <w:tcPr>
            <w:tcW w:w="952" w:type="dxa"/>
            <w:vAlign w:val="center"/>
          </w:tcPr>
          <w:p w:rsidR="00D461A9" w:rsidRDefault="00F94406">
            <w:pPr>
              <w:jc w:val="center"/>
            </w:pPr>
            <w:r>
              <w:rPr>
                <w:rFonts w:eastAsiaTheme="minorEastAsia"/>
                <w:color w:val="000000" w:themeColor="text1"/>
                <w:szCs w:val="21"/>
              </w:rPr>
              <w:t>李德辉</w:t>
            </w:r>
          </w:p>
        </w:tc>
        <w:tc>
          <w:tcPr>
            <w:tcW w:w="930" w:type="dxa"/>
            <w:vAlign w:val="center"/>
          </w:tcPr>
          <w:p w:rsidR="00D461A9" w:rsidRDefault="00F94406">
            <w:pPr>
              <w:jc w:val="center"/>
            </w:pPr>
            <w:r>
              <w:rPr>
                <w:rFonts w:eastAsiaTheme="minorEastAsia"/>
                <w:color w:val="000000" w:themeColor="text1"/>
                <w:szCs w:val="21"/>
              </w:rPr>
              <w:t>本基金基金经理</w:t>
            </w:r>
          </w:p>
        </w:tc>
        <w:tc>
          <w:tcPr>
            <w:tcW w:w="1210" w:type="dxa"/>
            <w:vAlign w:val="center"/>
          </w:tcPr>
          <w:p w:rsidR="00D461A9" w:rsidRDefault="00F94406">
            <w:pPr>
              <w:jc w:val="center"/>
            </w:pPr>
            <w:r>
              <w:rPr>
                <w:rFonts w:eastAsiaTheme="minorEastAsia"/>
                <w:color w:val="000000" w:themeColor="text1"/>
                <w:szCs w:val="21"/>
              </w:rPr>
              <w:t>2016-11-18</w:t>
            </w:r>
          </w:p>
        </w:tc>
        <w:tc>
          <w:tcPr>
            <w:tcW w:w="1309" w:type="dxa"/>
            <w:vAlign w:val="center"/>
          </w:tcPr>
          <w:p w:rsidR="00D461A9" w:rsidRDefault="00F94406">
            <w:pPr>
              <w:jc w:val="center"/>
            </w:pPr>
            <w:r>
              <w:rPr>
                <w:rFonts w:eastAsiaTheme="minorEastAsia"/>
                <w:color w:val="000000" w:themeColor="text1"/>
                <w:szCs w:val="21"/>
              </w:rPr>
              <w:t>-</w:t>
            </w:r>
          </w:p>
        </w:tc>
        <w:tc>
          <w:tcPr>
            <w:tcW w:w="1254" w:type="dxa"/>
            <w:vAlign w:val="center"/>
          </w:tcPr>
          <w:p w:rsidR="00D461A9" w:rsidRDefault="00F94406">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D461A9" w:rsidRDefault="00F94406">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D461A9" w:rsidRDefault="00F944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7,748,461,272.88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20,247,271.83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7,768,708,544.71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三季度市场普跌，万得全</w:t>
      </w:r>
      <w:r>
        <w:rPr>
          <w:rFonts w:eastAsiaTheme="minorEastAsia"/>
          <w:color w:val="000000" w:themeColor="text1"/>
          <w:szCs w:val="21"/>
        </w:rPr>
        <w:t>A</w:t>
      </w:r>
      <w:r>
        <w:rPr>
          <w:rFonts w:eastAsiaTheme="minorEastAsia"/>
          <w:color w:val="000000" w:themeColor="text1"/>
          <w:szCs w:val="21"/>
        </w:rPr>
        <w:t>指数下跌</w:t>
      </w:r>
      <w:r>
        <w:rPr>
          <w:rFonts w:eastAsiaTheme="minorEastAsia"/>
          <w:color w:val="000000" w:themeColor="text1"/>
          <w:szCs w:val="21"/>
        </w:rPr>
        <w:t>4.33%</w:t>
      </w:r>
      <w:r>
        <w:rPr>
          <w:rFonts w:eastAsiaTheme="minorEastAsia"/>
          <w:color w:val="000000" w:themeColor="text1"/>
          <w:szCs w:val="21"/>
        </w:rPr>
        <w:t>，上证指数下跌</w:t>
      </w:r>
      <w:r>
        <w:rPr>
          <w:rFonts w:eastAsiaTheme="minorEastAsia"/>
          <w:color w:val="000000" w:themeColor="text1"/>
          <w:szCs w:val="21"/>
        </w:rPr>
        <w:t>2.86%</w:t>
      </w:r>
      <w:r>
        <w:rPr>
          <w:rFonts w:eastAsiaTheme="minorEastAsia"/>
          <w:color w:val="000000" w:themeColor="text1"/>
          <w:szCs w:val="21"/>
        </w:rPr>
        <w:t>，创业板指下跌</w:t>
      </w:r>
      <w:r>
        <w:rPr>
          <w:rFonts w:eastAsiaTheme="minorEastAsia"/>
          <w:color w:val="000000" w:themeColor="text1"/>
          <w:szCs w:val="21"/>
        </w:rPr>
        <w:t>9.53%</w:t>
      </w:r>
      <w:r>
        <w:rPr>
          <w:rFonts w:eastAsiaTheme="minorEastAsia"/>
          <w:color w:val="000000" w:themeColor="text1"/>
          <w:szCs w:val="21"/>
        </w:rPr>
        <w:t>。三季度成长方向跌幅较大，</w:t>
      </w:r>
      <w:r>
        <w:rPr>
          <w:rFonts w:eastAsiaTheme="minorEastAsia"/>
          <w:color w:val="000000" w:themeColor="text1"/>
          <w:szCs w:val="21"/>
        </w:rPr>
        <w:t>TMT</w:t>
      </w:r>
      <w:r>
        <w:rPr>
          <w:rFonts w:eastAsiaTheme="minorEastAsia"/>
          <w:color w:val="000000" w:themeColor="text1"/>
          <w:szCs w:val="21"/>
        </w:rPr>
        <w:t>板块由于人工智能（</w:t>
      </w:r>
      <w:r>
        <w:rPr>
          <w:rFonts w:eastAsiaTheme="minorEastAsia"/>
          <w:color w:val="000000" w:themeColor="text1"/>
          <w:szCs w:val="21"/>
        </w:rPr>
        <w:t>AI</w:t>
      </w:r>
      <w:r>
        <w:rPr>
          <w:rFonts w:eastAsiaTheme="minorEastAsia"/>
          <w:color w:val="000000" w:themeColor="text1"/>
          <w:szCs w:val="21"/>
        </w:rPr>
        <w:t>）热情退潮估值收敛较快，新能源方向仍面临供过于求而持续下跌。受益于经济企稳预期以及股息较高，周期价值股三季度表现较好。本基金三季度对</w:t>
      </w:r>
      <w:r>
        <w:rPr>
          <w:rFonts w:eastAsiaTheme="minorEastAsia"/>
          <w:color w:val="000000" w:themeColor="text1"/>
          <w:szCs w:val="21"/>
        </w:rPr>
        <w:t>AI</w:t>
      </w:r>
      <w:r>
        <w:rPr>
          <w:rFonts w:eastAsiaTheme="minorEastAsia"/>
          <w:color w:val="000000" w:themeColor="text1"/>
          <w:szCs w:val="21"/>
        </w:rPr>
        <w:t>算力板块做了获利了结，增持了超跌的医药板块以及部分高股息资产，净值表现好于创业板指，仍差于万得全</w:t>
      </w:r>
      <w:r>
        <w:rPr>
          <w:rFonts w:eastAsiaTheme="minorEastAsia"/>
          <w:color w:val="000000" w:themeColor="text1"/>
          <w:szCs w:val="21"/>
        </w:rPr>
        <w:t>A</w:t>
      </w:r>
      <w:r>
        <w:rPr>
          <w:rFonts w:eastAsiaTheme="minorEastAsia"/>
          <w:color w:val="000000" w:themeColor="text1"/>
          <w:szCs w:val="21"/>
        </w:rPr>
        <w:t>指数。</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展望后市，三季度政策底或已经出现，房地产放松和地方债务化解等。基本面底部估计也已出现，制造业采购经理人指数（</w:t>
      </w:r>
      <w:r>
        <w:rPr>
          <w:rFonts w:eastAsiaTheme="minorEastAsia"/>
          <w:color w:val="000000" w:themeColor="text1"/>
          <w:szCs w:val="21"/>
        </w:rPr>
        <w:t>PMI</w:t>
      </w:r>
      <w:r>
        <w:rPr>
          <w:rFonts w:eastAsiaTheme="minorEastAsia"/>
          <w:color w:val="000000" w:themeColor="text1"/>
          <w:szCs w:val="21"/>
        </w:rPr>
        <w:t>）逐月回暖，生产者价格指数（</w:t>
      </w:r>
      <w:r>
        <w:rPr>
          <w:rFonts w:eastAsiaTheme="minorEastAsia"/>
          <w:color w:val="000000" w:themeColor="text1"/>
          <w:szCs w:val="21"/>
        </w:rPr>
        <w:t>PPI</w:t>
      </w:r>
      <w:r>
        <w:rPr>
          <w:rFonts w:eastAsiaTheme="minorEastAsia"/>
          <w:color w:val="000000" w:themeColor="text1"/>
          <w:szCs w:val="21"/>
        </w:rPr>
        <w:t>）跌幅收窄等。当下</w:t>
      </w:r>
      <w:r>
        <w:rPr>
          <w:rFonts w:eastAsiaTheme="minorEastAsia"/>
          <w:color w:val="000000" w:themeColor="text1"/>
          <w:szCs w:val="21"/>
        </w:rPr>
        <w:t>A</w:t>
      </w:r>
      <w:r>
        <w:rPr>
          <w:rFonts w:eastAsiaTheme="minorEastAsia"/>
          <w:color w:val="000000" w:themeColor="text1"/>
          <w:szCs w:val="21"/>
        </w:rPr>
        <w:t>股估值非常低，创业板指收益率</w:t>
      </w:r>
      <w:r>
        <w:rPr>
          <w:rFonts w:eastAsiaTheme="minorEastAsia"/>
          <w:color w:val="000000" w:themeColor="text1"/>
          <w:szCs w:val="21"/>
        </w:rPr>
        <w:t xml:space="preserve">PE </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2.5%</w:t>
      </w:r>
      <w:r>
        <w:rPr>
          <w:rFonts w:eastAsiaTheme="minorEastAsia"/>
          <w:color w:val="000000" w:themeColor="text1"/>
          <w:szCs w:val="21"/>
        </w:rPr>
        <w:t>低位，沪深</w:t>
      </w:r>
      <w:r>
        <w:rPr>
          <w:rFonts w:eastAsiaTheme="minorEastAsia"/>
          <w:color w:val="000000" w:themeColor="text1"/>
          <w:szCs w:val="21"/>
        </w:rPr>
        <w:t xml:space="preserve"> 300 </w:t>
      </w:r>
      <w:r>
        <w:rPr>
          <w:rFonts w:eastAsiaTheme="minorEastAsia"/>
          <w:color w:val="000000" w:themeColor="text1"/>
          <w:szCs w:val="21"/>
        </w:rPr>
        <w:t>指数</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22%</w:t>
      </w:r>
      <w:r>
        <w:rPr>
          <w:rFonts w:eastAsiaTheme="minorEastAsia"/>
          <w:color w:val="000000" w:themeColor="text1"/>
          <w:szCs w:val="21"/>
        </w:rPr>
        <w:t>低位。如果剔除股息类资产的上涨，</w:t>
      </w:r>
      <w:r>
        <w:rPr>
          <w:rFonts w:eastAsiaTheme="minorEastAsia"/>
          <w:color w:val="000000" w:themeColor="text1"/>
          <w:szCs w:val="21"/>
        </w:rPr>
        <w:t>A</w:t>
      </w:r>
      <w:r>
        <w:rPr>
          <w:rFonts w:eastAsiaTheme="minorEastAsia"/>
          <w:color w:val="000000" w:themeColor="text1"/>
          <w:szCs w:val="21"/>
        </w:rPr>
        <w:t>股的估值分位数应该更低。综上所述：我们认为当下可能就是市场底部，如果经济能持续好转，股市修复弹性或较大。</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本基金均衡配置了</w:t>
      </w:r>
      <w:r>
        <w:rPr>
          <w:rFonts w:eastAsiaTheme="minorEastAsia"/>
          <w:color w:val="000000" w:themeColor="text1"/>
          <w:szCs w:val="21"/>
        </w:rPr>
        <w:t>TMT</w:t>
      </w:r>
      <w:r>
        <w:rPr>
          <w:rFonts w:eastAsiaTheme="minorEastAsia"/>
          <w:color w:val="000000" w:themeColor="text1"/>
          <w:szCs w:val="21"/>
        </w:rPr>
        <w:t>、医药、消费、新能源车、周期等行业核心资产。</w:t>
      </w:r>
      <w:r>
        <w:rPr>
          <w:rFonts w:eastAsiaTheme="minorEastAsia"/>
          <w:color w:val="000000" w:themeColor="text1"/>
          <w:szCs w:val="21"/>
        </w:rPr>
        <w:t>TMT</w:t>
      </w:r>
      <w:r>
        <w:rPr>
          <w:rFonts w:eastAsiaTheme="minorEastAsia"/>
          <w:color w:val="000000" w:themeColor="text1"/>
          <w:szCs w:val="21"/>
        </w:rPr>
        <w:t>：</w:t>
      </w:r>
      <w:r>
        <w:rPr>
          <w:rFonts w:eastAsiaTheme="minorEastAsia"/>
          <w:color w:val="000000" w:themeColor="text1"/>
          <w:szCs w:val="21"/>
        </w:rPr>
        <w:t>AI</w:t>
      </w:r>
      <w:r>
        <w:rPr>
          <w:rFonts w:eastAsiaTheme="minorEastAsia"/>
          <w:color w:val="000000" w:themeColor="text1"/>
          <w:szCs w:val="21"/>
        </w:rPr>
        <w:t>仍是长期重点关注的方向，但短期涨幅较大，做了适当减持。增持了部分不依赖于</w:t>
      </w:r>
      <w:r>
        <w:rPr>
          <w:rFonts w:eastAsiaTheme="minorEastAsia"/>
          <w:color w:val="000000" w:themeColor="text1"/>
          <w:szCs w:val="21"/>
        </w:rPr>
        <w:t>AI</w:t>
      </w:r>
      <w:r>
        <w:rPr>
          <w:rFonts w:eastAsiaTheme="minorEastAsia"/>
          <w:color w:val="000000" w:themeColor="text1"/>
          <w:szCs w:val="21"/>
        </w:rPr>
        <w:t>、增长较好且估值较低的个股。医药：到</w:t>
      </w:r>
      <w:r>
        <w:rPr>
          <w:rFonts w:eastAsiaTheme="minorEastAsia"/>
          <w:color w:val="000000" w:themeColor="text1"/>
          <w:szCs w:val="21"/>
        </w:rPr>
        <w:t>2035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消费：虽然短期消费略乏力，但是白酒这种品牌力强，增速较稳健，估值目前下跌较多，如果经济能起色，白酒仍是不错的配置方向。新能源车：行业内卷加剧，促进电动化渗透率持续提升，电池环节目前看仍有</w:t>
      </w:r>
      <w:r>
        <w:rPr>
          <w:rFonts w:eastAsiaTheme="minorEastAsia"/>
          <w:color w:val="000000" w:themeColor="text1"/>
          <w:szCs w:val="21"/>
        </w:rPr>
        <w:t>稳健的增长，目前估值性价比较高。周期：资源品由于供给增速较慢，商品价格可能长期维持在较高位置，高股息具有吸引力。家电、机械、化工部分公司：自身具有阿尔法（</w:t>
      </w:r>
      <w:r>
        <w:rPr>
          <w:rFonts w:eastAsiaTheme="minorEastAsia"/>
          <w:color w:val="000000" w:themeColor="text1"/>
          <w:szCs w:val="21"/>
        </w:rPr>
        <w:t>alpha</w:t>
      </w:r>
      <w:r>
        <w:rPr>
          <w:rFonts w:eastAsiaTheme="minorEastAsia"/>
          <w:color w:val="000000" w:themeColor="text1"/>
          <w:szCs w:val="21"/>
        </w:rPr>
        <w:t>），估值较低、业绩韧性较强。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个股选择，注重自下而上，寻找高质量公司，争取给投资人创造较好回报。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本报告期摩根科技前沿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:-6.96%</w:t>
      </w:r>
      <w:r>
        <w:rPr>
          <w:rFonts w:eastAsiaTheme="minorEastAsia"/>
          <w:color w:val="000000" w:themeColor="text1"/>
          <w:szCs w:val="21"/>
        </w:rPr>
        <w:t>，同期业绩比较基准收益率为</w:t>
      </w:r>
      <w:r>
        <w:rPr>
          <w:rFonts w:eastAsiaTheme="minorEastAsia"/>
          <w:color w:val="000000" w:themeColor="text1"/>
          <w:szCs w:val="21"/>
        </w:rPr>
        <w:t>:-2.58%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摩根科技前沿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:-7.08%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:-2.58%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2,290,093,394.75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2,290,093,394.75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587,973,136.71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56,801,194.27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2,934,867,725.73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80,444,916.66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1,908,425,130.55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88,105.92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95,807,984.59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19,636,300.43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185,690,956.60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2,290,093,394.75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78.31</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461A9">
        <w:tc>
          <w:tcPr>
            <w:tcW w:w="817" w:type="dxa"/>
            <w:vAlign w:val="center"/>
          </w:tcPr>
          <w:p w:rsidR="00D461A9" w:rsidRDefault="00F94406">
            <w:pPr>
              <w:jc w:val="center"/>
            </w:pPr>
            <w:r>
              <w:rPr>
                <w:rFonts w:eastAsiaTheme="minorEastAsia"/>
                <w:kern w:val="0"/>
                <w:szCs w:val="21"/>
              </w:rPr>
              <w:t>1</w:t>
            </w:r>
          </w:p>
        </w:tc>
        <w:tc>
          <w:tcPr>
            <w:tcW w:w="1276" w:type="dxa"/>
            <w:vAlign w:val="center"/>
          </w:tcPr>
          <w:p w:rsidR="00D461A9" w:rsidRDefault="00F94406">
            <w:pPr>
              <w:jc w:val="center"/>
            </w:pPr>
            <w:r>
              <w:rPr>
                <w:rFonts w:eastAsiaTheme="minorEastAsia"/>
                <w:kern w:val="0"/>
                <w:szCs w:val="21"/>
              </w:rPr>
              <w:t>300750</w:t>
            </w:r>
          </w:p>
        </w:tc>
        <w:tc>
          <w:tcPr>
            <w:tcW w:w="1701" w:type="dxa"/>
            <w:vAlign w:val="center"/>
          </w:tcPr>
          <w:p w:rsidR="00D461A9" w:rsidRDefault="00F94406">
            <w:pPr>
              <w:jc w:val="center"/>
            </w:pPr>
            <w:r>
              <w:rPr>
                <w:rFonts w:eastAsiaTheme="minorEastAsia"/>
                <w:kern w:val="0"/>
                <w:szCs w:val="21"/>
              </w:rPr>
              <w:t>宁德时代</w:t>
            </w:r>
          </w:p>
        </w:tc>
        <w:tc>
          <w:tcPr>
            <w:tcW w:w="1276" w:type="dxa"/>
            <w:vAlign w:val="center"/>
          </w:tcPr>
          <w:p w:rsidR="00D461A9" w:rsidRDefault="00F94406">
            <w:pPr>
              <w:jc w:val="right"/>
            </w:pPr>
            <w:r>
              <w:rPr>
                <w:rFonts w:eastAsiaTheme="minorEastAsia"/>
                <w:kern w:val="0"/>
                <w:szCs w:val="21"/>
              </w:rPr>
              <w:t>1,135,279.00</w:t>
            </w:r>
          </w:p>
        </w:tc>
        <w:tc>
          <w:tcPr>
            <w:tcW w:w="1842" w:type="dxa"/>
            <w:vAlign w:val="center"/>
          </w:tcPr>
          <w:p w:rsidR="00D461A9" w:rsidRDefault="00F94406">
            <w:pPr>
              <w:jc w:val="right"/>
            </w:pPr>
            <w:r>
              <w:rPr>
                <w:rFonts w:eastAsiaTheme="minorEastAsia"/>
                <w:kern w:val="0"/>
                <w:szCs w:val="21"/>
              </w:rPr>
              <w:t>230,495,695.37</w:t>
            </w:r>
          </w:p>
        </w:tc>
        <w:tc>
          <w:tcPr>
            <w:tcW w:w="1616" w:type="dxa"/>
            <w:vAlign w:val="center"/>
          </w:tcPr>
          <w:p w:rsidR="00D461A9" w:rsidRDefault="00F94406">
            <w:pPr>
              <w:jc w:val="right"/>
            </w:pPr>
            <w:r>
              <w:rPr>
                <w:rFonts w:eastAsiaTheme="minorEastAsia"/>
                <w:kern w:val="0"/>
                <w:szCs w:val="21"/>
              </w:rPr>
              <w:t>7.88</w:t>
            </w:r>
          </w:p>
        </w:tc>
      </w:tr>
      <w:tr w:rsidR="00D461A9">
        <w:tc>
          <w:tcPr>
            <w:tcW w:w="817" w:type="dxa"/>
            <w:vAlign w:val="center"/>
          </w:tcPr>
          <w:p w:rsidR="00D461A9" w:rsidRDefault="00F94406">
            <w:pPr>
              <w:jc w:val="center"/>
            </w:pPr>
            <w:r>
              <w:rPr>
                <w:rFonts w:eastAsiaTheme="minorEastAsia"/>
                <w:kern w:val="0"/>
                <w:szCs w:val="21"/>
              </w:rPr>
              <w:t>2</w:t>
            </w:r>
          </w:p>
        </w:tc>
        <w:tc>
          <w:tcPr>
            <w:tcW w:w="1276" w:type="dxa"/>
            <w:vAlign w:val="center"/>
          </w:tcPr>
          <w:p w:rsidR="00D461A9" w:rsidRDefault="00F94406">
            <w:pPr>
              <w:jc w:val="center"/>
            </w:pPr>
            <w:r>
              <w:rPr>
                <w:rFonts w:eastAsiaTheme="minorEastAsia"/>
                <w:kern w:val="0"/>
                <w:szCs w:val="21"/>
              </w:rPr>
              <w:t>603259</w:t>
            </w:r>
          </w:p>
        </w:tc>
        <w:tc>
          <w:tcPr>
            <w:tcW w:w="1701" w:type="dxa"/>
            <w:vAlign w:val="center"/>
          </w:tcPr>
          <w:p w:rsidR="00D461A9" w:rsidRDefault="00F94406">
            <w:pPr>
              <w:jc w:val="center"/>
            </w:pPr>
            <w:r>
              <w:rPr>
                <w:rFonts w:eastAsiaTheme="minorEastAsia"/>
                <w:kern w:val="0"/>
                <w:szCs w:val="21"/>
              </w:rPr>
              <w:t>药明康德</w:t>
            </w:r>
          </w:p>
        </w:tc>
        <w:tc>
          <w:tcPr>
            <w:tcW w:w="1276" w:type="dxa"/>
            <w:vAlign w:val="center"/>
          </w:tcPr>
          <w:p w:rsidR="00D461A9" w:rsidRDefault="00F94406">
            <w:pPr>
              <w:jc w:val="right"/>
            </w:pPr>
            <w:r>
              <w:rPr>
                <w:rFonts w:eastAsiaTheme="minorEastAsia"/>
                <w:kern w:val="0"/>
                <w:szCs w:val="21"/>
              </w:rPr>
              <w:t>2,127,520.00</w:t>
            </w:r>
          </w:p>
        </w:tc>
        <w:tc>
          <w:tcPr>
            <w:tcW w:w="1842" w:type="dxa"/>
            <w:vAlign w:val="center"/>
          </w:tcPr>
          <w:p w:rsidR="00D461A9" w:rsidRDefault="00F94406">
            <w:pPr>
              <w:jc w:val="right"/>
            </w:pPr>
            <w:r>
              <w:rPr>
                <w:rFonts w:eastAsiaTheme="minorEastAsia"/>
                <w:kern w:val="0"/>
                <w:szCs w:val="21"/>
              </w:rPr>
              <w:t>183,349,673.60</w:t>
            </w:r>
          </w:p>
        </w:tc>
        <w:tc>
          <w:tcPr>
            <w:tcW w:w="1616" w:type="dxa"/>
            <w:vAlign w:val="center"/>
          </w:tcPr>
          <w:p w:rsidR="00D461A9" w:rsidRDefault="00F94406">
            <w:pPr>
              <w:jc w:val="right"/>
            </w:pPr>
            <w:r>
              <w:rPr>
                <w:rFonts w:eastAsiaTheme="minorEastAsia"/>
                <w:kern w:val="0"/>
                <w:szCs w:val="21"/>
              </w:rPr>
              <w:t>6.27</w:t>
            </w:r>
          </w:p>
        </w:tc>
      </w:tr>
      <w:tr w:rsidR="00D461A9">
        <w:tc>
          <w:tcPr>
            <w:tcW w:w="817" w:type="dxa"/>
            <w:vAlign w:val="center"/>
          </w:tcPr>
          <w:p w:rsidR="00D461A9" w:rsidRDefault="00F94406">
            <w:pPr>
              <w:jc w:val="center"/>
            </w:pPr>
            <w:r>
              <w:rPr>
                <w:rFonts w:eastAsiaTheme="minorEastAsia"/>
                <w:kern w:val="0"/>
                <w:szCs w:val="21"/>
              </w:rPr>
              <w:t>3</w:t>
            </w:r>
          </w:p>
        </w:tc>
        <w:tc>
          <w:tcPr>
            <w:tcW w:w="1276" w:type="dxa"/>
            <w:vAlign w:val="center"/>
          </w:tcPr>
          <w:p w:rsidR="00D461A9" w:rsidRDefault="00F94406">
            <w:pPr>
              <w:jc w:val="center"/>
            </w:pPr>
            <w:r>
              <w:rPr>
                <w:rFonts w:eastAsiaTheme="minorEastAsia"/>
                <w:kern w:val="0"/>
                <w:szCs w:val="21"/>
              </w:rPr>
              <w:t>600519</w:t>
            </w:r>
          </w:p>
        </w:tc>
        <w:tc>
          <w:tcPr>
            <w:tcW w:w="1701" w:type="dxa"/>
            <w:vAlign w:val="center"/>
          </w:tcPr>
          <w:p w:rsidR="00D461A9" w:rsidRDefault="00F94406">
            <w:pPr>
              <w:jc w:val="center"/>
            </w:pPr>
            <w:r>
              <w:rPr>
                <w:rFonts w:eastAsiaTheme="minorEastAsia"/>
                <w:kern w:val="0"/>
                <w:szCs w:val="21"/>
              </w:rPr>
              <w:t>贵州茅台</w:t>
            </w:r>
          </w:p>
        </w:tc>
        <w:tc>
          <w:tcPr>
            <w:tcW w:w="1276" w:type="dxa"/>
            <w:vAlign w:val="center"/>
          </w:tcPr>
          <w:p w:rsidR="00D461A9" w:rsidRDefault="00F94406">
            <w:pPr>
              <w:jc w:val="right"/>
            </w:pPr>
            <w:r>
              <w:rPr>
                <w:rFonts w:eastAsiaTheme="minorEastAsia"/>
                <w:kern w:val="0"/>
                <w:szCs w:val="21"/>
              </w:rPr>
              <w:t>96,824.00</w:t>
            </w:r>
          </w:p>
        </w:tc>
        <w:tc>
          <w:tcPr>
            <w:tcW w:w="1842" w:type="dxa"/>
            <w:vAlign w:val="center"/>
          </w:tcPr>
          <w:p w:rsidR="00D461A9" w:rsidRDefault="00F94406">
            <w:pPr>
              <w:jc w:val="right"/>
            </w:pPr>
            <w:r>
              <w:rPr>
                <w:rFonts w:eastAsiaTheme="minorEastAsia"/>
                <w:kern w:val="0"/>
                <w:szCs w:val="21"/>
              </w:rPr>
              <w:t>174,142,805.20</w:t>
            </w:r>
          </w:p>
        </w:tc>
        <w:tc>
          <w:tcPr>
            <w:tcW w:w="1616" w:type="dxa"/>
            <w:vAlign w:val="center"/>
          </w:tcPr>
          <w:p w:rsidR="00D461A9" w:rsidRDefault="00F94406">
            <w:pPr>
              <w:jc w:val="right"/>
            </w:pPr>
            <w:r>
              <w:rPr>
                <w:rFonts w:eastAsiaTheme="minorEastAsia"/>
                <w:kern w:val="0"/>
                <w:szCs w:val="21"/>
              </w:rPr>
              <w:t>5.95</w:t>
            </w:r>
          </w:p>
        </w:tc>
      </w:tr>
      <w:tr w:rsidR="00D461A9">
        <w:tc>
          <w:tcPr>
            <w:tcW w:w="817" w:type="dxa"/>
            <w:vAlign w:val="center"/>
          </w:tcPr>
          <w:p w:rsidR="00D461A9" w:rsidRDefault="00F94406">
            <w:pPr>
              <w:jc w:val="center"/>
            </w:pPr>
            <w:r>
              <w:rPr>
                <w:rFonts w:eastAsiaTheme="minorEastAsia"/>
                <w:kern w:val="0"/>
                <w:szCs w:val="21"/>
              </w:rPr>
              <w:t>4</w:t>
            </w:r>
          </w:p>
        </w:tc>
        <w:tc>
          <w:tcPr>
            <w:tcW w:w="1276" w:type="dxa"/>
            <w:vAlign w:val="center"/>
          </w:tcPr>
          <w:p w:rsidR="00D461A9" w:rsidRDefault="00F94406">
            <w:pPr>
              <w:jc w:val="center"/>
            </w:pPr>
            <w:r>
              <w:rPr>
                <w:rFonts w:eastAsiaTheme="minorEastAsia"/>
                <w:kern w:val="0"/>
                <w:szCs w:val="21"/>
              </w:rPr>
              <w:t>688036</w:t>
            </w:r>
          </w:p>
        </w:tc>
        <w:tc>
          <w:tcPr>
            <w:tcW w:w="1701" w:type="dxa"/>
            <w:vAlign w:val="center"/>
          </w:tcPr>
          <w:p w:rsidR="00D461A9" w:rsidRDefault="00F94406">
            <w:pPr>
              <w:jc w:val="center"/>
            </w:pPr>
            <w:r>
              <w:rPr>
                <w:rFonts w:eastAsiaTheme="minorEastAsia"/>
                <w:kern w:val="0"/>
                <w:szCs w:val="21"/>
              </w:rPr>
              <w:t>传音控股</w:t>
            </w:r>
          </w:p>
        </w:tc>
        <w:tc>
          <w:tcPr>
            <w:tcW w:w="1276" w:type="dxa"/>
            <w:vAlign w:val="center"/>
          </w:tcPr>
          <w:p w:rsidR="00D461A9" w:rsidRDefault="00F94406">
            <w:pPr>
              <w:jc w:val="right"/>
            </w:pPr>
            <w:r>
              <w:rPr>
                <w:rFonts w:eastAsiaTheme="minorEastAsia"/>
                <w:kern w:val="0"/>
                <w:szCs w:val="21"/>
              </w:rPr>
              <w:t>1,190,821.00</w:t>
            </w:r>
          </w:p>
        </w:tc>
        <w:tc>
          <w:tcPr>
            <w:tcW w:w="1842" w:type="dxa"/>
            <w:vAlign w:val="center"/>
          </w:tcPr>
          <w:p w:rsidR="00D461A9" w:rsidRDefault="00F94406">
            <w:pPr>
              <w:jc w:val="right"/>
            </w:pPr>
            <w:r>
              <w:rPr>
                <w:rFonts w:eastAsiaTheme="minorEastAsia"/>
                <w:kern w:val="0"/>
                <w:szCs w:val="21"/>
              </w:rPr>
              <w:t>173,550,252.54</w:t>
            </w:r>
          </w:p>
        </w:tc>
        <w:tc>
          <w:tcPr>
            <w:tcW w:w="1616" w:type="dxa"/>
            <w:vAlign w:val="center"/>
          </w:tcPr>
          <w:p w:rsidR="00D461A9" w:rsidRDefault="00F94406">
            <w:pPr>
              <w:jc w:val="right"/>
            </w:pPr>
            <w:r>
              <w:rPr>
                <w:rFonts w:eastAsiaTheme="minorEastAsia"/>
                <w:kern w:val="0"/>
                <w:szCs w:val="21"/>
              </w:rPr>
              <w:t>5.93</w:t>
            </w:r>
          </w:p>
        </w:tc>
      </w:tr>
      <w:tr w:rsidR="00D461A9">
        <w:tc>
          <w:tcPr>
            <w:tcW w:w="817" w:type="dxa"/>
            <w:vAlign w:val="center"/>
          </w:tcPr>
          <w:p w:rsidR="00D461A9" w:rsidRDefault="00F94406">
            <w:pPr>
              <w:jc w:val="center"/>
            </w:pPr>
            <w:r>
              <w:rPr>
                <w:rFonts w:eastAsiaTheme="minorEastAsia"/>
                <w:kern w:val="0"/>
                <w:szCs w:val="21"/>
              </w:rPr>
              <w:t>5</w:t>
            </w:r>
          </w:p>
        </w:tc>
        <w:tc>
          <w:tcPr>
            <w:tcW w:w="1276" w:type="dxa"/>
            <w:vAlign w:val="center"/>
          </w:tcPr>
          <w:p w:rsidR="00D461A9" w:rsidRDefault="00F94406">
            <w:pPr>
              <w:jc w:val="center"/>
            </w:pPr>
            <w:r>
              <w:rPr>
                <w:rFonts w:eastAsiaTheme="minorEastAsia"/>
                <w:kern w:val="0"/>
                <w:szCs w:val="21"/>
              </w:rPr>
              <w:t>002236</w:t>
            </w:r>
          </w:p>
        </w:tc>
        <w:tc>
          <w:tcPr>
            <w:tcW w:w="1701" w:type="dxa"/>
            <w:vAlign w:val="center"/>
          </w:tcPr>
          <w:p w:rsidR="00D461A9" w:rsidRDefault="00F94406">
            <w:pPr>
              <w:jc w:val="center"/>
            </w:pPr>
            <w:r>
              <w:rPr>
                <w:rFonts w:eastAsiaTheme="minorEastAsia"/>
                <w:kern w:val="0"/>
                <w:szCs w:val="21"/>
              </w:rPr>
              <w:t>大华股份</w:t>
            </w:r>
          </w:p>
        </w:tc>
        <w:tc>
          <w:tcPr>
            <w:tcW w:w="1276" w:type="dxa"/>
            <w:vAlign w:val="center"/>
          </w:tcPr>
          <w:p w:rsidR="00D461A9" w:rsidRDefault="00F94406">
            <w:pPr>
              <w:jc w:val="right"/>
            </w:pPr>
            <w:r>
              <w:rPr>
                <w:rFonts w:eastAsiaTheme="minorEastAsia"/>
                <w:kern w:val="0"/>
                <w:szCs w:val="21"/>
              </w:rPr>
              <w:t>7,630,740.00</w:t>
            </w:r>
          </w:p>
        </w:tc>
        <w:tc>
          <w:tcPr>
            <w:tcW w:w="1842" w:type="dxa"/>
            <w:vAlign w:val="center"/>
          </w:tcPr>
          <w:p w:rsidR="00D461A9" w:rsidRDefault="00F94406">
            <w:pPr>
              <w:jc w:val="right"/>
            </w:pPr>
            <w:r>
              <w:rPr>
                <w:rFonts w:eastAsiaTheme="minorEastAsia"/>
                <w:kern w:val="0"/>
                <w:szCs w:val="21"/>
              </w:rPr>
              <w:t>169,936,579.80</w:t>
            </w:r>
          </w:p>
        </w:tc>
        <w:tc>
          <w:tcPr>
            <w:tcW w:w="1616" w:type="dxa"/>
            <w:vAlign w:val="center"/>
          </w:tcPr>
          <w:p w:rsidR="00D461A9" w:rsidRDefault="00F94406">
            <w:pPr>
              <w:jc w:val="right"/>
            </w:pPr>
            <w:r>
              <w:rPr>
                <w:rFonts w:eastAsiaTheme="minorEastAsia"/>
                <w:kern w:val="0"/>
                <w:szCs w:val="21"/>
              </w:rPr>
              <w:t>5.81</w:t>
            </w:r>
          </w:p>
        </w:tc>
      </w:tr>
      <w:tr w:rsidR="00D461A9">
        <w:tc>
          <w:tcPr>
            <w:tcW w:w="817" w:type="dxa"/>
            <w:vAlign w:val="center"/>
          </w:tcPr>
          <w:p w:rsidR="00D461A9" w:rsidRDefault="00F94406">
            <w:pPr>
              <w:jc w:val="center"/>
            </w:pPr>
            <w:r>
              <w:rPr>
                <w:rFonts w:eastAsiaTheme="minorEastAsia"/>
                <w:kern w:val="0"/>
                <w:szCs w:val="21"/>
              </w:rPr>
              <w:t>6</w:t>
            </w:r>
          </w:p>
        </w:tc>
        <w:tc>
          <w:tcPr>
            <w:tcW w:w="1276" w:type="dxa"/>
            <w:vAlign w:val="center"/>
          </w:tcPr>
          <w:p w:rsidR="00D461A9" w:rsidRDefault="00F94406">
            <w:pPr>
              <w:jc w:val="center"/>
            </w:pPr>
            <w:r>
              <w:rPr>
                <w:rFonts w:eastAsiaTheme="minorEastAsia"/>
                <w:kern w:val="0"/>
                <w:szCs w:val="21"/>
              </w:rPr>
              <w:t>000063</w:t>
            </w:r>
          </w:p>
        </w:tc>
        <w:tc>
          <w:tcPr>
            <w:tcW w:w="1701" w:type="dxa"/>
            <w:vAlign w:val="center"/>
          </w:tcPr>
          <w:p w:rsidR="00D461A9" w:rsidRDefault="00F94406">
            <w:pPr>
              <w:jc w:val="center"/>
            </w:pPr>
            <w:r>
              <w:rPr>
                <w:rFonts w:eastAsiaTheme="minorEastAsia"/>
                <w:kern w:val="0"/>
                <w:szCs w:val="21"/>
              </w:rPr>
              <w:t>中兴通讯</w:t>
            </w:r>
          </w:p>
        </w:tc>
        <w:tc>
          <w:tcPr>
            <w:tcW w:w="1276" w:type="dxa"/>
            <w:vAlign w:val="center"/>
          </w:tcPr>
          <w:p w:rsidR="00D461A9" w:rsidRDefault="00F94406">
            <w:pPr>
              <w:jc w:val="right"/>
            </w:pPr>
            <w:r>
              <w:rPr>
                <w:rFonts w:eastAsiaTheme="minorEastAsia"/>
                <w:kern w:val="0"/>
                <w:szCs w:val="21"/>
              </w:rPr>
              <w:t>3,885,736.00</w:t>
            </w:r>
          </w:p>
        </w:tc>
        <w:tc>
          <w:tcPr>
            <w:tcW w:w="1842" w:type="dxa"/>
            <w:vAlign w:val="center"/>
          </w:tcPr>
          <w:p w:rsidR="00D461A9" w:rsidRDefault="00F94406">
            <w:pPr>
              <w:jc w:val="right"/>
            </w:pPr>
            <w:r>
              <w:rPr>
                <w:rFonts w:eastAsiaTheme="minorEastAsia"/>
                <w:kern w:val="0"/>
                <w:szCs w:val="21"/>
              </w:rPr>
              <w:t>126,985,852.48</w:t>
            </w:r>
          </w:p>
        </w:tc>
        <w:tc>
          <w:tcPr>
            <w:tcW w:w="1616" w:type="dxa"/>
            <w:vAlign w:val="center"/>
          </w:tcPr>
          <w:p w:rsidR="00D461A9" w:rsidRDefault="00F94406">
            <w:pPr>
              <w:jc w:val="right"/>
            </w:pPr>
            <w:r>
              <w:rPr>
                <w:rFonts w:eastAsiaTheme="minorEastAsia"/>
                <w:kern w:val="0"/>
                <w:szCs w:val="21"/>
              </w:rPr>
              <w:t>4.34</w:t>
            </w:r>
          </w:p>
        </w:tc>
      </w:tr>
      <w:tr w:rsidR="00D461A9">
        <w:tc>
          <w:tcPr>
            <w:tcW w:w="817" w:type="dxa"/>
            <w:vAlign w:val="center"/>
          </w:tcPr>
          <w:p w:rsidR="00D461A9" w:rsidRDefault="00F94406">
            <w:pPr>
              <w:jc w:val="center"/>
            </w:pPr>
            <w:r>
              <w:rPr>
                <w:rFonts w:eastAsiaTheme="minorEastAsia"/>
                <w:kern w:val="0"/>
                <w:szCs w:val="21"/>
              </w:rPr>
              <w:t>7</w:t>
            </w:r>
          </w:p>
        </w:tc>
        <w:tc>
          <w:tcPr>
            <w:tcW w:w="1276" w:type="dxa"/>
            <w:vAlign w:val="center"/>
          </w:tcPr>
          <w:p w:rsidR="00D461A9" w:rsidRDefault="00F94406">
            <w:pPr>
              <w:jc w:val="center"/>
            </w:pPr>
            <w:r>
              <w:rPr>
                <w:rFonts w:eastAsiaTheme="minorEastAsia"/>
                <w:kern w:val="0"/>
                <w:szCs w:val="21"/>
              </w:rPr>
              <w:t>603699</w:t>
            </w:r>
          </w:p>
        </w:tc>
        <w:tc>
          <w:tcPr>
            <w:tcW w:w="1701" w:type="dxa"/>
            <w:vAlign w:val="center"/>
          </w:tcPr>
          <w:p w:rsidR="00D461A9" w:rsidRDefault="00F94406">
            <w:pPr>
              <w:jc w:val="center"/>
            </w:pPr>
            <w:r>
              <w:rPr>
                <w:rFonts w:eastAsiaTheme="minorEastAsia"/>
                <w:kern w:val="0"/>
                <w:szCs w:val="21"/>
              </w:rPr>
              <w:t>纽威股份</w:t>
            </w:r>
          </w:p>
        </w:tc>
        <w:tc>
          <w:tcPr>
            <w:tcW w:w="1276" w:type="dxa"/>
            <w:vAlign w:val="center"/>
          </w:tcPr>
          <w:p w:rsidR="00D461A9" w:rsidRDefault="00F94406">
            <w:pPr>
              <w:jc w:val="right"/>
            </w:pPr>
            <w:r>
              <w:rPr>
                <w:rFonts w:eastAsiaTheme="minorEastAsia"/>
                <w:kern w:val="0"/>
                <w:szCs w:val="21"/>
              </w:rPr>
              <w:t>5,969,001.00</w:t>
            </w:r>
          </w:p>
        </w:tc>
        <w:tc>
          <w:tcPr>
            <w:tcW w:w="1842" w:type="dxa"/>
            <w:vAlign w:val="center"/>
          </w:tcPr>
          <w:p w:rsidR="00D461A9" w:rsidRDefault="00F94406">
            <w:pPr>
              <w:jc w:val="right"/>
            </w:pPr>
            <w:r>
              <w:rPr>
                <w:rFonts w:eastAsiaTheme="minorEastAsia"/>
                <w:kern w:val="0"/>
                <w:szCs w:val="21"/>
              </w:rPr>
              <w:t>91,266,025.29</w:t>
            </w:r>
          </w:p>
        </w:tc>
        <w:tc>
          <w:tcPr>
            <w:tcW w:w="1616" w:type="dxa"/>
            <w:vAlign w:val="center"/>
          </w:tcPr>
          <w:p w:rsidR="00D461A9" w:rsidRDefault="00F94406">
            <w:pPr>
              <w:jc w:val="right"/>
            </w:pPr>
            <w:r>
              <w:rPr>
                <w:rFonts w:eastAsiaTheme="minorEastAsia"/>
                <w:kern w:val="0"/>
                <w:szCs w:val="21"/>
              </w:rPr>
              <w:t>3.12</w:t>
            </w:r>
          </w:p>
        </w:tc>
      </w:tr>
      <w:tr w:rsidR="00D461A9">
        <w:tc>
          <w:tcPr>
            <w:tcW w:w="817" w:type="dxa"/>
            <w:vAlign w:val="center"/>
          </w:tcPr>
          <w:p w:rsidR="00D461A9" w:rsidRDefault="00F94406">
            <w:pPr>
              <w:jc w:val="center"/>
            </w:pPr>
            <w:r>
              <w:rPr>
                <w:rFonts w:eastAsiaTheme="minorEastAsia"/>
                <w:kern w:val="0"/>
                <w:szCs w:val="21"/>
              </w:rPr>
              <w:t>8</w:t>
            </w:r>
          </w:p>
        </w:tc>
        <w:tc>
          <w:tcPr>
            <w:tcW w:w="1276" w:type="dxa"/>
            <w:vAlign w:val="center"/>
          </w:tcPr>
          <w:p w:rsidR="00D461A9" w:rsidRDefault="00F94406">
            <w:pPr>
              <w:jc w:val="center"/>
            </w:pPr>
            <w:r>
              <w:rPr>
                <w:rFonts w:eastAsiaTheme="minorEastAsia"/>
                <w:kern w:val="0"/>
                <w:szCs w:val="21"/>
              </w:rPr>
              <w:t>000333</w:t>
            </w:r>
          </w:p>
        </w:tc>
        <w:tc>
          <w:tcPr>
            <w:tcW w:w="1701" w:type="dxa"/>
            <w:vAlign w:val="center"/>
          </w:tcPr>
          <w:p w:rsidR="00D461A9" w:rsidRDefault="00F94406">
            <w:pPr>
              <w:jc w:val="center"/>
            </w:pPr>
            <w:r>
              <w:rPr>
                <w:rFonts w:eastAsiaTheme="minorEastAsia"/>
                <w:kern w:val="0"/>
                <w:szCs w:val="21"/>
              </w:rPr>
              <w:t>美的集团</w:t>
            </w:r>
          </w:p>
        </w:tc>
        <w:tc>
          <w:tcPr>
            <w:tcW w:w="1276" w:type="dxa"/>
            <w:vAlign w:val="center"/>
          </w:tcPr>
          <w:p w:rsidR="00D461A9" w:rsidRDefault="00F94406">
            <w:pPr>
              <w:jc w:val="right"/>
            </w:pPr>
            <w:r>
              <w:rPr>
                <w:rFonts w:eastAsiaTheme="minorEastAsia"/>
                <w:kern w:val="0"/>
                <w:szCs w:val="21"/>
              </w:rPr>
              <w:t>1,518,300.00</w:t>
            </w:r>
          </w:p>
        </w:tc>
        <w:tc>
          <w:tcPr>
            <w:tcW w:w="1842" w:type="dxa"/>
            <w:vAlign w:val="center"/>
          </w:tcPr>
          <w:p w:rsidR="00D461A9" w:rsidRDefault="00F94406">
            <w:pPr>
              <w:jc w:val="right"/>
            </w:pPr>
            <w:r>
              <w:rPr>
                <w:rFonts w:eastAsiaTheme="minorEastAsia"/>
                <w:kern w:val="0"/>
                <w:szCs w:val="21"/>
              </w:rPr>
              <w:t>84,235,284.00</w:t>
            </w:r>
          </w:p>
        </w:tc>
        <w:tc>
          <w:tcPr>
            <w:tcW w:w="1616" w:type="dxa"/>
            <w:vAlign w:val="center"/>
          </w:tcPr>
          <w:p w:rsidR="00D461A9" w:rsidRDefault="00F94406">
            <w:pPr>
              <w:jc w:val="right"/>
            </w:pPr>
            <w:r>
              <w:rPr>
                <w:rFonts w:eastAsiaTheme="minorEastAsia"/>
                <w:kern w:val="0"/>
                <w:szCs w:val="21"/>
              </w:rPr>
              <w:t>2.88</w:t>
            </w:r>
          </w:p>
        </w:tc>
      </w:tr>
      <w:tr w:rsidR="00D461A9">
        <w:tc>
          <w:tcPr>
            <w:tcW w:w="817" w:type="dxa"/>
            <w:vAlign w:val="center"/>
          </w:tcPr>
          <w:p w:rsidR="00D461A9" w:rsidRDefault="00F94406">
            <w:pPr>
              <w:jc w:val="center"/>
            </w:pPr>
            <w:r>
              <w:rPr>
                <w:rFonts w:eastAsiaTheme="minorEastAsia"/>
                <w:kern w:val="0"/>
                <w:szCs w:val="21"/>
              </w:rPr>
              <w:t>9</w:t>
            </w:r>
          </w:p>
        </w:tc>
        <w:tc>
          <w:tcPr>
            <w:tcW w:w="1276" w:type="dxa"/>
            <w:vAlign w:val="center"/>
          </w:tcPr>
          <w:p w:rsidR="00D461A9" w:rsidRDefault="00F94406">
            <w:pPr>
              <w:jc w:val="center"/>
            </w:pPr>
            <w:r>
              <w:rPr>
                <w:rFonts w:eastAsiaTheme="minorEastAsia"/>
                <w:kern w:val="0"/>
                <w:szCs w:val="21"/>
              </w:rPr>
              <w:t>600309</w:t>
            </w:r>
          </w:p>
        </w:tc>
        <w:tc>
          <w:tcPr>
            <w:tcW w:w="1701" w:type="dxa"/>
            <w:vAlign w:val="center"/>
          </w:tcPr>
          <w:p w:rsidR="00D461A9" w:rsidRDefault="00F94406">
            <w:pPr>
              <w:jc w:val="center"/>
            </w:pPr>
            <w:r>
              <w:rPr>
                <w:rFonts w:eastAsiaTheme="minorEastAsia"/>
                <w:kern w:val="0"/>
                <w:szCs w:val="21"/>
              </w:rPr>
              <w:t>万华化学</w:t>
            </w:r>
          </w:p>
        </w:tc>
        <w:tc>
          <w:tcPr>
            <w:tcW w:w="1276" w:type="dxa"/>
            <w:vAlign w:val="center"/>
          </w:tcPr>
          <w:p w:rsidR="00D461A9" w:rsidRDefault="00F94406">
            <w:pPr>
              <w:jc w:val="right"/>
            </w:pPr>
            <w:r>
              <w:rPr>
                <w:rFonts w:eastAsiaTheme="minorEastAsia"/>
                <w:kern w:val="0"/>
                <w:szCs w:val="21"/>
              </w:rPr>
              <w:t>938,905.00</w:t>
            </w:r>
          </w:p>
        </w:tc>
        <w:tc>
          <w:tcPr>
            <w:tcW w:w="1842" w:type="dxa"/>
            <w:vAlign w:val="center"/>
          </w:tcPr>
          <w:p w:rsidR="00D461A9" w:rsidRDefault="00F94406">
            <w:pPr>
              <w:jc w:val="right"/>
            </w:pPr>
            <w:r>
              <w:rPr>
                <w:rFonts w:eastAsiaTheme="minorEastAsia"/>
                <w:kern w:val="0"/>
                <w:szCs w:val="21"/>
              </w:rPr>
              <w:t>82,924,089.60</w:t>
            </w:r>
          </w:p>
        </w:tc>
        <w:tc>
          <w:tcPr>
            <w:tcW w:w="1616" w:type="dxa"/>
            <w:vAlign w:val="center"/>
          </w:tcPr>
          <w:p w:rsidR="00D461A9" w:rsidRDefault="00F94406">
            <w:pPr>
              <w:jc w:val="right"/>
            </w:pPr>
            <w:r>
              <w:rPr>
                <w:rFonts w:eastAsiaTheme="minorEastAsia"/>
                <w:kern w:val="0"/>
                <w:szCs w:val="21"/>
              </w:rPr>
              <w:t>2.84</w:t>
            </w:r>
          </w:p>
        </w:tc>
      </w:tr>
      <w:tr w:rsidR="00D461A9">
        <w:tc>
          <w:tcPr>
            <w:tcW w:w="817" w:type="dxa"/>
            <w:vAlign w:val="center"/>
          </w:tcPr>
          <w:p w:rsidR="00D461A9" w:rsidRDefault="00F94406">
            <w:pPr>
              <w:jc w:val="center"/>
            </w:pPr>
            <w:r>
              <w:rPr>
                <w:rFonts w:eastAsiaTheme="minorEastAsia"/>
                <w:kern w:val="0"/>
                <w:szCs w:val="21"/>
              </w:rPr>
              <w:t>10</w:t>
            </w:r>
          </w:p>
        </w:tc>
        <w:tc>
          <w:tcPr>
            <w:tcW w:w="1276" w:type="dxa"/>
            <w:vAlign w:val="center"/>
          </w:tcPr>
          <w:p w:rsidR="00D461A9" w:rsidRDefault="00F94406">
            <w:pPr>
              <w:jc w:val="center"/>
            </w:pPr>
            <w:r>
              <w:rPr>
                <w:rFonts w:eastAsiaTheme="minorEastAsia"/>
                <w:kern w:val="0"/>
                <w:szCs w:val="21"/>
              </w:rPr>
              <w:t>000651</w:t>
            </w:r>
          </w:p>
        </w:tc>
        <w:tc>
          <w:tcPr>
            <w:tcW w:w="1701" w:type="dxa"/>
            <w:vAlign w:val="center"/>
          </w:tcPr>
          <w:p w:rsidR="00D461A9" w:rsidRDefault="00F94406">
            <w:pPr>
              <w:jc w:val="center"/>
            </w:pPr>
            <w:r>
              <w:rPr>
                <w:rFonts w:eastAsiaTheme="minorEastAsia"/>
                <w:kern w:val="0"/>
                <w:szCs w:val="21"/>
              </w:rPr>
              <w:t>格力电器</w:t>
            </w:r>
          </w:p>
        </w:tc>
        <w:tc>
          <w:tcPr>
            <w:tcW w:w="1276" w:type="dxa"/>
            <w:vAlign w:val="center"/>
          </w:tcPr>
          <w:p w:rsidR="00D461A9" w:rsidRDefault="00F94406">
            <w:pPr>
              <w:jc w:val="right"/>
            </w:pPr>
            <w:r>
              <w:rPr>
                <w:rFonts w:eastAsiaTheme="minorEastAsia"/>
                <w:kern w:val="0"/>
                <w:szCs w:val="21"/>
              </w:rPr>
              <w:t>2,273,372.00</w:t>
            </w:r>
          </w:p>
        </w:tc>
        <w:tc>
          <w:tcPr>
            <w:tcW w:w="1842" w:type="dxa"/>
            <w:vAlign w:val="center"/>
          </w:tcPr>
          <w:p w:rsidR="00D461A9" w:rsidRDefault="00F94406">
            <w:pPr>
              <w:jc w:val="right"/>
            </w:pPr>
            <w:r>
              <w:rPr>
                <w:rFonts w:eastAsiaTheme="minorEastAsia"/>
                <w:kern w:val="0"/>
                <w:szCs w:val="21"/>
              </w:rPr>
              <w:t>82,523,403.60</w:t>
            </w:r>
          </w:p>
        </w:tc>
        <w:tc>
          <w:tcPr>
            <w:tcW w:w="1616" w:type="dxa"/>
            <w:vAlign w:val="center"/>
          </w:tcPr>
          <w:p w:rsidR="00D461A9" w:rsidRDefault="00F94406">
            <w:pPr>
              <w:jc w:val="right"/>
            </w:pPr>
            <w:r>
              <w:rPr>
                <w:rFonts w:eastAsiaTheme="minorEastAsia"/>
                <w:kern w:val="0"/>
                <w:szCs w:val="21"/>
              </w:rPr>
              <w:t>2.82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706,244.78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55,738,714.90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356,234.59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56,801,194.27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1,482,646,430.23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1,937,831.08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25,976,368.45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702,074.74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66,595,332.27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576,004.60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1,442,027,466.41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2,063,901.22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《摩根科技前沿灵活配置混合型证券投资基金基金合同》；</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《摩根科技前沿灵活配置混合型证券投资基金托管协议》；</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D461A9" w:rsidRDefault="00F9440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9440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9440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9440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摩根科技前沿灵活配置混合型证券投资基金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461A9"/>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4406"/>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A9AC9-E261-43FD-B59E-7164D888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1216</Words>
  <Characters>6937</Characters>
  <Application>Microsoft Office Word</Application>
  <DocSecurity>0</DocSecurity>
  <Lines>57</Lines>
  <Paragraphs>16</Paragraphs>
  <ScaleCrop>false</ScaleCrop>
  <Company>TRT. Ltd. Co.</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2023-10-24T06:58:00Z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