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61370" w:rsidRDefault="00966571">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E61370" w:rsidRDefault="00966571">
      <w:pPr>
        <w:spacing w:line="360" w:lineRule="auto"/>
        <w:rPr>
          <w:rFonts w:ascii="宋体" w:hAnsi="宋体"/>
          <w:sz w:val="48"/>
        </w:rPr>
      </w:pPr>
      <w:r>
        <w:rPr>
          <w:rFonts w:ascii="宋体" w:hAnsi="宋体" w:hint="eastAsia"/>
          <w:sz w:val="48"/>
        </w:rPr>
        <w:t xml:space="preserve">　 </w:t>
      </w:r>
    </w:p>
    <w:p w:rsidR="00E61370" w:rsidRDefault="00966571">
      <w:pPr>
        <w:spacing w:line="360" w:lineRule="auto"/>
        <w:jc w:val="center"/>
      </w:pPr>
      <w:r>
        <w:rPr>
          <w:rFonts w:ascii="宋体" w:hAnsi="宋体" w:hint="eastAsia"/>
          <w:b/>
          <w:bCs/>
          <w:color w:val="000000" w:themeColor="text1"/>
          <w:sz w:val="48"/>
          <w:szCs w:val="30"/>
        </w:rPr>
        <w:t>摩根科技前沿灵活配置混合型证券投资基金</w:t>
      </w:r>
      <w:r>
        <w:rPr>
          <w:rFonts w:ascii="宋体" w:hAnsi="宋体" w:hint="eastAsia"/>
          <w:b/>
          <w:bCs/>
          <w:color w:val="000000" w:themeColor="text1"/>
          <w:sz w:val="48"/>
          <w:szCs w:val="30"/>
        </w:rPr>
        <w:br/>
        <w:t>2025年第1季度报告</w:t>
      </w:r>
    </w:p>
    <w:p w:rsidR="00E61370" w:rsidRDefault="00966571">
      <w:pPr>
        <w:spacing w:line="360" w:lineRule="auto"/>
        <w:jc w:val="center"/>
        <w:rPr>
          <w:rFonts w:ascii="宋体" w:hAnsi="宋体"/>
          <w:sz w:val="28"/>
          <w:szCs w:val="30"/>
        </w:rPr>
      </w:pPr>
      <w:r>
        <w:rPr>
          <w:rFonts w:ascii="宋体" w:hAnsi="宋体" w:hint="eastAsia"/>
          <w:sz w:val="28"/>
          <w:szCs w:val="30"/>
        </w:rPr>
        <w:t xml:space="preserve">　 </w:t>
      </w:r>
    </w:p>
    <w:p w:rsidR="00E61370" w:rsidRDefault="00966571">
      <w:pPr>
        <w:spacing w:line="360" w:lineRule="auto"/>
        <w:jc w:val="center"/>
      </w:pPr>
      <w:r>
        <w:rPr>
          <w:rFonts w:ascii="宋体" w:hAnsi="宋体" w:hint="eastAsia"/>
          <w:b/>
          <w:bCs/>
          <w:sz w:val="28"/>
          <w:szCs w:val="30"/>
        </w:rPr>
        <w:t>2025年3月31日</w:t>
      </w:r>
    </w:p>
    <w:p w:rsidR="00E61370" w:rsidRDefault="00966571">
      <w:pPr>
        <w:spacing w:line="360" w:lineRule="auto"/>
        <w:jc w:val="center"/>
        <w:rPr>
          <w:rFonts w:ascii="宋体" w:hAnsi="宋体"/>
          <w:sz w:val="28"/>
          <w:szCs w:val="30"/>
        </w:rPr>
      </w:pPr>
      <w:r>
        <w:rPr>
          <w:rFonts w:ascii="宋体" w:hAnsi="宋体" w:hint="eastAsia"/>
          <w:sz w:val="28"/>
          <w:szCs w:val="30"/>
        </w:rPr>
        <w:t xml:space="preserve">　 </w:t>
      </w:r>
    </w:p>
    <w:p w:rsidR="00E61370" w:rsidRDefault="00966571">
      <w:pPr>
        <w:spacing w:line="360" w:lineRule="auto"/>
        <w:jc w:val="center"/>
        <w:rPr>
          <w:rFonts w:ascii="宋体" w:hAnsi="宋体"/>
          <w:sz w:val="28"/>
          <w:szCs w:val="30"/>
        </w:rPr>
      </w:pPr>
      <w:r>
        <w:rPr>
          <w:rFonts w:ascii="宋体" w:hAnsi="宋体" w:hint="eastAsia"/>
          <w:sz w:val="28"/>
          <w:szCs w:val="30"/>
        </w:rPr>
        <w:t xml:space="preserve">　 </w:t>
      </w:r>
    </w:p>
    <w:p w:rsidR="00E61370" w:rsidRDefault="00966571">
      <w:pPr>
        <w:spacing w:line="360" w:lineRule="auto"/>
        <w:jc w:val="center"/>
        <w:rPr>
          <w:rFonts w:ascii="宋体" w:hAnsi="宋体"/>
          <w:sz w:val="28"/>
          <w:szCs w:val="30"/>
        </w:rPr>
      </w:pPr>
      <w:r>
        <w:rPr>
          <w:rFonts w:ascii="宋体" w:hAnsi="宋体" w:hint="eastAsia"/>
          <w:sz w:val="28"/>
          <w:szCs w:val="30"/>
        </w:rPr>
        <w:t xml:space="preserve">　 </w:t>
      </w:r>
    </w:p>
    <w:p w:rsidR="00E61370" w:rsidRDefault="00966571">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E61370" w:rsidRDefault="00966571">
      <w:pPr>
        <w:spacing w:line="360" w:lineRule="auto"/>
        <w:jc w:val="center"/>
        <w:rPr>
          <w:rFonts w:ascii="宋体" w:hAnsi="宋体"/>
          <w:sz w:val="28"/>
          <w:szCs w:val="30"/>
        </w:rPr>
      </w:pPr>
      <w:r>
        <w:rPr>
          <w:rFonts w:ascii="宋体" w:hAnsi="宋体" w:hint="eastAsia"/>
          <w:sz w:val="28"/>
          <w:szCs w:val="30"/>
        </w:rPr>
        <w:t xml:space="preserve">　 </w:t>
      </w:r>
    </w:p>
    <w:p w:rsidR="00E61370" w:rsidRDefault="00966571">
      <w:pPr>
        <w:spacing w:line="360" w:lineRule="auto"/>
        <w:jc w:val="center"/>
        <w:rPr>
          <w:rFonts w:ascii="宋体" w:hAnsi="宋体"/>
          <w:sz w:val="28"/>
          <w:szCs w:val="30"/>
        </w:rPr>
      </w:pPr>
      <w:r>
        <w:rPr>
          <w:rFonts w:ascii="宋体" w:hAnsi="宋体" w:hint="eastAsia"/>
          <w:sz w:val="28"/>
          <w:szCs w:val="30"/>
        </w:rPr>
        <w:t xml:space="preserve">　 </w:t>
      </w:r>
    </w:p>
    <w:p w:rsidR="00E61370" w:rsidRDefault="00966571">
      <w:pPr>
        <w:spacing w:line="360" w:lineRule="auto"/>
        <w:jc w:val="center"/>
        <w:rPr>
          <w:rFonts w:ascii="宋体" w:hAnsi="宋体"/>
          <w:sz w:val="28"/>
          <w:szCs w:val="30"/>
        </w:rPr>
      </w:pPr>
      <w:r>
        <w:rPr>
          <w:rFonts w:ascii="宋体" w:hAnsi="宋体" w:hint="eastAsia"/>
          <w:sz w:val="28"/>
          <w:szCs w:val="30"/>
        </w:rPr>
        <w:t xml:space="preserve">　 </w:t>
      </w:r>
    </w:p>
    <w:p w:rsidR="00E61370" w:rsidRDefault="00966571">
      <w:pPr>
        <w:spacing w:line="360" w:lineRule="auto"/>
        <w:jc w:val="center"/>
        <w:rPr>
          <w:rFonts w:ascii="宋体" w:hAnsi="宋体"/>
          <w:sz w:val="28"/>
          <w:szCs w:val="30"/>
        </w:rPr>
      </w:pPr>
      <w:r>
        <w:rPr>
          <w:rFonts w:ascii="宋体" w:hAnsi="宋体" w:hint="eastAsia"/>
          <w:sz w:val="28"/>
          <w:szCs w:val="30"/>
        </w:rPr>
        <w:t xml:space="preserve">　 </w:t>
      </w:r>
    </w:p>
    <w:p w:rsidR="00E61370" w:rsidRDefault="00966571">
      <w:pPr>
        <w:spacing w:line="360" w:lineRule="auto"/>
        <w:jc w:val="center"/>
        <w:rPr>
          <w:rFonts w:ascii="宋体" w:hAnsi="宋体"/>
          <w:sz w:val="28"/>
          <w:szCs w:val="30"/>
        </w:rPr>
      </w:pPr>
      <w:r>
        <w:rPr>
          <w:rFonts w:ascii="宋体" w:hAnsi="宋体" w:hint="eastAsia"/>
          <w:sz w:val="28"/>
          <w:szCs w:val="30"/>
        </w:rPr>
        <w:t xml:space="preserve">　 </w:t>
      </w:r>
    </w:p>
    <w:p w:rsidR="00E61370" w:rsidRDefault="00966571">
      <w:pPr>
        <w:spacing w:line="360" w:lineRule="auto"/>
        <w:jc w:val="center"/>
        <w:rPr>
          <w:rFonts w:ascii="宋体" w:hAnsi="宋体"/>
          <w:sz w:val="28"/>
          <w:szCs w:val="30"/>
        </w:rPr>
      </w:pPr>
      <w:r>
        <w:rPr>
          <w:rFonts w:ascii="宋体" w:hAnsi="宋体" w:hint="eastAsia"/>
          <w:sz w:val="28"/>
          <w:szCs w:val="30"/>
        </w:rPr>
        <w:t xml:space="preserve">　 </w:t>
      </w:r>
    </w:p>
    <w:p w:rsidR="00E61370" w:rsidRDefault="00966571">
      <w:pPr>
        <w:spacing w:line="360" w:lineRule="auto"/>
        <w:jc w:val="center"/>
        <w:rPr>
          <w:rFonts w:ascii="宋体" w:hAnsi="宋体"/>
          <w:sz w:val="28"/>
          <w:szCs w:val="30"/>
        </w:rPr>
      </w:pPr>
      <w:r>
        <w:rPr>
          <w:rFonts w:ascii="宋体" w:hAnsi="宋体" w:hint="eastAsia"/>
          <w:sz w:val="28"/>
          <w:szCs w:val="30"/>
        </w:rPr>
        <w:t xml:space="preserve">　 </w:t>
      </w:r>
    </w:p>
    <w:p w:rsidR="00E61370" w:rsidRDefault="00966571">
      <w:pPr>
        <w:spacing w:line="360" w:lineRule="auto"/>
        <w:ind w:firstLineChars="800" w:firstLine="2249"/>
        <w:jc w:val="left"/>
      </w:pPr>
      <w:r>
        <w:rPr>
          <w:rFonts w:ascii="宋体" w:hAnsi="宋体" w:hint="eastAsia"/>
          <w:b/>
          <w:bCs/>
          <w:sz w:val="28"/>
          <w:szCs w:val="30"/>
        </w:rPr>
        <w:t>基金管理人：摩根基金管理（中国）有限公司</w:t>
      </w:r>
    </w:p>
    <w:p w:rsidR="00E61370" w:rsidRDefault="00966571">
      <w:pPr>
        <w:spacing w:line="360" w:lineRule="auto"/>
        <w:ind w:firstLineChars="800" w:firstLine="2249"/>
        <w:jc w:val="left"/>
      </w:pPr>
      <w:r>
        <w:rPr>
          <w:rFonts w:ascii="宋体" w:hAnsi="宋体" w:hint="eastAsia"/>
          <w:b/>
          <w:bCs/>
          <w:sz w:val="28"/>
          <w:szCs w:val="30"/>
        </w:rPr>
        <w:t>基金托管人：中国银行股份有限公司</w:t>
      </w:r>
    </w:p>
    <w:p w:rsidR="00E61370" w:rsidRDefault="00966571">
      <w:pPr>
        <w:spacing w:line="360" w:lineRule="auto"/>
        <w:ind w:firstLineChars="800" w:firstLine="2249"/>
        <w:jc w:val="left"/>
      </w:pPr>
      <w:r>
        <w:rPr>
          <w:rFonts w:ascii="宋体" w:hAnsi="宋体" w:hint="eastAsia"/>
          <w:b/>
          <w:bCs/>
          <w:sz w:val="28"/>
          <w:szCs w:val="30"/>
        </w:rPr>
        <w:t>报告送出日期：2025年4月22日</w:t>
      </w:r>
    </w:p>
    <w:p w:rsidR="00E61370" w:rsidRDefault="00966571">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bookmarkStart w:id="18" w:name="_GoBack"/>
      <w:bookmarkEnd w:id="18"/>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rsidR="00E61370" w:rsidRDefault="00966571">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E61370" w:rsidRDefault="00966571">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663"/>
        <w:gridCol w:w="2494"/>
      </w:tblGrid>
      <w:tr w:rsidR="00E61370">
        <w:trPr>
          <w:divId w:val="1849514375"/>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E61370" w:rsidRDefault="00966571">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szCs w:val="24"/>
                <w:lang w:eastAsia="zh-Hans"/>
              </w:rPr>
              <w:t>摩根科技前沿混合</w:t>
            </w:r>
            <w:r>
              <w:rPr>
                <w:rFonts w:ascii="宋体" w:hAnsi="宋体" w:hint="eastAsia"/>
                <w:lang w:eastAsia="zh-Hans"/>
              </w:rPr>
              <w:t xml:space="preserve"> </w:t>
            </w:r>
          </w:p>
        </w:tc>
      </w:tr>
      <w:tr w:rsidR="00E61370">
        <w:trPr>
          <w:divId w:val="18495143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lang w:eastAsia="zh-Hans"/>
              </w:rPr>
              <w:t>001538</w:t>
            </w:r>
          </w:p>
        </w:tc>
      </w:tr>
      <w:tr w:rsidR="00E61370">
        <w:trPr>
          <w:divId w:val="18495143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lang w:eastAsia="zh-Hans"/>
              </w:rPr>
              <w:t>契约型开放式</w:t>
            </w:r>
          </w:p>
        </w:tc>
      </w:tr>
      <w:tr w:rsidR="00E61370">
        <w:trPr>
          <w:divId w:val="18495143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lang w:eastAsia="zh-Hans"/>
              </w:rPr>
              <w:t>2015年7月9日</w:t>
            </w:r>
          </w:p>
        </w:tc>
      </w:tr>
      <w:tr w:rsidR="00E61370">
        <w:trPr>
          <w:divId w:val="18495143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lang w:eastAsia="zh-Hans"/>
              </w:rPr>
              <w:t>1,258,096,628.49</w:t>
            </w:r>
            <w:r>
              <w:rPr>
                <w:rFonts w:hint="eastAsia"/>
              </w:rPr>
              <w:t>份</w:t>
            </w:r>
            <w:r>
              <w:rPr>
                <w:rFonts w:ascii="宋体" w:hAnsi="宋体" w:hint="eastAsia"/>
                <w:lang w:eastAsia="zh-Hans"/>
              </w:rPr>
              <w:t xml:space="preserve"> </w:t>
            </w:r>
          </w:p>
        </w:tc>
      </w:tr>
      <w:tr w:rsidR="00E61370">
        <w:trPr>
          <w:divId w:val="18495143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lang w:eastAsia="zh-Hans"/>
              </w:rPr>
              <w:t>采用定量及定性研究方法，自下而上优选科技前沿主题上市公司，通过严格的风险控制，力争实现基金资产的长期增值。</w:t>
            </w:r>
          </w:p>
        </w:tc>
      </w:tr>
      <w:tr w:rsidR="00E61370">
        <w:trPr>
          <w:divId w:val="18495143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lang w:eastAsia="zh-Hans"/>
              </w:rPr>
              <w:t>1、 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宋体" w:hAnsi="宋体" w:hint="eastAsia"/>
                <w:lang w:eastAsia="zh-Hans"/>
              </w:rPr>
              <w:br/>
              <w:t>2、股票投资策略</w:t>
            </w:r>
            <w:r>
              <w:rPr>
                <w:rFonts w:ascii="宋体" w:hAnsi="宋体" w:hint="eastAsia"/>
                <w:lang w:eastAsia="zh-Hans"/>
              </w:rPr>
              <w:br/>
              <w:t>本基金将通过系统和深入的基本面研究，密切关注处于科技前沿，通过高精尖科学技术为经济发展带来新增长点的相关行业及公司，重点投资于科技前沿主题相关行业的上市公司，分享中国经济增长模式转变带来的投资机会。</w:t>
            </w:r>
            <w:r>
              <w:rPr>
                <w:rFonts w:ascii="宋体" w:hAnsi="宋体" w:hint="eastAsia"/>
                <w:lang w:eastAsia="zh-Hans"/>
              </w:rPr>
              <w:br/>
            </w:r>
            <w:r>
              <w:rPr>
                <w:rFonts w:ascii="宋体" w:hAnsi="宋体" w:hint="eastAsia"/>
                <w:lang w:eastAsia="zh-Hans"/>
              </w:rPr>
              <w:lastRenderedPageBreak/>
              <w:t>在行业配置层面，本基金将从行业生命周期、行业景气度、行业竞争格局等多角度，综合评估各个行业的投资价值，对基金资产在行业间分配进行安排。</w:t>
            </w:r>
            <w:r>
              <w:rPr>
                <w:rFonts w:ascii="宋体" w:hAnsi="宋体" w:hint="eastAsia"/>
                <w:lang w:eastAsia="zh-Hans"/>
              </w:rPr>
              <w:br/>
              <w:t>在个股选择层面，本基金将主要采用“自下而上”的方法，在备选行业内部通过定量与定性相结合的分析方法，综合分析上市公司的业绩质量、成长性和估值水平等，精选具有良好成长性、估值合理的个股。</w:t>
            </w:r>
            <w:r>
              <w:rPr>
                <w:rFonts w:ascii="宋体" w:hAnsi="宋体" w:hint="eastAsia"/>
                <w:lang w:eastAsia="zh-Hans"/>
              </w:rPr>
              <w:br/>
              <w:t>3、 固定收益类投资策略</w:t>
            </w:r>
            <w:r>
              <w:rPr>
                <w:rFonts w:ascii="宋体" w:hAnsi="宋体" w:hint="eastAsia"/>
                <w:lang w:eastAsia="zh-Hans"/>
              </w:rPr>
              <w:br/>
              <w:t>对于固定收益类资产的选择，本基金将以价值分析为主线，在综合研究的基础上实施积极主动的组合管理，并主要通过类属配置与债券选择两个层次进行投资管理。</w:t>
            </w:r>
            <w:r>
              <w:rPr>
                <w:rFonts w:ascii="宋体" w:hAnsi="宋体" w:hint="eastAsia"/>
                <w:lang w:eastAsia="zh-Hans"/>
              </w:rPr>
              <w:br/>
              <w:t>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r>
              <w:rPr>
                <w:rFonts w:ascii="宋体" w:hAnsi="宋体" w:hint="eastAsia"/>
                <w:lang w:eastAsia="zh-Hans"/>
              </w:rPr>
              <w:br/>
              <w:t>4、其他投资策略：包括可转换债券投资策略、中小企业私募债投资策略、股指期货投资策略、股票期权投资策略、资产支持证券投资策略、存托凭证投资策略。</w:t>
            </w:r>
          </w:p>
        </w:tc>
      </w:tr>
      <w:tr w:rsidR="00E61370">
        <w:trPr>
          <w:divId w:val="18495143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lang w:eastAsia="zh-Hans"/>
              </w:rPr>
              <w:t>中证800指数收益率*60%+中债总指数收益率*40%</w:t>
            </w:r>
          </w:p>
        </w:tc>
      </w:tr>
      <w:tr w:rsidR="00E61370">
        <w:trPr>
          <w:divId w:val="18495143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lang w:eastAsia="zh-Hans"/>
              </w:rPr>
              <w:t>本基金属于混合型基金产品，预期风险和收益水平高于债券型基金和货币市场基金，低于股票型基金，属于较高风险收益水平的基金产品。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E61370">
        <w:trPr>
          <w:divId w:val="18495143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lang w:eastAsia="zh-Hans"/>
              </w:rPr>
              <w:t>摩根基金管理（中国）有限公司</w:t>
            </w:r>
          </w:p>
        </w:tc>
      </w:tr>
      <w:tr w:rsidR="00E61370">
        <w:trPr>
          <w:divId w:val="184951437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lang w:eastAsia="zh-Hans"/>
              </w:rPr>
              <w:t>中国银行股份有限公司</w:t>
            </w:r>
          </w:p>
        </w:tc>
      </w:tr>
      <w:tr w:rsidR="00E61370">
        <w:trPr>
          <w:divId w:val="184951437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bookmarkStart w:id="34"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pPr>
            <w:r>
              <w:rPr>
                <w:rFonts w:ascii="宋体" w:hAnsi="宋体" w:hint="eastAsia"/>
                <w:lang w:eastAsia="zh-Hans"/>
              </w:rPr>
              <w:t>摩根科技前沿混合A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pPr>
            <w:r>
              <w:rPr>
                <w:rFonts w:ascii="宋体" w:hAnsi="宋体" w:hint="eastAsia"/>
                <w:lang w:eastAsia="zh-Hans"/>
              </w:rPr>
              <w:t>摩根科技前沿混合C</w:t>
            </w:r>
            <w:r>
              <w:rPr>
                <w:rFonts w:ascii="宋体" w:hAnsi="宋体" w:hint="eastAsia"/>
                <w:kern w:val="0"/>
                <w:sz w:val="20"/>
                <w:lang w:eastAsia="zh-Hans"/>
              </w:rPr>
              <w:t xml:space="preserve"> </w:t>
            </w:r>
          </w:p>
        </w:tc>
      </w:tr>
      <w:tr w:rsidR="00E61370">
        <w:trPr>
          <w:divId w:val="184951437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pPr>
            <w:r>
              <w:rPr>
                <w:rFonts w:ascii="宋体" w:hAnsi="宋体" w:hint="eastAsia"/>
                <w:lang w:eastAsia="zh-Hans"/>
              </w:rPr>
              <w:t>001538</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pPr>
            <w:r>
              <w:rPr>
                <w:rFonts w:ascii="宋体" w:hAnsi="宋体" w:hint="eastAsia"/>
                <w:lang w:eastAsia="zh-Hans"/>
              </w:rPr>
              <w:t>014964</w:t>
            </w:r>
            <w:r>
              <w:rPr>
                <w:rFonts w:ascii="宋体" w:hAnsi="宋体" w:hint="eastAsia"/>
                <w:kern w:val="0"/>
                <w:sz w:val="20"/>
                <w:lang w:eastAsia="zh-Hans"/>
              </w:rPr>
              <w:t xml:space="preserve"> </w:t>
            </w:r>
          </w:p>
        </w:tc>
      </w:tr>
      <w:bookmarkEnd w:id="34"/>
      <w:bookmarkEnd w:id="33"/>
      <w:tr w:rsidR="00E61370">
        <w:trPr>
          <w:divId w:val="184951437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61370" w:rsidRDefault="00966571">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lang w:eastAsia="zh-Hans"/>
              </w:rPr>
              <w:t>1,256,588,139.82</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lang w:eastAsia="zh-Hans"/>
              </w:rPr>
              <w:t>1,508,488.67</w:t>
            </w:r>
            <w:r>
              <w:rPr>
                <w:rFonts w:hint="eastAsia"/>
              </w:rPr>
              <w:t>份</w:t>
            </w:r>
            <w:r>
              <w:rPr>
                <w:rFonts w:ascii="宋体" w:hAnsi="宋体" w:hint="eastAsia"/>
                <w:lang w:eastAsia="zh-Hans"/>
              </w:rPr>
              <w:t xml:space="preserve"> </w:t>
            </w:r>
          </w:p>
        </w:tc>
      </w:tr>
    </w:tbl>
    <w:p w:rsidR="00E61370" w:rsidRDefault="00966571">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E61370" w:rsidRDefault="00966571">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lastRenderedPageBreak/>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E61370" w:rsidRDefault="00966571">
      <w:pPr>
        <w:jc w:val="right"/>
        <w:divId w:val="548537094"/>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E61370">
        <w:trPr>
          <w:divId w:val="548537094"/>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E61370" w:rsidRDefault="00966571">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E61370" w:rsidRDefault="00966571">
            <w:pPr>
              <w:pStyle w:val="a5"/>
              <w:jc w:val="center"/>
            </w:pPr>
            <w:r>
              <w:rPr>
                <w:rFonts w:hint="eastAsia"/>
                <w:kern w:val="2"/>
                <w:sz w:val="21"/>
                <w:szCs w:val="24"/>
                <w:lang w:eastAsia="zh-Hans"/>
              </w:rPr>
              <w:t xml:space="preserve">报告期（2025年1月1日-2025年3月31日） </w:t>
            </w:r>
          </w:p>
        </w:tc>
      </w:tr>
      <w:tr w:rsidR="00E61370">
        <w:trPr>
          <w:divId w:val="548537094"/>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1370" w:rsidRDefault="00E61370">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E61370" w:rsidRDefault="00966571">
            <w:pPr>
              <w:jc w:val="center"/>
            </w:pPr>
            <w:r>
              <w:rPr>
                <w:rFonts w:ascii="宋体" w:hAnsi="宋体" w:hint="eastAsia"/>
                <w:szCs w:val="24"/>
                <w:lang w:eastAsia="zh-Hans"/>
              </w:rPr>
              <w:t>摩根科技前沿混合A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E61370" w:rsidRDefault="00966571">
            <w:pPr>
              <w:jc w:val="center"/>
            </w:pPr>
            <w:r>
              <w:rPr>
                <w:rFonts w:ascii="宋体" w:hAnsi="宋体" w:hint="eastAsia"/>
                <w:szCs w:val="24"/>
                <w:lang w:eastAsia="zh-Hans"/>
              </w:rPr>
              <w:t>摩根科技前沿混合C</w:t>
            </w:r>
          </w:p>
        </w:tc>
      </w:tr>
      <w:tr w:rsidR="00E61370">
        <w:trPr>
          <w:divId w:val="54853709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61370" w:rsidRDefault="00966571">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61370" w:rsidRDefault="00966571">
            <w:pPr>
              <w:jc w:val="right"/>
            </w:pPr>
            <w:r>
              <w:rPr>
                <w:rFonts w:ascii="宋体" w:hAnsi="宋体" w:hint="eastAsia"/>
                <w:szCs w:val="24"/>
                <w:lang w:eastAsia="zh-Hans"/>
              </w:rPr>
              <w:t>-45,917,907.33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61370" w:rsidRDefault="00966571">
            <w:pPr>
              <w:jc w:val="right"/>
            </w:pPr>
            <w:r>
              <w:rPr>
                <w:rFonts w:ascii="宋体" w:hAnsi="宋体" w:hint="eastAsia"/>
                <w:szCs w:val="24"/>
                <w:lang w:eastAsia="zh-Hans"/>
              </w:rPr>
              <w:t>-58,801.21</w:t>
            </w:r>
          </w:p>
        </w:tc>
      </w:tr>
      <w:tr w:rsidR="00E61370">
        <w:trPr>
          <w:divId w:val="54853709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61370" w:rsidRDefault="00966571">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61370" w:rsidRDefault="00966571">
            <w:pPr>
              <w:jc w:val="right"/>
            </w:pPr>
            <w:r>
              <w:rPr>
                <w:rFonts w:ascii="宋体" w:hAnsi="宋体" w:hint="eastAsia"/>
                <w:szCs w:val="24"/>
                <w:lang w:eastAsia="zh-Hans"/>
              </w:rPr>
              <w:t>69,889,464.67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61370" w:rsidRDefault="00966571">
            <w:pPr>
              <w:jc w:val="right"/>
            </w:pPr>
            <w:r>
              <w:rPr>
                <w:rFonts w:ascii="宋体" w:hAnsi="宋体" w:hint="eastAsia"/>
                <w:szCs w:val="24"/>
                <w:lang w:eastAsia="zh-Hans"/>
              </w:rPr>
              <w:t>81,457.17</w:t>
            </w:r>
          </w:p>
        </w:tc>
      </w:tr>
      <w:tr w:rsidR="00E61370">
        <w:trPr>
          <w:divId w:val="54853709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61370" w:rsidRDefault="00966571">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61370" w:rsidRDefault="00966571">
            <w:pPr>
              <w:jc w:val="right"/>
            </w:pPr>
            <w:r>
              <w:rPr>
                <w:rFonts w:ascii="宋体" w:hAnsi="宋体" w:hint="eastAsia"/>
                <w:szCs w:val="24"/>
                <w:lang w:eastAsia="zh-Hans"/>
              </w:rPr>
              <w:t>0.0544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61370" w:rsidRDefault="00966571">
            <w:pPr>
              <w:jc w:val="right"/>
            </w:pPr>
            <w:r>
              <w:rPr>
                <w:rFonts w:ascii="宋体" w:hAnsi="宋体" w:hint="eastAsia"/>
                <w:szCs w:val="24"/>
                <w:lang w:eastAsia="zh-Hans"/>
              </w:rPr>
              <w:t>0.0527</w:t>
            </w:r>
          </w:p>
        </w:tc>
      </w:tr>
      <w:tr w:rsidR="00E61370">
        <w:trPr>
          <w:divId w:val="54853709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61370" w:rsidRDefault="00966571">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61370" w:rsidRDefault="00966571">
            <w:pPr>
              <w:jc w:val="right"/>
            </w:pPr>
            <w:r>
              <w:rPr>
                <w:rFonts w:ascii="宋体" w:hAnsi="宋体" w:hint="eastAsia"/>
                <w:szCs w:val="24"/>
                <w:lang w:eastAsia="zh-Hans"/>
              </w:rPr>
              <w:t>2,627,851,720.12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61370" w:rsidRDefault="00966571">
            <w:pPr>
              <w:jc w:val="right"/>
            </w:pPr>
            <w:r>
              <w:rPr>
                <w:rFonts w:ascii="宋体" w:hAnsi="宋体" w:hint="eastAsia"/>
                <w:szCs w:val="24"/>
                <w:lang w:eastAsia="zh-Hans"/>
              </w:rPr>
              <w:t>3,105,899.40</w:t>
            </w:r>
          </w:p>
        </w:tc>
      </w:tr>
      <w:tr w:rsidR="00E61370">
        <w:trPr>
          <w:divId w:val="54853709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61370" w:rsidRDefault="00966571">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61370" w:rsidRDefault="00966571">
            <w:pPr>
              <w:jc w:val="right"/>
            </w:pPr>
            <w:r>
              <w:rPr>
                <w:rFonts w:ascii="宋体" w:hAnsi="宋体" w:hint="eastAsia"/>
                <w:szCs w:val="24"/>
                <w:lang w:eastAsia="zh-Hans"/>
              </w:rPr>
              <w:t>2.0913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61370" w:rsidRDefault="00966571">
            <w:pPr>
              <w:jc w:val="right"/>
            </w:pPr>
            <w:r>
              <w:rPr>
                <w:rFonts w:ascii="宋体" w:hAnsi="宋体" w:hint="eastAsia"/>
                <w:szCs w:val="24"/>
                <w:lang w:eastAsia="zh-Hans"/>
              </w:rPr>
              <w:t>2.0589</w:t>
            </w:r>
          </w:p>
        </w:tc>
      </w:tr>
    </w:tbl>
    <w:p w:rsidR="00E61370" w:rsidRDefault="00966571">
      <w:pPr>
        <w:wordWrap w:val="0"/>
        <w:spacing w:line="360" w:lineRule="auto"/>
        <w:jc w:val="left"/>
        <w:divId w:val="1947619407"/>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E61370" w:rsidRDefault="00966571">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E61370" w:rsidRDefault="00966571">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E61370" w:rsidRDefault="00966571">
      <w:pPr>
        <w:spacing w:line="360" w:lineRule="auto"/>
        <w:jc w:val="center"/>
        <w:divId w:val="18818479"/>
      </w:pPr>
      <w:r>
        <w:rPr>
          <w:rFonts w:ascii="宋体" w:hAnsi="宋体" w:hint="eastAsia"/>
        </w:rPr>
        <w:t>摩根科技前沿混合A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61370">
        <w:trPr>
          <w:divId w:val="1881847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370" w:rsidRDefault="00966571">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②－④ </w:t>
            </w:r>
          </w:p>
        </w:tc>
      </w:tr>
      <w:tr w:rsidR="00E61370">
        <w:trPr>
          <w:divId w:val="188184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2.65%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0.58% </w:t>
            </w:r>
          </w:p>
        </w:tc>
        <w:tc>
          <w:tcPr>
            <w:tcW w:w="728" w:type="pct"/>
            <w:tcBorders>
              <w:top w:val="single" w:sz="4" w:space="0" w:color="auto"/>
              <w:left w:val="single" w:sz="4" w:space="0" w:color="auto"/>
              <w:bottom w:val="single" w:sz="4" w:space="0" w:color="auto"/>
              <w:right w:val="single" w:sz="4" w:space="0" w:color="auto"/>
            </w:tcBorders>
            <w:vAlign w:val="center"/>
            <w:hideMark/>
          </w:tcPr>
          <w:p w:rsidR="00E61370" w:rsidRDefault="00966571">
            <w:pPr>
              <w:spacing w:line="360" w:lineRule="auto"/>
              <w:jc w:val="right"/>
            </w:pPr>
            <w:r>
              <w:rPr>
                <w:rFonts w:ascii="宋体" w:hAnsi="宋体" w:hint="eastAsia"/>
              </w:rPr>
              <w:t xml:space="preserve">3.43%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0.59% </w:t>
            </w:r>
          </w:p>
        </w:tc>
      </w:tr>
      <w:tr w:rsidR="00E61370">
        <w:trPr>
          <w:divId w:val="188184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rsidR="00E61370" w:rsidRDefault="00966571">
            <w:pPr>
              <w:spacing w:line="360" w:lineRule="auto"/>
              <w:jc w:val="right"/>
            </w:pPr>
            <w:r>
              <w:rPr>
                <w:rFonts w:ascii="宋体" w:hAnsi="宋体" w:hint="eastAsia"/>
              </w:rPr>
              <w:t xml:space="preserve">-0.71%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0.53% </w:t>
            </w:r>
          </w:p>
        </w:tc>
      </w:tr>
      <w:tr w:rsidR="00E61370">
        <w:trPr>
          <w:divId w:val="188184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9.73%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7.12%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vAlign w:val="center"/>
            <w:hideMark/>
          </w:tcPr>
          <w:p w:rsidR="00E61370" w:rsidRDefault="00966571">
            <w:pPr>
              <w:spacing w:line="360" w:lineRule="auto"/>
              <w:jc w:val="right"/>
            </w:pPr>
            <w:r>
              <w:rPr>
                <w:rFonts w:ascii="宋体" w:hAnsi="宋体" w:hint="eastAsia"/>
              </w:rPr>
              <w:t xml:space="preserve">2.61%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0.39% </w:t>
            </w:r>
          </w:p>
        </w:tc>
      </w:tr>
      <w:tr w:rsidR="00E61370">
        <w:trPr>
          <w:divId w:val="188184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-18.40%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-2.26%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0.69% </w:t>
            </w:r>
          </w:p>
        </w:tc>
        <w:tc>
          <w:tcPr>
            <w:tcW w:w="728" w:type="pct"/>
            <w:tcBorders>
              <w:top w:val="single" w:sz="4" w:space="0" w:color="auto"/>
              <w:left w:val="single" w:sz="4" w:space="0" w:color="auto"/>
              <w:bottom w:val="single" w:sz="4" w:space="0" w:color="auto"/>
              <w:right w:val="single" w:sz="4" w:space="0" w:color="auto"/>
            </w:tcBorders>
            <w:vAlign w:val="center"/>
            <w:hideMark/>
          </w:tcPr>
          <w:p w:rsidR="00E61370" w:rsidRDefault="00966571">
            <w:pPr>
              <w:spacing w:line="360" w:lineRule="auto"/>
              <w:jc w:val="right"/>
            </w:pPr>
            <w:r>
              <w:rPr>
                <w:rFonts w:ascii="宋体" w:hAnsi="宋体" w:hint="eastAsia"/>
              </w:rPr>
              <w:t xml:space="preserve">-16.14%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0.44% </w:t>
            </w:r>
          </w:p>
        </w:tc>
      </w:tr>
      <w:tr w:rsidR="00E61370">
        <w:trPr>
          <w:divId w:val="188184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34.58%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6.81%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0.70% </w:t>
            </w:r>
          </w:p>
        </w:tc>
        <w:tc>
          <w:tcPr>
            <w:tcW w:w="728" w:type="pct"/>
            <w:tcBorders>
              <w:top w:val="single" w:sz="4" w:space="0" w:color="auto"/>
              <w:left w:val="single" w:sz="4" w:space="0" w:color="auto"/>
              <w:bottom w:val="single" w:sz="4" w:space="0" w:color="auto"/>
              <w:right w:val="single" w:sz="4" w:space="0" w:color="auto"/>
            </w:tcBorders>
            <w:vAlign w:val="center"/>
            <w:hideMark/>
          </w:tcPr>
          <w:p w:rsidR="00E61370" w:rsidRDefault="00966571">
            <w:pPr>
              <w:spacing w:line="360" w:lineRule="auto"/>
              <w:jc w:val="right"/>
            </w:pPr>
            <w:r>
              <w:rPr>
                <w:rFonts w:ascii="宋体" w:hAnsi="宋体" w:hint="eastAsia"/>
              </w:rPr>
              <w:t xml:space="preserve">27.77%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0.63% </w:t>
            </w:r>
          </w:p>
        </w:tc>
      </w:tr>
      <w:tr w:rsidR="00E61370">
        <w:trPr>
          <w:divId w:val="188184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109.13%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5.46%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rsidR="00E61370" w:rsidRDefault="00966571">
            <w:pPr>
              <w:spacing w:line="360" w:lineRule="auto"/>
              <w:jc w:val="right"/>
            </w:pPr>
            <w:r>
              <w:rPr>
                <w:rFonts w:ascii="宋体" w:hAnsi="宋体" w:hint="eastAsia"/>
              </w:rPr>
              <w:t xml:space="preserve">103.67%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0.58% </w:t>
            </w:r>
          </w:p>
        </w:tc>
      </w:tr>
    </w:tbl>
    <w:p w:rsidR="00E61370" w:rsidRDefault="00966571">
      <w:pPr>
        <w:spacing w:line="360" w:lineRule="auto"/>
        <w:jc w:val="center"/>
        <w:divId w:val="545337781"/>
      </w:pPr>
      <w:r>
        <w:rPr>
          <w:rFonts w:ascii="宋体" w:hAnsi="宋体" w:hint="eastAsia"/>
        </w:rPr>
        <w:t>摩根科技前沿混合C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61370">
        <w:trPr>
          <w:divId w:val="54533778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370" w:rsidRDefault="00966571">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②－④ </w:t>
            </w:r>
          </w:p>
        </w:tc>
      </w:tr>
      <w:tr w:rsidR="00E61370">
        <w:trPr>
          <w:divId w:val="54533778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2.52%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0.58% </w:t>
            </w:r>
          </w:p>
        </w:tc>
        <w:tc>
          <w:tcPr>
            <w:tcW w:w="728" w:type="pct"/>
            <w:tcBorders>
              <w:top w:val="single" w:sz="4" w:space="0" w:color="auto"/>
              <w:left w:val="single" w:sz="4" w:space="0" w:color="auto"/>
              <w:bottom w:val="single" w:sz="4" w:space="0" w:color="auto"/>
              <w:right w:val="single" w:sz="4" w:space="0" w:color="auto"/>
            </w:tcBorders>
            <w:vAlign w:val="center"/>
            <w:hideMark/>
          </w:tcPr>
          <w:p w:rsidR="00E61370" w:rsidRDefault="00966571">
            <w:pPr>
              <w:spacing w:line="360" w:lineRule="auto"/>
              <w:jc w:val="right"/>
            </w:pPr>
            <w:r>
              <w:rPr>
                <w:rFonts w:ascii="宋体" w:hAnsi="宋体" w:hint="eastAsia"/>
              </w:rPr>
              <w:t xml:space="preserve">3.30%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0.59% </w:t>
            </w:r>
          </w:p>
        </w:tc>
      </w:tr>
      <w:tr w:rsidR="00E61370">
        <w:trPr>
          <w:divId w:val="54533778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lastRenderedPageBreak/>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-1.66%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rsidR="00E61370" w:rsidRDefault="00966571">
            <w:pPr>
              <w:spacing w:line="360" w:lineRule="auto"/>
              <w:jc w:val="right"/>
            </w:pPr>
            <w:r>
              <w:rPr>
                <w:rFonts w:ascii="宋体" w:hAnsi="宋体" w:hint="eastAsia"/>
              </w:rPr>
              <w:t xml:space="preserve">-0.96%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0.52% </w:t>
            </w:r>
          </w:p>
        </w:tc>
      </w:tr>
      <w:tr w:rsidR="00E61370">
        <w:trPr>
          <w:divId w:val="54533778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9.18%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7.12%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vAlign w:val="center"/>
            <w:hideMark/>
          </w:tcPr>
          <w:p w:rsidR="00E61370" w:rsidRDefault="00966571">
            <w:pPr>
              <w:spacing w:line="360" w:lineRule="auto"/>
              <w:jc w:val="right"/>
            </w:pPr>
            <w:r>
              <w:rPr>
                <w:rFonts w:ascii="宋体" w:hAnsi="宋体" w:hint="eastAsia"/>
              </w:rPr>
              <w:t xml:space="preserve">2.06%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0.39% </w:t>
            </w:r>
          </w:p>
        </w:tc>
      </w:tr>
      <w:tr w:rsidR="00E61370">
        <w:trPr>
          <w:divId w:val="54533778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-19.61%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-2.26%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0.69% </w:t>
            </w:r>
          </w:p>
        </w:tc>
        <w:tc>
          <w:tcPr>
            <w:tcW w:w="728" w:type="pct"/>
            <w:tcBorders>
              <w:top w:val="single" w:sz="4" w:space="0" w:color="auto"/>
              <w:left w:val="single" w:sz="4" w:space="0" w:color="auto"/>
              <w:bottom w:val="single" w:sz="4" w:space="0" w:color="auto"/>
              <w:right w:val="single" w:sz="4" w:space="0" w:color="auto"/>
            </w:tcBorders>
            <w:vAlign w:val="center"/>
            <w:hideMark/>
          </w:tcPr>
          <w:p w:rsidR="00E61370" w:rsidRDefault="00966571">
            <w:pPr>
              <w:spacing w:line="360" w:lineRule="auto"/>
              <w:jc w:val="right"/>
            </w:pPr>
            <w:r>
              <w:rPr>
                <w:rFonts w:ascii="宋体" w:hAnsi="宋体" w:hint="eastAsia"/>
              </w:rPr>
              <w:t xml:space="preserve">-17.35%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0.44% </w:t>
            </w:r>
          </w:p>
        </w:tc>
      </w:tr>
      <w:tr w:rsidR="00E61370">
        <w:trPr>
          <w:divId w:val="54533778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-29.70%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-7.57%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0.70% </w:t>
            </w:r>
          </w:p>
        </w:tc>
        <w:tc>
          <w:tcPr>
            <w:tcW w:w="728" w:type="pct"/>
            <w:tcBorders>
              <w:top w:val="single" w:sz="4" w:space="0" w:color="auto"/>
              <w:left w:val="single" w:sz="4" w:space="0" w:color="auto"/>
              <w:bottom w:val="single" w:sz="4" w:space="0" w:color="auto"/>
              <w:right w:val="single" w:sz="4" w:space="0" w:color="auto"/>
            </w:tcBorders>
            <w:vAlign w:val="center"/>
            <w:hideMark/>
          </w:tcPr>
          <w:p w:rsidR="00E61370" w:rsidRDefault="00966571">
            <w:pPr>
              <w:spacing w:line="360" w:lineRule="auto"/>
              <w:jc w:val="right"/>
            </w:pPr>
            <w:r>
              <w:rPr>
                <w:rFonts w:ascii="宋体" w:hAnsi="宋体" w:hint="eastAsia"/>
              </w:rPr>
              <w:t xml:space="preserve">-22.13%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 xml:space="preserve">0.47% </w:t>
            </w:r>
          </w:p>
        </w:tc>
      </w:tr>
    </w:tbl>
    <w:p w:rsidR="00E61370" w:rsidRDefault="00966571">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E61370" w:rsidRDefault="00966571">
      <w:pPr>
        <w:spacing w:line="360" w:lineRule="auto"/>
        <w:jc w:val="left"/>
        <w:divId w:val="780878316"/>
      </w:pPr>
      <w:bookmarkStart w:id="71" w:name="m07_04_07_09"/>
      <w:bookmarkStart w:id="72"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E61370" w:rsidRDefault="00966571">
      <w:pPr>
        <w:spacing w:line="360" w:lineRule="auto"/>
        <w:jc w:val="left"/>
        <w:divId w:val="125591937"/>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E61370" w:rsidRDefault="00966571">
      <w:pPr>
        <w:spacing w:line="360" w:lineRule="auto"/>
      </w:pPr>
      <w:r>
        <w:rPr>
          <w:rFonts w:ascii="宋体" w:hAnsi="宋体" w:hint="eastAsia"/>
        </w:rPr>
        <w:t>注：</w:t>
      </w:r>
      <w:r>
        <w:rPr>
          <w:rFonts w:ascii="宋体" w:hAnsi="宋体" w:hint="eastAsia"/>
          <w:lang w:eastAsia="zh-Hans"/>
        </w:rPr>
        <w:t>本基金合同生效日为2015年7月9日，图示的时间段为合同生效日至本报告期末。</w:t>
      </w:r>
      <w:r>
        <w:rPr>
          <w:rFonts w:ascii="宋体" w:hAnsi="宋体" w:hint="eastAsia"/>
          <w:lang w:eastAsia="zh-Hans"/>
        </w:rPr>
        <w:br/>
      </w:r>
      <w:r>
        <w:rPr>
          <w:rFonts w:ascii="宋体" w:hAnsi="宋体" w:hint="eastAsia"/>
          <w:lang w:eastAsia="zh-Hans"/>
        </w:rPr>
        <w:lastRenderedPageBreak/>
        <w:t xml:space="preserve">　　本基金自 2022年1月25日起增加C类份额，相关数据按实际存续期计算。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rsidR="00E61370" w:rsidRDefault="00966571">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E61370" w:rsidRDefault="00966571">
      <w:pPr>
        <w:pStyle w:val="XBRLTitle2"/>
        <w:spacing w:before="156" w:line="360" w:lineRule="auto"/>
        <w:ind w:left="454"/>
      </w:pPr>
      <w:bookmarkStart w:id="81" w:name="_Toc17898187"/>
      <w:bookmarkStart w:id="82" w:name="_Toc17897943"/>
      <w:bookmarkStart w:id="83" w:name="_Toc513295852"/>
      <w:bookmarkStart w:id="84" w:name="_Toc513295900"/>
      <w:bookmarkStart w:id="85" w:name="_Toc512519488"/>
      <w:bookmarkStart w:id="86" w:name="_Toc490050009"/>
      <w:bookmarkStart w:id="87" w:name="_Toc438646459"/>
      <w:bookmarkStart w:id="88" w:name="_Toc481075055"/>
      <w:proofErr w:type="spellStart"/>
      <w:r>
        <w:rPr>
          <w:rFonts w:hAnsi="宋体" w:hint="eastAsia"/>
        </w:rPr>
        <w:t>基金经理（或基金经理小组）简介</w:t>
      </w:r>
      <w:bookmarkEnd w:id="81"/>
      <w:bookmarkEnd w:id="82"/>
      <w:bookmarkEnd w:id="83"/>
      <w:bookmarkEnd w:id="8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E61370">
        <w:trPr>
          <w:divId w:val="129298353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370" w:rsidRDefault="00966571">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370" w:rsidRDefault="00966571">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370" w:rsidRDefault="00966571">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370" w:rsidRDefault="00966571">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370" w:rsidRDefault="00966571">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E61370">
        <w:trPr>
          <w:divId w:val="129298353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1370" w:rsidRDefault="00E6137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370" w:rsidRDefault="00E6137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370" w:rsidRDefault="00966571">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370" w:rsidRDefault="00966571">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370" w:rsidRDefault="00E6137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370" w:rsidRDefault="00E61370">
            <w:pPr>
              <w:widowControl/>
              <w:jc w:val="left"/>
            </w:pPr>
          </w:p>
        </w:tc>
      </w:tr>
      <w:tr w:rsidR="00E61370">
        <w:trPr>
          <w:divId w:val="129298353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李德辉</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2016年11月18日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left"/>
            </w:pPr>
            <w:r>
              <w:rPr>
                <w:rFonts w:ascii="宋体" w:hAnsi="宋体" w:hint="eastAsia"/>
                <w:szCs w:val="24"/>
                <w:lang w:eastAsia="zh-Hans"/>
              </w:rPr>
              <w:t>李德辉先生曾任农银汇理基金管理有限公司研究员。2014年8月起加入摩根基金管理（中国）有限公司（原上投摩根基金管理有限公司），历任研究员、行业专家兼基金经理助理、基金经理、高级基金经理，现任资深基金经理。</w:t>
            </w:r>
          </w:p>
        </w:tc>
      </w:tr>
    </w:tbl>
    <w:p w:rsidR="00E61370" w:rsidRDefault="00966571">
      <w:pPr>
        <w:wordWrap w:val="0"/>
        <w:spacing w:line="360" w:lineRule="auto"/>
        <w:jc w:val="left"/>
        <w:divId w:val="669060917"/>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E61370" w:rsidRDefault="00966571">
      <w:pPr>
        <w:pStyle w:val="XBRLTitle3"/>
        <w:spacing w:before="156"/>
        <w:ind w:left="0"/>
        <w:divId w:val="516702450"/>
      </w:pPr>
      <w:bookmarkStart w:id="90" w:name="_Toc5134656621"/>
      <w:proofErr w:type="spellStart"/>
      <w:r>
        <w:rPr>
          <w:rFonts w:hAnsi="宋体" w:hint="eastAsia"/>
        </w:rPr>
        <w:t>期末兼任私募资产管理计划投资经理的基金经理同时管理的产品情况</w:t>
      </w:r>
      <w:bookmarkEnd w:id="85"/>
      <w:bookmarkEnd w:id="86"/>
      <w:bookmarkEnd w:id="87"/>
      <w:bookmarkEnd w:id="88"/>
      <w:bookmarkEnd w:id="90"/>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E61370">
        <w:trPr>
          <w:divId w:val="783619760"/>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61370" w:rsidRDefault="00966571">
            <w:pPr>
              <w:snapToGrid w:val="0"/>
              <w:jc w:val="center"/>
            </w:pPr>
            <w:bookmarkStart w:id="91"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61370" w:rsidRDefault="00966571">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61370" w:rsidRDefault="00966571">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61370" w:rsidRDefault="00966571">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61370" w:rsidRDefault="00966571">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E61370">
        <w:trPr>
          <w:divId w:val="783619760"/>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pPr>
              <w:jc w:val="center"/>
            </w:pPr>
            <w:r>
              <w:rPr>
                <w:rFonts w:ascii="宋体" w:hAnsi="宋体" w:hint="eastAsia"/>
                <w:szCs w:val="24"/>
              </w:rPr>
              <w:t>李德辉</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pPr>
              <w:jc w:val="right"/>
            </w:pPr>
            <w:r>
              <w:rPr>
                <w:rFonts w:ascii="宋体" w:hAnsi="宋体" w:hint="eastAsia"/>
                <w:szCs w:val="24"/>
              </w:rPr>
              <w:t>6</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pPr>
              <w:jc w:val="right"/>
            </w:pPr>
            <w:r>
              <w:rPr>
                <w:rFonts w:ascii="宋体" w:hAnsi="宋体" w:hint="eastAsia"/>
                <w:szCs w:val="24"/>
              </w:rPr>
              <w:t>6,714,778,904.72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pPr>
              <w:jc w:val="center"/>
            </w:pPr>
            <w:r>
              <w:rPr>
                <w:rFonts w:ascii="宋体" w:hAnsi="宋体" w:hint="eastAsia"/>
                <w:szCs w:val="24"/>
              </w:rPr>
              <w:t>2016-11-18</w:t>
            </w:r>
          </w:p>
        </w:tc>
      </w:tr>
      <w:tr w:rsidR="00E61370">
        <w:trPr>
          <w:divId w:val="783619760"/>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61370" w:rsidRDefault="00E61370">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pPr>
              <w:jc w:val="right"/>
            </w:pPr>
            <w:r>
              <w:rPr>
                <w:rFonts w:ascii="宋体" w:hAnsi="宋体" w:hint="eastAsia"/>
                <w:szCs w:val="24"/>
              </w:rPr>
              <w:t>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pPr>
              <w:jc w:val="right"/>
            </w:pPr>
            <w:r>
              <w:rPr>
                <w:rFonts w:ascii="宋体" w:hAnsi="宋体" w:hint="eastAsia"/>
                <w:szCs w:val="24"/>
              </w:rPr>
              <w:t>24,635,439.09</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pPr>
              <w:jc w:val="center"/>
            </w:pPr>
            <w:r>
              <w:rPr>
                <w:rFonts w:ascii="宋体" w:hAnsi="宋体" w:hint="eastAsia"/>
                <w:szCs w:val="24"/>
              </w:rPr>
              <w:t>2022-11-22</w:t>
            </w:r>
          </w:p>
        </w:tc>
      </w:tr>
      <w:tr w:rsidR="00E61370">
        <w:trPr>
          <w:divId w:val="783619760"/>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61370" w:rsidRDefault="00E61370">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pPr>
              <w:jc w:val="center"/>
            </w:pPr>
            <w:r>
              <w:rPr>
                <w:rFonts w:ascii="宋体" w:hAnsi="宋体" w:hint="eastAsia"/>
                <w:szCs w:val="24"/>
              </w:rPr>
              <w:t>-</w:t>
            </w:r>
          </w:p>
        </w:tc>
      </w:tr>
      <w:tr w:rsidR="00E61370">
        <w:trPr>
          <w:divId w:val="783619760"/>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61370" w:rsidRDefault="00E61370">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pPr>
              <w:jc w:val="right"/>
            </w:pPr>
            <w:r>
              <w:rPr>
                <w:rFonts w:ascii="宋体" w:hAnsi="宋体" w:hint="eastAsia"/>
                <w:szCs w:val="24"/>
              </w:rPr>
              <w:t>8</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pPr>
              <w:jc w:val="right"/>
            </w:pPr>
            <w:r>
              <w:rPr>
                <w:rFonts w:ascii="宋体" w:hAnsi="宋体" w:hint="eastAsia"/>
                <w:szCs w:val="24"/>
              </w:rPr>
              <w:t>6,739,414,343.81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1370" w:rsidRDefault="00966571">
            <w:pPr>
              <w:jc w:val="center"/>
            </w:pPr>
            <w:r>
              <w:rPr>
                <w:rFonts w:ascii="宋体" w:hAnsi="宋体" w:hint="eastAsia"/>
                <w:szCs w:val="24"/>
              </w:rPr>
              <w:t xml:space="preserve">- </w:t>
            </w:r>
          </w:p>
        </w:tc>
      </w:tr>
    </w:tbl>
    <w:p w:rsidR="00E61370" w:rsidRDefault="00966571">
      <w:pPr>
        <w:pStyle w:val="XBRLTitle2"/>
        <w:spacing w:before="156" w:line="360" w:lineRule="auto"/>
        <w:ind w:left="454"/>
      </w:pPr>
      <w:bookmarkStart w:id="92" w:name="_Toc17898188"/>
      <w:bookmarkStart w:id="93" w:name="_Toc17897944"/>
      <w:bookmarkStart w:id="94" w:name="_Toc481075056"/>
      <w:bookmarkStart w:id="95" w:name="_Toc438646460"/>
      <w:bookmarkStart w:id="96" w:name="_Toc490050010"/>
      <w:bookmarkStart w:id="97" w:name="_Toc512519489"/>
      <w:bookmarkStart w:id="98" w:name="_Toc513295853"/>
      <w:bookmarkStart w:id="99" w:name="_Toc513295901"/>
      <w:bookmarkStart w:id="100" w:name="m402"/>
      <w:bookmarkEnd w:id="91"/>
      <w:proofErr w:type="spellStart"/>
      <w:r>
        <w:rPr>
          <w:rFonts w:hAnsi="宋体" w:hint="eastAsia"/>
        </w:rPr>
        <w:t>管理人对报告期内本基金运作遵规守信情况的说明</w:t>
      </w:r>
      <w:bookmarkEnd w:id="92"/>
      <w:bookmarkEnd w:id="93"/>
      <w:bookmarkEnd w:id="94"/>
      <w:bookmarkEnd w:id="95"/>
      <w:bookmarkEnd w:id="96"/>
      <w:bookmarkEnd w:id="97"/>
      <w:bookmarkEnd w:id="98"/>
      <w:bookmarkEnd w:id="99"/>
      <w:proofErr w:type="spellEnd"/>
      <w:r>
        <w:rPr>
          <w:rFonts w:hAnsi="宋体" w:hint="eastAsia"/>
        </w:rPr>
        <w:t xml:space="preserve"> </w:t>
      </w:r>
    </w:p>
    <w:p w:rsidR="00E61370" w:rsidRDefault="00966571">
      <w:pPr>
        <w:spacing w:line="360" w:lineRule="auto"/>
        <w:ind w:firstLineChars="200" w:firstLine="420"/>
        <w:jc w:val="left"/>
      </w:pPr>
      <w:bookmarkStart w:id="101" w:name="m403"/>
      <w:bookmarkEnd w:id="100"/>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E61370" w:rsidRDefault="00966571">
      <w:pPr>
        <w:pStyle w:val="XBRLTitle2"/>
        <w:spacing w:before="156" w:line="360" w:lineRule="auto"/>
        <w:ind w:left="454"/>
      </w:pPr>
      <w:bookmarkStart w:id="102" w:name="_Toc17898189"/>
      <w:bookmarkStart w:id="103" w:name="_Toc17897945"/>
      <w:bookmarkStart w:id="104" w:name="_Toc481075057"/>
      <w:bookmarkStart w:id="105" w:name="_Toc438646462"/>
      <w:bookmarkStart w:id="106" w:name="_Toc490050011"/>
      <w:bookmarkStart w:id="107" w:name="_Toc512519490"/>
      <w:bookmarkStart w:id="108" w:name="_Toc513295854"/>
      <w:bookmarkStart w:id="109" w:name="_Toc513295902"/>
      <w:bookmarkEnd w:id="101"/>
      <w:proofErr w:type="spellStart"/>
      <w:r>
        <w:rPr>
          <w:rFonts w:hAnsi="宋体" w:hint="eastAsia"/>
        </w:rPr>
        <w:t>公平交易专项说明</w:t>
      </w:r>
      <w:bookmarkEnd w:id="102"/>
      <w:bookmarkEnd w:id="103"/>
      <w:bookmarkEnd w:id="104"/>
      <w:bookmarkEnd w:id="105"/>
      <w:bookmarkEnd w:id="106"/>
      <w:bookmarkEnd w:id="107"/>
      <w:bookmarkEnd w:id="108"/>
      <w:bookmarkEnd w:id="109"/>
      <w:proofErr w:type="spellEnd"/>
      <w:r>
        <w:rPr>
          <w:rFonts w:hAnsi="宋体" w:hint="eastAsia"/>
        </w:rPr>
        <w:t xml:space="preserve"> </w:t>
      </w:r>
    </w:p>
    <w:p w:rsidR="00E61370" w:rsidRDefault="00966571">
      <w:pPr>
        <w:pStyle w:val="XBRLTitle3"/>
        <w:spacing w:before="156"/>
        <w:ind w:left="0"/>
      </w:pPr>
      <w:bookmarkStart w:id="110" w:name="_Toc17898190"/>
      <w:bookmarkStart w:id="111" w:name="_Toc481075058"/>
      <w:bookmarkStart w:id="112" w:name="_Toc490050012"/>
      <w:bookmarkStart w:id="113" w:name="_Toc512519491"/>
      <w:bookmarkStart w:id="114" w:name="_Toc513295903"/>
      <w:bookmarkStart w:id="115" w:name="m404_01_0570"/>
      <w:proofErr w:type="spellStart"/>
      <w:r>
        <w:rPr>
          <w:rFonts w:hint="eastAsia"/>
        </w:rPr>
        <w:t>公平交易制度的执行情况</w:t>
      </w:r>
      <w:bookmarkEnd w:id="110"/>
      <w:bookmarkEnd w:id="111"/>
      <w:bookmarkEnd w:id="112"/>
      <w:bookmarkEnd w:id="113"/>
      <w:bookmarkEnd w:id="114"/>
      <w:proofErr w:type="spellEnd"/>
    </w:p>
    <w:p w:rsidR="00E61370" w:rsidRDefault="00966571">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w:t>
      </w:r>
      <w:r>
        <w:rPr>
          <w:rFonts w:ascii="宋体" w:hAnsi="宋体" w:cs="宋体" w:hint="eastAsia"/>
          <w:color w:val="000000"/>
          <w:kern w:val="0"/>
        </w:rPr>
        <w:lastRenderedPageBreak/>
        <w:t xml:space="preserve">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E61370" w:rsidRDefault="00966571">
      <w:pPr>
        <w:pStyle w:val="XBRLTitle3"/>
        <w:spacing w:before="156"/>
        <w:ind w:left="0"/>
      </w:pPr>
      <w:bookmarkStart w:id="116" w:name="_Toc17898191"/>
      <w:bookmarkStart w:id="117" w:name="_Toc481075059"/>
      <w:bookmarkStart w:id="118" w:name="_Toc490050013"/>
      <w:bookmarkStart w:id="119" w:name="_Toc512519492"/>
      <w:bookmarkStart w:id="120" w:name="_Toc513295904"/>
      <w:bookmarkStart w:id="121" w:name="m404_01_0578"/>
      <w:bookmarkEnd w:id="115"/>
      <w:proofErr w:type="spellStart"/>
      <w:r>
        <w:rPr>
          <w:rFonts w:hint="eastAsia"/>
        </w:rPr>
        <w:t>异常交易行为的专项说明</w:t>
      </w:r>
      <w:bookmarkEnd w:id="116"/>
      <w:bookmarkEnd w:id="117"/>
      <w:bookmarkEnd w:id="118"/>
      <w:bookmarkEnd w:id="119"/>
      <w:bookmarkEnd w:id="120"/>
      <w:proofErr w:type="spellEnd"/>
    </w:p>
    <w:p w:rsidR="00E61370" w:rsidRDefault="00966571">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E61370" w:rsidRDefault="00966571">
      <w:pPr>
        <w:pStyle w:val="XBRLTitle2"/>
        <w:spacing w:before="156" w:line="360" w:lineRule="auto"/>
        <w:ind w:left="454"/>
      </w:pPr>
      <w:bookmarkStart w:id="122" w:name="_Toc17898192"/>
      <w:bookmarkStart w:id="123" w:name="_Toc17897946"/>
      <w:bookmarkStart w:id="124" w:name="_Toc481075061"/>
      <w:bookmarkStart w:id="125" w:name="_Toc490050014"/>
      <w:bookmarkStart w:id="126" w:name="_Toc512519493"/>
      <w:bookmarkStart w:id="127" w:name="_Toc513295855"/>
      <w:bookmarkStart w:id="128" w:name="_Toc513295905"/>
      <w:bookmarkStart w:id="129" w:name="m405_01_2550"/>
      <w:bookmarkEnd w:id="121"/>
      <w:proofErr w:type="spellStart"/>
      <w:r>
        <w:rPr>
          <w:rFonts w:hAnsi="宋体" w:hint="eastAsia"/>
        </w:rPr>
        <w:t>报告期内基金的投资策略和运作分析</w:t>
      </w:r>
      <w:bookmarkEnd w:id="122"/>
      <w:bookmarkEnd w:id="123"/>
      <w:bookmarkEnd w:id="124"/>
      <w:bookmarkEnd w:id="125"/>
      <w:bookmarkEnd w:id="126"/>
      <w:bookmarkEnd w:id="127"/>
      <w:bookmarkEnd w:id="128"/>
      <w:proofErr w:type="spellEnd"/>
      <w:r>
        <w:rPr>
          <w:rFonts w:hAnsi="宋体" w:hint="eastAsia"/>
        </w:rPr>
        <w:t xml:space="preserve"> </w:t>
      </w:r>
    </w:p>
    <w:p w:rsidR="00E61370" w:rsidRDefault="00966571">
      <w:pPr>
        <w:spacing w:line="360" w:lineRule="auto"/>
        <w:ind w:firstLineChars="200" w:firstLine="420"/>
        <w:jc w:val="left"/>
      </w:pPr>
      <w:r>
        <w:rPr>
          <w:rFonts w:ascii="宋体" w:hAnsi="宋体" w:cs="宋体" w:hint="eastAsia"/>
          <w:color w:val="000000"/>
          <w:kern w:val="0"/>
        </w:rPr>
        <w:t>2025年一季度A股市场震荡为主，沪深300指数下跌1.2%，创业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下跌1.77%，市场整体较平淡，只有机器人等主题较强。本基金行业配置较均衡，偏重于锂电池、电子、汽车、家电、机械等行业，由于机器人产业处于较早期阶段，本产品配置不多。本季度电子配置带来一定超额收益，产品业绩表现略好于基准。</w:t>
      </w:r>
      <w:r>
        <w:rPr>
          <w:rFonts w:ascii="宋体" w:hAnsi="宋体" w:cs="宋体" w:hint="eastAsia"/>
          <w:color w:val="000000"/>
          <w:kern w:val="0"/>
        </w:rPr>
        <w:br/>
        <w:t xml:space="preserve">　　年初以来中国宏大叙事发生的最大变化是</w:t>
      </w:r>
      <w:proofErr w:type="spellStart"/>
      <w:r>
        <w:rPr>
          <w:rFonts w:ascii="宋体" w:hAnsi="宋体" w:cs="宋体" w:hint="eastAsia"/>
          <w:color w:val="000000"/>
          <w:kern w:val="0"/>
        </w:rPr>
        <w:t>DeepSeek</w:t>
      </w:r>
      <w:proofErr w:type="spellEnd"/>
      <w:r>
        <w:rPr>
          <w:rFonts w:ascii="宋体" w:hAnsi="宋体" w:cs="宋体" w:hint="eastAsia"/>
          <w:color w:val="000000"/>
          <w:kern w:val="0"/>
        </w:rPr>
        <w:t>的诞生，证明中国AI水平不弱于美国，且成本更低；而中国在汽车、新能源、家电等诸多制造业领域，相对而言领先于美国，所以中国股市以沪深300为例，12倍PE左右是相对低估的，我们看好中国股市估值修复的机会。</w:t>
      </w:r>
      <w:r>
        <w:rPr>
          <w:rFonts w:ascii="宋体" w:hAnsi="宋体" w:cs="宋体" w:hint="eastAsia"/>
          <w:color w:val="000000"/>
          <w:kern w:val="0"/>
        </w:rPr>
        <w:br/>
        <w:t xml:space="preserve">　　自下而上研究，我们认为科技、新能源、制造业、有色等行业景气度较好，估值较低。科技行业：</w:t>
      </w:r>
      <w:proofErr w:type="spellStart"/>
      <w:r>
        <w:rPr>
          <w:rFonts w:ascii="宋体" w:hAnsi="宋体" w:cs="宋体" w:hint="eastAsia"/>
          <w:color w:val="000000"/>
          <w:kern w:val="0"/>
        </w:rPr>
        <w:t>DeepSeek</w:t>
      </w:r>
      <w:proofErr w:type="spellEnd"/>
      <w:r>
        <w:rPr>
          <w:rFonts w:ascii="宋体" w:hAnsi="宋体" w:cs="宋体" w:hint="eastAsia"/>
          <w:color w:val="000000"/>
          <w:kern w:val="0"/>
        </w:rPr>
        <w:t>的诞生有望加速国内AI应用，软件方面关注互联网公司、硬件方面关注智能终端、智能驾驶等行业投资机会，同时关注半导体自主可控领域投资机会。新能源行业：国内新能源车渗透率至50%附近，增速有所放缓，但其他行业</w:t>
      </w:r>
      <w:proofErr w:type="gramStart"/>
      <w:r>
        <w:rPr>
          <w:rFonts w:ascii="宋体" w:hAnsi="宋体" w:cs="宋体" w:hint="eastAsia"/>
          <w:color w:val="000000"/>
          <w:kern w:val="0"/>
        </w:rPr>
        <w:t>锂电化仍</w:t>
      </w:r>
      <w:proofErr w:type="gramEnd"/>
      <w:r>
        <w:rPr>
          <w:rFonts w:ascii="宋体" w:hAnsi="宋体" w:cs="宋体" w:hint="eastAsia"/>
          <w:color w:val="000000"/>
          <w:kern w:val="0"/>
        </w:rPr>
        <w:t>有较大空间，仍关注电池和优秀整车等企业。制造业：家电、机械等行业有不少企业仍在全球化扩张，增速和估值较匹配。有色金</w:t>
      </w:r>
      <w:r>
        <w:rPr>
          <w:rFonts w:ascii="宋体" w:hAnsi="宋体" w:cs="宋体" w:hint="eastAsia"/>
          <w:color w:val="000000"/>
          <w:kern w:val="0"/>
        </w:rPr>
        <w:lastRenderedPageBreak/>
        <w:t>属：铜和黄金商品由于供给没有增长，但需求有较低增长，导致企业维持高盈利状态，估值相对较低。</w:t>
      </w:r>
    </w:p>
    <w:p w:rsidR="00E61370" w:rsidRDefault="00966571">
      <w:pPr>
        <w:pStyle w:val="XBRLTitle2"/>
        <w:spacing w:before="156" w:line="360" w:lineRule="auto"/>
        <w:ind w:left="454"/>
      </w:pPr>
      <w:bookmarkStart w:id="130" w:name="_Toc17898193"/>
      <w:bookmarkStart w:id="131" w:name="_Toc17897947"/>
      <w:bookmarkStart w:id="132" w:name="_Toc490050015"/>
      <w:bookmarkStart w:id="133" w:name="_Toc481075062"/>
      <w:bookmarkStart w:id="134" w:name="_Toc512519494"/>
      <w:bookmarkStart w:id="135" w:name="_Toc513295856"/>
      <w:bookmarkStart w:id="136" w:name="_Toc513295906"/>
      <w:bookmarkStart w:id="137" w:name="m405_01_2549"/>
      <w:bookmarkEnd w:id="129"/>
      <w:proofErr w:type="spellStart"/>
      <w:r>
        <w:rPr>
          <w:rFonts w:hAnsi="宋体" w:hint="eastAsia"/>
        </w:rPr>
        <w:t>报告期内基金的业绩表现</w:t>
      </w:r>
      <w:bookmarkEnd w:id="130"/>
      <w:bookmarkEnd w:id="131"/>
      <w:bookmarkEnd w:id="132"/>
      <w:bookmarkEnd w:id="133"/>
      <w:bookmarkEnd w:id="134"/>
      <w:bookmarkEnd w:id="135"/>
      <w:bookmarkEnd w:id="136"/>
      <w:proofErr w:type="spellEnd"/>
      <w:r>
        <w:rPr>
          <w:rFonts w:hAnsi="宋体" w:hint="eastAsia"/>
        </w:rPr>
        <w:t xml:space="preserve"> </w:t>
      </w:r>
      <w:bookmarkEnd w:id="137"/>
    </w:p>
    <w:p w:rsidR="00E61370" w:rsidRDefault="00966571">
      <w:pPr>
        <w:spacing w:line="360" w:lineRule="auto"/>
        <w:ind w:firstLineChars="200" w:firstLine="420"/>
      </w:pPr>
      <w:r>
        <w:rPr>
          <w:rFonts w:ascii="宋体" w:hAnsi="宋体" w:hint="eastAsia"/>
        </w:rPr>
        <w:t>本报告期摩根科技前沿混合A份额净值增长率为：2.65%，同期业绩比较基准收益率为：-0.78%；</w:t>
      </w:r>
      <w:r>
        <w:rPr>
          <w:rFonts w:ascii="宋体" w:hAnsi="宋体" w:hint="eastAsia"/>
        </w:rPr>
        <w:br/>
        <w:t xml:space="preserve">　　摩根科技前沿混合C份额净值增长率为：2.52%，同期业绩比较基准收益率为：-0.78%。</w:t>
      </w:r>
    </w:p>
    <w:p w:rsidR="00E61370" w:rsidRDefault="00966571">
      <w:pPr>
        <w:pStyle w:val="XBRLTitle2"/>
        <w:spacing w:before="156" w:line="360" w:lineRule="auto"/>
        <w:ind w:left="454"/>
      </w:pPr>
      <w:bookmarkStart w:id="138" w:name="m406"/>
      <w:bookmarkStart w:id="139" w:name="_Toc17898194"/>
      <w:bookmarkStart w:id="140" w:name="_Toc17897948"/>
      <w:bookmarkStart w:id="141" w:name="_Toc490050016"/>
      <w:bookmarkStart w:id="142" w:name="_Toc481075063"/>
      <w:bookmarkStart w:id="143" w:name="_Toc438646465"/>
      <w:bookmarkStart w:id="144" w:name="_Toc512519495"/>
      <w:bookmarkStart w:id="145" w:name="_Toc513295857"/>
      <w:bookmarkStart w:id="146" w:name="_Toc513295907"/>
      <w:bookmarkStart w:id="147" w:name="m407"/>
      <w:bookmarkEnd w:id="138"/>
      <w:proofErr w:type="spellStart"/>
      <w:r>
        <w:rPr>
          <w:rFonts w:hAnsi="宋体" w:hint="eastAsia"/>
        </w:rPr>
        <w:t>报告期内基金持有人数或基金资产净值预警说明</w:t>
      </w:r>
      <w:bookmarkEnd w:id="139"/>
      <w:bookmarkEnd w:id="140"/>
      <w:bookmarkEnd w:id="141"/>
      <w:bookmarkEnd w:id="142"/>
      <w:bookmarkEnd w:id="143"/>
      <w:bookmarkEnd w:id="144"/>
      <w:bookmarkEnd w:id="145"/>
      <w:bookmarkEnd w:id="146"/>
      <w:proofErr w:type="spellEnd"/>
      <w:r>
        <w:rPr>
          <w:rFonts w:hAnsi="宋体" w:hint="eastAsia"/>
        </w:rPr>
        <w:t xml:space="preserve"> </w:t>
      </w:r>
    </w:p>
    <w:p w:rsidR="00E61370" w:rsidRDefault="00966571">
      <w:pPr>
        <w:spacing w:line="360" w:lineRule="auto"/>
        <w:ind w:firstLineChars="200" w:firstLine="420"/>
        <w:jc w:val="left"/>
      </w:pPr>
      <w:r>
        <w:rPr>
          <w:rFonts w:ascii="宋体" w:hAnsi="宋体" w:hint="eastAsia"/>
        </w:rPr>
        <w:t>无。</w:t>
      </w:r>
    </w:p>
    <w:p w:rsidR="00E61370" w:rsidRDefault="00966571">
      <w:pPr>
        <w:pStyle w:val="XBRLTitle1"/>
        <w:spacing w:before="156" w:line="360" w:lineRule="auto"/>
        <w:ind w:left="425"/>
      </w:pPr>
      <w:bookmarkStart w:id="148" w:name="_Toc17898195"/>
      <w:bookmarkStart w:id="149" w:name="_Toc17897949"/>
      <w:bookmarkStart w:id="150" w:name="_Toc512519496"/>
      <w:bookmarkStart w:id="151" w:name="_Toc481075064"/>
      <w:bookmarkStart w:id="152" w:name="_Toc438646466"/>
      <w:bookmarkStart w:id="153" w:name="_Toc490050017"/>
      <w:bookmarkStart w:id="154" w:name="_Toc513295858"/>
      <w:bookmarkStart w:id="155" w:name="_Toc513295908"/>
      <w:bookmarkEnd w:id="147"/>
      <w:proofErr w:type="spellStart"/>
      <w:r>
        <w:rPr>
          <w:rFonts w:hAnsi="宋体" w:hint="eastAsia"/>
        </w:rPr>
        <w:t>投资组合报告</w:t>
      </w:r>
      <w:bookmarkEnd w:id="148"/>
      <w:bookmarkEnd w:id="149"/>
      <w:bookmarkEnd w:id="150"/>
      <w:bookmarkEnd w:id="151"/>
      <w:bookmarkEnd w:id="152"/>
      <w:bookmarkEnd w:id="153"/>
      <w:bookmarkEnd w:id="154"/>
      <w:bookmarkEnd w:id="155"/>
      <w:proofErr w:type="spellEnd"/>
      <w:r>
        <w:rPr>
          <w:rFonts w:hAnsi="宋体" w:hint="eastAsia"/>
        </w:rPr>
        <w:t xml:space="preserve"> </w:t>
      </w:r>
    </w:p>
    <w:p w:rsidR="00E61370" w:rsidRDefault="00966571">
      <w:pPr>
        <w:pStyle w:val="XBRLTitle2"/>
        <w:spacing w:before="156" w:line="360" w:lineRule="auto"/>
        <w:ind w:left="454"/>
      </w:pPr>
      <w:bookmarkStart w:id="156" w:name="_Toc17898196"/>
      <w:bookmarkStart w:id="157" w:name="_Toc17897950"/>
      <w:bookmarkStart w:id="158" w:name="_Toc481075065"/>
      <w:bookmarkStart w:id="159" w:name="_Toc438646467"/>
      <w:bookmarkStart w:id="160" w:name="_Toc490050018"/>
      <w:bookmarkStart w:id="161" w:name="_Toc512519497"/>
      <w:bookmarkStart w:id="162" w:name="_Toc513295859"/>
      <w:bookmarkStart w:id="163" w:name="_Toc513295909"/>
      <w:bookmarkStart w:id="164" w:name="m501"/>
      <w:proofErr w:type="spellStart"/>
      <w:r>
        <w:rPr>
          <w:rFonts w:hAnsi="宋体" w:hint="eastAsia"/>
        </w:rPr>
        <w:t>报告期末基金资产组合情况</w:t>
      </w:r>
      <w:bookmarkEnd w:id="156"/>
      <w:bookmarkEnd w:id="157"/>
      <w:bookmarkEnd w:id="158"/>
      <w:bookmarkEnd w:id="159"/>
      <w:bookmarkEnd w:id="160"/>
      <w:bookmarkEnd w:id="161"/>
      <w:bookmarkEnd w:id="162"/>
      <w:bookmarkEnd w:id="163"/>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E61370">
        <w:trPr>
          <w:divId w:val="181378529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61370" w:rsidRDefault="00966571">
            <w:pPr>
              <w:jc w:val="center"/>
            </w:pPr>
            <w:bookmarkStart w:id="165" w:name="m08QD_01_tab"/>
            <w:bookmarkEnd w:id="165"/>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E61370" w:rsidRDefault="00966571">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E61370" w:rsidRDefault="00966571">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E61370" w:rsidRDefault="00966571">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E61370">
        <w:trPr>
          <w:divId w:val="18137852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E61370" w:rsidRDefault="00966571">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1,978,320,698.65</w:t>
            </w:r>
          </w:p>
        </w:tc>
        <w:tc>
          <w:tcPr>
            <w:tcW w:w="1333"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74.98</w:t>
            </w:r>
          </w:p>
        </w:tc>
      </w:tr>
      <w:tr w:rsidR="00E61370">
        <w:trPr>
          <w:divId w:val="18137852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E61370" w:rsidRDefault="00966571">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1,978,320,698.65</w:t>
            </w:r>
          </w:p>
        </w:tc>
        <w:tc>
          <w:tcPr>
            <w:tcW w:w="1333"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74.98</w:t>
            </w:r>
          </w:p>
        </w:tc>
      </w:tr>
      <w:tr w:rsidR="00E61370">
        <w:trPr>
          <w:divId w:val="18137852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E61370" w:rsidRDefault="00966571">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r>
      <w:tr w:rsidR="00E61370">
        <w:trPr>
          <w:divId w:val="18137852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E61370" w:rsidRDefault="00966571">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r>
      <w:tr w:rsidR="00E61370">
        <w:trPr>
          <w:divId w:val="18137852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E61370" w:rsidRDefault="00966571">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r>
      <w:tr w:rsidR="00E61370">
        <w:trPr>
          <w:divId w:val="18137852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E61370" w:rsidRDefault="00966571">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r>
      <w:tr w:rsidR="00E61370">
        <w:trPr>
          <w:divId w:val="18137852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E61370" w:rsidRDefault="00966571">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r>
      <w:tr w:rsidR="00E61370">
        <w:trPr>
          <w:divId w:val="18137852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E61370" w:rsidRDefault="00966571">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r>
      <w:tr w:rsidR="00E61370">
        <w:trPr>
          <w:divId w:val="18137852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E61370" w:rsidRDefault="00966571">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r>
      <w:tr w:rsidR="00E61370">
        <w:trPr>
          <w:divId w:val="18137852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E61370" w:rsidRDefault="00966571">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w:t>
            </w:r>
          </w:p>
        </w:tc>
      </w:tr>
      <w:tr w:rsidR="00E61370">
        <w:trPr>
          <w:divId w:val="18137852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E61370" w:rsidRDefault="00966571">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590,559,116.56</w:t>
            </w:r>
          </w:p>
        </w:tc>
        <w:tc>
          <w:tcPr>
            <w:tcW w:w="1333"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22.38</w:t>
            </w:r>
          </w:p>
        </w:tc>
      </w:tr>
      <w:tr w:rsidR="00E61370">
        <w:trPr>
          <w:divId w:val="18137852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E61370" w:rsidRDefault="00966571">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69,438,092.19</w:t>
            </w:r>
          </w:p>
        </w:tc>
        <w:tc>
          <w:tcPr>
            <w:tcW w:w="1333"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2.63</w:t>
            </w:r>
          </w:p>
        </w:tc>
      </w:tr>
      <w:tr w:rsidR="00E61370">
        <w:trPr>
          <w:divId w:val="181378529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E61370" w:rsidRDefault="00966571">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E61370" w:rsidRDefault="00966571">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2,638,317,907.40</w:t>
            </w:r>
          </w:p>
        </w:tc>
        <w:tc>
          <w:tcPr>
            <w:tcW w:w="1333" w:type="pct"/>
            <w:tcBorders>
              <w:top w:val="single" w:sz="4" w:space="0" w:color="auto"/>
              <w:left w:val="nil"/>
              <w:bottom w:val="single" w:sz="4" w:space="0" w:color="auto"/>
              <w:right w:val="single" w:sz="4" w:space="0" w:color="auto"/>
            </w:tcBorders>
            <w:vAlign w:val="center"/>
            <w:hideMark/>
          </w:tcPr>
          <w:p w:rsidR="00E61370" w:rsidRDefault="00966571">
            <w:pPr>
              <w:jc w:val="right"/>
            </w:pPr>
            <w:r>
              <w:rPr>
                <w:rFonts w:ascii="宋体" w:hAnsi="宋体" w:hint="eastAsia"/>
                <w:szCs w:val="24"/>
                <w:lang w:eastAsia="zh-Hans"/>
              </w:rPr>
              <w:t>100.00</w:t>
            </w:r>
          </w:p>
        </w:tc>
      </w:tr>
    </w:tbl>
    <w:p w:rsidR="00E61370" w:rsidRDefault="00966571">
      <w:pPr>
        <w:pStyle w:val="XBRLTitle2"/>
        <w:spacing w:before="156" w:line="360" w:lineRule="auto"/>
        <w:ind w:left="454"/>
      </w:pPr>
      <w:bookmarkStart w:id="166" w:name="_Toc17898197"/>
      <w:bookmarkStart w:id="167" w:name="_Toc17897951"/>
      <w:bookmarkStart w:id="168" w:name="_Toc512519498"/>
      <w:bookmarkStart w:id="169" w:name="_Toc481075066"/>
      <w:bookmarkStart w:id="170" w:name="_Toc438646468"/>
      <w:bookmarkStart w:id="171" w:name="_Toc490050019"/>
      <w:bookmarkStart w:id="172" w:name="_Toc513295860"/>
      <w:bookmarkStart w:id="173" w:name="_Toc513295910"/>
      <w:bookmarkEnd w:id="164"/>
      <w:proofErr w:type="spellStart"/>
      <w:r>
        <w:rPr>
          <w:rFonts w:hAnsi="宋体" w:hint="eastAsia"/>
        </w:rPr>
        <w:t>报告期末按行业分类的股票投资组合</w:t>
      </w:r>
      <w:bookmarkEnd w:id="166"/>
      <w:bookmarkEnd w:id="167"/>
      <w:bookmarkEnd w:id="168"/>
      <w:bookmarkEnd w:id="169"/>
      <w:bookmarkEnd w:id="170"/>
      <w:bookmarkEnd w:id="171"/>
      <w:bookmarkEnd w:id="172"/>
      <w:bookmarkEnd w:id="173"/>
      <w:proofErr w:type="spellEnd"/>
      <w:r>
        <w:rPr>
          <w:rFonts w:hAnsi="宋体" w:hint="eastAsia"/>
          <w:lang w:eastAsia="zh-CN"/>
        </w:rPr>
        <w:t xml:space="preserve"> </w:t>
      </w:r>
    </w:p>
    <w:p w:rsidR="00E61370" w:rsidRDefault="00966571">
      <w:pPr>
        <w:pStyle w:val="XBRLTitle3"/>
        <w:spacing w:before="156"/>
        <w:ind w:left="0"/>
      </w:pPr>
      <w:bookmarkStart w:id="174" w:name="_Toc17898198"/>
      <w:bookmarkStart w:id="175" w:name="_Toc481075067"/>
      <w:bookmarkStart w:id="176" w:name="_Toc490050020"/>
      <w:bookmarkStart w:id="177" w:name="_Toc512519499"/>
      <w:bookmarkStart w:id="178" w:name="_Toc513295911"/>
      <w:proofErr w:type="spellStart"/>
      <w:r>
        <w:rPr>
          <w:rFonts w:hint="eastAsia"/>
        </w:rPr>
        <w:t>报告期末按行业分类的境内股票投资组合</w:t>
      </w:r>
      <w:bookmarkEnd w:id="174"/>
      <w:bookmarkEnd w:id="175"/>
      <w:bookmarkEnd w:id="176"/>
      <w:bookmarkEnd w:id="177"/>
      <w:bookmarkEnd w:id="178"/>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E61370">
        <w:trPr>
          <w:divId w:val="1187787272"/>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61370" w:rsidRDefault="00966571">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E61370" w:rsidRDefault="00966571">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E61370" w:rsidRDefault="00966571">
            <w:pPr>
              <w:jc w:val="center"/>
            </w:pPr>
            <w:r>
              <w:rPr>
                <w:rFonts w:ascii="宋体" w:hAnsi="宋体" w:hint="eastAsia"/>
                <w:color w:val="000000"/>
              </w:rPr>
              <w:t xml:space="preserve">占基金资产净值比例（%） </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260,754,408.20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9.91</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1,619,973,041.37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61.57</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47,949,390.18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1.82</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lastRenderedPageBreak/>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49,643,858.90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1.89</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w:t>
            </w:r>
          </w:p>
        </w:tc>
      </w:tr>
      <w:tr w:rsidR="00E61370">
        <w:trPr>
          <w:divId w:val="118778727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E61370" w:rsidRDefault="00966571">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E61370" w:rsidRDefault="00966571">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E61370" w:rsidRDefault="00966571">
            <w:pPr>
              <w:jc w:val="right"/>
            </w:pPr>
            <w:r>
              <w:rPr>
                <w:rFonts w:ascii="宋体" w:hAnsi="宋体" w:hint="eastAsia"/>
                <w:szCs w:val="24"/>
                <w:lang w:eastAsia="zh-Hans"/>
              </w:rPr>
              <w:t>1,978,320,698.65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E61370" w:rsidRDefault="00966571">
            <w:pPr>
              <w:jc w:val="right"/>
            </w:pPr>
            <w:r>
              <w:rPr>
                <w:rFonts w:ascii="宋体" w:hAnsi="宋体" w:hint="eastAsia"/>
                <w:szCs w:val="24"/>
                <w:lang w:eastAsia="zh-Hans"/>
              </w:rPr>
              <w:t>75.19</w:t>
            </w:r>
          </w:p>
        </w:tc>
      </w:tr>
    </w:tbl>
    <w:p w:rsidR="00E61370" w:rsidRDefault="00966571">
      <w:pPr>
        <w:pStyle w:val="XBRLTitle3"/>
        <w:spacing w:before="156"/>
        <w:ind w:left="0"/>
      </w:pPr>
      <w:bookmarkStart w:id="179" w:name="_Toc17898199"/>
      <w:bookmarkStart w:id="180" w:name="_Toc481075068"/>
      <w:bookmarkStart w:id="181" w:name="_Toc490050021"/>
      <w:bookmarkStart w:id="182" w:name="_Toc512519500"/>
      <w:bookmarkStart w:id="183" w:name="_Toc513295912"/>
      <w:bookmarkStart w:id="184" w:name="m502_tab"/>
      <w:proofErr w:type="spellStart"/>
      <w:r>
        <w:rPr>
          <w:rFonts w:hint="eastAsia"/>
        </w:rPr>
        <w:t>报告期末按行业分类的港股通投资股票投资组合</w:t>
      </w:r>
      <w:bookmarkEnd w:id="179"/>
      <w:bookmarkEnd w:id="180"/>
      <w:bookmarkEnd w:id="181"/>
      <w:bookmarkEnd w:id="182"/>
      <w:bookmarkEnd w:id="183"/>
      <w:proofErr w:type="spellEnd"/>
      <w:r>
        <w:rPr>
          <w:rFonts w:hint="eastAsia"/>
          <w:szCs w:val="24"/>
        </w:rPr>
        <w:t xml:space="preserve"> </w:t>
      </w:r>
    </w:p>
    <w:p w:rsidR="00E61370" w:rsidRDefault="00966571">
      <w:pPr>
        <w:spacing w:line="360" w:lineRule="auto"/>
        <w:ind w:firstLineChars="200" w:firstLine="420"/>
        <w:divId w:val="1983460166"/>
      </w:pPr>
      <w:r>
        <w:rPr>
          <w:rFonts w:ascii="宋体" w:hAnsi="宋体" w:hint="eastAsia"/>
          <w:szCs w:val="21"/>
          <w:lang w:eastAsia="zh-Hans"/>
        </w:rPr>
        <w:t>本基金本报告期末未持有港股通股票 。</w:t>
      </w:r>
    </w:p>
    <w:p w:rsidR="00E61370" w:rsidRDefault="00966571">
      <w:pPr>
        <w:pStyle w:val="XBRLTitle2"/>
        <w:spacing w:before="156"/>
        <w:ind w:left="454"/>
      </w:pPr>
      <w:bookmarkStart w:id="185" w:name="_Toc178982961"/>
      <w:bookmarkStart w:id="186" w:name="_Toc17897958"/>
      <w:bookmarkStart w:id="187" w:name="_Toc485300375"/>
      <w:bookmarkStart w:id="188" w:name="_Toc453852755"/>
      <w:bookmarkStart w:id="189" w:name="_Toc452398761"/>
      <w:bookmarkStart w:id="190" w:name="_Toc454983410"/>
      <w:bookmarkStart w:id="191" w:name="_Toc497398255"/>
      <w:bookmarkStart w:id="192" w:name="_Toc506208451"/>
      <w:bookmarkStart w:id="193" w:name="m08QD_10"/>
      <w:proofErr w:type="spellStart"/>
      <w:r>
        <w:rPr>
          <w:rFonts w:hint="eastAsia"/>
        </w:rPr>
        <w:t>期末按公允价值占基金资产净值比例大小排序的股票投资明细</w:t>
      </w:r>
      <w:bookmarkEnd w:id="185"/>
      <w:proofErr w:type="spellEnd"/>
    </w:p>
    <w:p w:rsidR="00E61370" w:rsidRDefault="00966571">
      <w:pPr>
        <w:pStyle w:val="XBRLTitle3"/>
        <w:spacing w:before="156"/>
        <w:ind w:left="0"/>
      </w:pPr>
      <w:bookmarkStart w:id="194" w:name="_Toc178982962"/>
      <w:bookmarkStart w:id="195" w:name="_Toc485300376"/>
      <w:bookmarkStart w:id="196" w:name="_Toc497398256"/>
      <w:bookmarkStart w:id="197" w:name="_Toc453852756"/>
      <w:bookmarkStart w:id="198" w:name="_Toc454983411"/>
      <w:proofErr w:type="spellStart"/>
      <w:r>
        <w:rPr>
          <w:rFonts w:hAnsi="宋体" w:hint="eastAsia"/>
        </w:rPr>
        <w:t>报告期末按公允价值占基金资产净值比例大小排序的前十名股票投资明细</w:t>
      </w:r>
      <w:bookmarkEnd w:id="194"/>
      <w:bookmarkEnd w:id="195"/>
      <w:bookmarkEnd w:id="196"/>
      <w:bookmarkEnd w:id="197"/>
      <w:bookmarkEnd w:id="19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E61370">
        <w:trPr>
          <w:divId w:val="75100495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61370" w:rsidRDefault="00966571">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61370" w:rsidRDefault="00966571">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61370" w:rsidRDefault="00966571">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61370" w:rsidRDefault="00966571">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61370" w:rsidRDefault="00966571">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61370" w:rsidRDefault="00966571">
            <w:pPr>
              <w:jc w:val="center"/>
            </w:pPr>
            <w:r>
              <w:rPr>
                <w:rFonts w:ascii="宋体" w:hAnsi="宋体" w:hint="eastAsia"/>
                <w:color w:val="000000"/>
              </w:rPr>
              <w:t xml:space="preserve">占基金资产净值比例（%） </w:t>
            </w:r>
          </w:p>
        </w:tc>
      </w:tr>
      <w:tr w:rsidR="00E61370">
        <w:trPr>
          <w:divId w:val="7510049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980,180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247,926,729.20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9.42</w:t>
            </w:r>
          </w:p>
        </w:tc>
      </w:tr>
      <w:tr w:rsidR="00E61370">
        <w:trPr>
          <w:divId w:val="7510049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4,129,985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168,875,086.65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6.42</w:t>
            </w:r>
          </w:p>
        </w:tc>
      </w:tr>
      <w:tr w:rsidR="00E61370">
        <w:trPr>
          <w:divId w:val="7510049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2,042,278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165,444,940.78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6.29</w:t>
            </w:r>
          </w:p>
        </w:tc>
      </w:tr>
      <w:tr w:rsidR="00E61370">
        <w:trPr>
          <w:divId w:val="7510049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2,055,723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161,374,255.50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6.13</w:t>
            </w:r>
          </w:p>
        </w:tc>
      </w:tr>
      <w:tr w:rsidR="00E61370">
        <w:trPr>
          <w:divId w:val="7510049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8,716,585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157,944,520.20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6.00</w:t>
            </w:r>
          </w:p>
        </w:tc>
      </w:tr>
      <w:tr w:rsidR="00E61370">
        <w:trPr>
          <w:divId w:val="7510049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341,101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127,878,764.90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4.86</w:t>
            </w:r>
          </w:p>
        </w:tc>
      </w:tr>
      <w:tr w:rsidR="00E61370">
        <w:trPr>
          <w:divId w:val="7510049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3,123,524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86,927,672.92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3.30</w:t>
            </w:r>
          </w:p>
        </w:tc>
      </w:tr>
      <w:tr w:rsidR="00E61370">
        <w:trPr>
          <w:divId w:val="7510049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2,486,700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81,414,558.00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3.09</w:t>
            </w:r>
          </w:p>
        </w:tc>
      </w:tr>
      <w:tr w:rsidR="00E61370">
        <w:trPr>
          <w:divId w:val="7510049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600660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福耀玻璃</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1,368,863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80,174,305.91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3.05</w:t>
            </w:r>
          </w:p>
        </w:tc>
      </w:tr>
      <w:tr w:rsidR="00E61370">
        <w:trPr>
          <w:divId w:val="75100495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002595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szCs w:val="24"/>
                <w:lang w:eastAsia="zh-Hans"/>
              </w:rPr>
              <w:t>豪迈科技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1,106,638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65,490,836.84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2.49</w:t>
            </w:r>
          </w:p>
        </w:tc>
      </w:tr>
    </w:tbl>
    <w:p w:rsidR="00E61370" w:rsidRDefault="00966571">
      <w:pPr>
        <w:pStyle w:val="XBRLTitle2"/>
        <w:spacing w:before="156" w:line="360" w:lineRule="auto"/>
        <w:ind w:left="454"/>
      </w:pPr>
      <w:bookmarkStart w:id="199" w:name="_Toc17898201"/>
      <w:bookmarkStart w:id="200" w:name="_Toc17897953"/>
      <w:bookmarkStart w:id="201" w:name="_Toc481075070"/>
      <w:bookmarkStart w:id="202" w:name="_Toc438646471"/>
      <w:bookmarkStart w:id="203" w:name="_Toc490050023"/>
      <w:bookmarkStart w:id="204" w:name="_Toc512519502"/>
      <w:bookmarkStart w:id="205" w:name="_Toc513295862"/>
      <w:bookmarkStart w:id="206" w:name="_Toc513295914"/>
      <w:bookmarkStart w:id="207" w:name="m505"/>
      <w:proofErr w:type="spellStart"/>
      <w:r>
        <w:rPr>
          <w:rFonts w:hAnsi="宋体" w:hint="eastAsia"/>
        </w:rPr>
        <w:t>报告期末按债券品种分类的债券投资组合</w:t>
      </w:r>
      <w:bookmarkEnd w:id="199"/>
      <w:bookmarkEnd w:id="200"/>
      <w:bookmarkEnd w:id="201"/>
      <w:bookmarkEnd w:id="202"/>
      <w:bookmarkEnd w:id="203"/>
      <w:bookmarkEnd w:id="204"/>
      <w:bookmarkEnd w:id="205"/>
      <w:bookmarkEnd w:id="206"/>
      <w:proofErr w:type="spellEnd"/>
      <w:r>
        <w:rPr>
          <w:rFonts w:hAnsi="宋体" w:hint="eastAsia"/>
        </w:rPr>
        <w:t xml:space="preserve"> </w:t>
      </w:r>
    </w:p>
    <w:p w:rsidR="00E61370" w:rsidRDefault="00966571">
      <w:pPr>
        <w:spacing w:line="360" w:lineRule="auto"/>
        <w:ind w:firstLineChars="200" w:firstLine="420"/>
        <w:jc w:val="left"/>
      </w:pPr>
      <w:r>
        <w:rPr>
          <w:rFonts w:ascii="宋体" w:hAnsi="宋体" w:hint="eastAsia"/>
        </w:rPr>
        <w:t>本基金本报告期末未持有债券。</w:t>
      </w:r>
      <w:bookmarkStart w:id="208" w:name="m08QD_06"/>
      <w:bookmarkEnd w:id="208"/>
      <w:r>
        <w:rPr>
          <w:rFonts w:ascii="宋体" w:hAnsi="宋体" w:hint="eastAsia"/>
        </w:rPr>
        <w:t xml:space="preserve"> </w:t>
      </w:r>
    </w:p>
    <w:p w:rsidR="00E61370" w:rsidRDefault="00966571">
      <w:pPr>
        <w:pStyle w:val="XBRLTitle2"/>
        <w:spacing w:before="156" w:line="360" w:lineRule="auto"/>
        <w:ind w:left="454"/>
      </w:pPr>
      <w:bookmarkStart w:id="209" w:name="_Toc17898202"/>
      <w:bookmarkStart w:id="210" w:name="_Toc17897954"/>
      <w:bookmarkStart w:id="211" w:name="_Toc481075071"/>
      <w:bookmarkStart w:id="212" w:name="_Toc438646472"/>
      <w:bookmarkStart w:id="213" w:name="_Toc490050024"/>
      <w:bookmarkStart w:id="214" w:name="_Toc512519503"/>
      <w:bookmarkStart w:id="215" w:name="_Toc513295863"/>
      <w:bookmarkStart w:id="216" w:name="_Toc513295915"/>
      <w:bookmarkStart w:id="217" w:name="m506"/>
      <w:bookmarkEnd w:id="207"/>
      <w:proofErr w:type="spellStart"/>
      <w:r>
        <w:rPr>
          <w:rFonts w:hAnsi="宋体" w:hint="eastAsia"/>
        </w:rPr>
        <w:t>报告期末按公允价值占基金资产净值比例大小排序的前五名债券投资明细</w:t>
      </w:r>
      <w:bookmarkEnd w:id="209"/>
      <w:bookmarkEnd w:id="210"/>
      <w:bookmarkEnd w:id="211"/>
      <w:bookmarkEnd w:id="212"/>
      <w:bookmarkEnd w:id="213"/>
      <w:bookmarkEnd w:id="214"/>
      <w:bookmarkEnd w:id="215"/>
      <w:bookmarkEnd w:id="216"/>
      <w:proofErr w:type="spellEnd"/>
      <w:r>
        <w:rPr>
          <w:rFonts w:hAnsi="宋体" w:hint="eastAsia"/>
        </w:rPr>
        <w:t xml:space="preserve"> </w:t>
      </w:r>
    </w:p>
    <w:p w:rsidR="00E61370" w:rsidRDefault="00966571">
      <w:pPr>
        <w:spacing w:line="360" w:lineRule="auto"/>
        <w:ind w:firstLineChars="200" w:firstLine="420"/>
        <w:jc w:val="left"/>
      </w:pPr>
      <w:r>
        <w:rPr>
          <w:rFonts w:ascii="宋体" w:hAnsi="宋体" w:hint="eastAsia"/>
          <w:color w:val="000000"/>
          <w:szCs w:val="21"/>
          <w:lang w:eastAsia="zh-Hans"/>
        </w:rPr>
        <w:t>本基金本报告期末未持有债券。</w:t>
      </w:r>
    </w:p>
    <w:p w:rsidR="00E61370" w:rsidRDefault="00966571">
      <w:pPr>
        <w:pStyle w:val="XBRLTitle2"/>
        <w:spacing w:before="156" w:line="360" w:lineRule="auto"/>
        <w:ind w:left="454"/>
      </w:pPr>
      <w:bookmarkStart w:id="218" w:name="_Toc17898203"/>
      <w:bookmarkStart w:id="219" w:name="_Toc17897955"/>
      <w:bookmarkStart w:id="220" w:name="_Toc481075072"/>
      <w:bookmarkStart w:id="221" w:name="_Toc438646473"/>
      <w:bookmarkStart w:id="222" w:name="_Toc490050025"/>
      <w:bookmarkStart w:id="223" w:name="_Toc512519504"/>
      <w:bookmarkStart w:id="224" w:name="_Toc513295864"/>
      <w:bookmarkStart w:id="225" w:name="_Toc513295916"/>
      <w:bookmarkStart w:id="226" w:name="m507"/>
      <w:bookmarkEnd w:id="217"/>
      <w:proofErr w:type="spellStart"/>
      <w:r>
        <w:rPr>
          <w:rFonts w:hAnsi="宋体" w:hint="eastAsia"/>
        </w:rPr>
        <w:t>报告期末按公允价值占基金资产净值比例大小排序的前十名资产支持证券投资</w:t>
      </w:r>
      <w:r>
        <w:rPr>
          <w:rFonts w:hAnsi="宋体" w:hint="eastAsia"/>
        </w:rPr>
        <w:lastRenderedPageBreak/>
        <w:t>明细</w:t>
      </w:r>
      <w:bookmarkEnd w:id="218"/>
      <w:bookmarkEnd w:id="219"/>
      <w:bookmarkEnd w:id="220"/>
      <w:bookmarkEnd w:id="221"/>
      <w:bookmarkEnd w:id="222"/>
      <w:bookmarkEnd w:id="223"/>
      <w:bookmarkEnd w:id="224"/>
      <w:bookmarkEnd w:id="225"/>
      <w:proofErr w:type="spellEnd"/>
      <w:r>
        <w:rPr>
          <w:rFonts w:hAnsi="宋体" w:hint="eastAsia"/>
        </w:rPr>
        <w:t xml:space="preserve"> </w:t>
      </w:r>
    </w:p>
    <w:p w:rsidR="00E61370" w:rsidRDefault="00966571">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E61370" w:rsidRDefault="00966571">
      <w:pPr>
        <w:pStyle w:val="XBRLTitle2"/>
        <w:spacing w:before="156" w:line="360" w:lineRule="auto"/>
        <w:ind w:left="454"/>
      </w:pPr>
      <w:bookmarkStart w:id="227" w:name="_Toc17898204"/>
      <w:bookmarkStart w:id="228" w:name="_Toc17897956"/>
      <w:bookmarkStart w:id="229" w:name="_Toc481075073"/>
      <w:bookmarkStart w:id="230" w:name="_Toc438646474"/>
      <w:bookmarkStart w:id="231" w:name="_Toc490050026"/>
      <w:bookmarkStart w:id="232" w:name="_Toc512519505"/>
      <w:bookmarkStart w:id="233" w:name="_Toc513295865"/>
      <w:bookmarkStart w:id="234" w:name="_Toc513295917"/>
      <w:bookmarkStart w:id="235" w:name="m508"/>
      <w:bookmarkEnd w:id="226"/>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7"/>
      <w:bookmarkEnd w:id="228"/>
      <w:bookmarkEnd w:id="229"/>
      <w:bookmarkEnd w:id="230"/>
      <w:bookmarkEnd w:id="231"/>
      <w:bookmarkEnd w:id="232"/>
      <w:bookmarkEnd w:id="233"/>
      <w:bookmarkEnd w:id="234"/>
      <w:proofErr w:type="spellEnd"/>
      <w:r>
        <w:rPr>
          <w:rFonts w:hAnsi="宋体" w:hint="eastAsia"/>
        </w:rPr>
        <w:t xml:space="preserve"> </w:t>
      </w:r>
    </w:p>
    <w:p w:rsidR="00E61370" w:rsidRDefault="00966571">
      <w:pPr>
        <w:spacing w:line="360" w:lineRule="auto"/>
        <w:ind w:firstLineChars="200" w:firstLine="420"/>
        <w:divId w:val="176966926"/>
      </w:pPr>
      <w:r>
        <w:rPr>
          <w:rFonts w:ascii="宋体" w:hAnsi="宋体" w:hint="eastAsia"/>
          <w:szCs w:val="21"/>
          <w:lang w:eastAsia="zh-Hans"/>
        </w:rPr>
        <w:t>本基金本报告期末未持有贵金属。</w:t>
      </w:r>
    </w:p>
    <w:p w:rsidR="00E61370" w:rsidRDefault="00966571">
      <w:pPr>
        <w:pStyle w:val="XBRLTitle2"/>
        <w:spacing w:before="156" w:line="360" w:lineRule="auto"/>
        <w:ind w:left="454"/>
      </w:pPr>
      <w:bookmarkStart w:id="236" w:name="_Toc17898205"/>
      <w:bookmarkStart w:id="237" w:name="_Toc17897957"/>
      <w:bookmarkStart w:id="238" w:name="_Toc481075074"/>
      <w:bookmarkStart w:id="239" w:name="_Toc438646475"/>
      <w:bookmarkStart w:id="240" w:name="_Toc490050027"/>
      <w:bookmarkStart w:id="241" w:name="_Toc512519506"/>
      <w:bookmarkStart w:id="242" w:name="_Toc513295866"/>
      <w:bookmarkStart w:id="243" w:name="_Toc513295918"/>
      <w:bookmarkStart w:id="244" w:name="m509"/>
      <w:bookmarkEnd w:id="235"/>
      <w:proofErr w:type="spellStart"/>
      <w:r>
        <w:rPr>
          <w:rFonts w:hAnsi="宋体" w:hint="eastAsia"/>
        </w:rPr>
        <w:t>报告期末按公允价值占基金资产净值比例大小排序的前五名权证投资明细</w:t>
      </w:r>
      <w:bookmarkEnd w:id="236"/>
      <w:bookmarkEnd w:id="237"/>
      <w:bookmarkEnd w:id="238"/>
      <w:bookmarkEnd w:id="239"/>
      <w:bookmarkEnd w:id="240"/>
      <w:bookmarkEnd w:id="241"/>
      <w:bookmarkEnd w:id="242"/>
      <w:bookmarkEnd w:id="243"/>
      <w:proofErr w:type="spellEnd"/>
      <w:r>
        <w:rPr>
          <w:rFonts w:hAnsi="宋体" w:hint="eastAsia"/>
        </w:rPr>
        <w:t xml:space="preserve"> </w:t>
      </w:r>
      <w:bookmarkEnd w:id="244"/>
    </w:p>
    <w:p w:rsidR="00E61370" w:rsidRDefault="00966571">
      <w:pPr>
        <w:spacing w:line="360" w:lineRule="auto"/>
        <w:ind w:firstLineChars="200" w:firstLine="420"/>
        <w:divId w:val="1134175304"/>
      </w:pPr>
      <w:r>
        <w:rPr>
          <w:rFonts w:ascii="宋体" w:hAnsi="宋体" w:hint="eastAsia"/>
          <w:szCs w:val="21"/>
          <w:lang w:eastAsia="zh-Hans"/>
        </w:rPr>
        <w:t>本基金本报告期末未持有权证。</w:t>
      </w:r>
    </w:p>
    <w:p w:rsidR="00E61370" w:rsidRDefault="00966571">
      <w:pPr>
        <w:pStyle w:val="XBRLTitle2"/>
        <w:spacing w:before="156"/>
        <w:ind w:left="454"/>
      </w:pPr>
      <w:bookmarkStart w:id="245" w:name="_Toc17898206"/>
      <w:proofErr w:type="spellStart"/>
      <w:r>
        <w:rPr>
          <w:rFonts w:hint="eastAsia"/>
        </w:rPr>
        <w:t>报告期末本基金投资的股指期货交易情况说明</w:t>
      </w:r>
      <w:bookmarkEnd w:id="245"/>
      <w:bookmarkEnd w:id="186"/>
      <w:bookmarkEnd w:id="187"/>
      <w:bookmarkEnd w:id="188"/>
      <w:bookmarkEnd w:id="189"/>
      <w:bookmarkEnd w:id="190"/>
      <w:bookmarkEnd w:id="191"/>
      <w:bookmarkEnd w:id="192"/>
      <w:bookmarkEnd w:id="193"/>
      <w:bookmarkEnd w:id="71"/>
      <w:bookmarkEnd w:id="72"/>
      <w:bookmarkEnd w:id="16"/>
      <w:proofErr w:type="spellEnd"/>
    </w:p>
    <w:p w:rsidR="00E61370" w:rsidRDefault="00966571">
      <w:pPr>
        <w:spacing w:line="360" w:lineRule="auto"/>
        <w:ind w:firstLineChars="200" w:firstLine="420"/>
        <w:divId w:val="1825122092"/>
      </w:pPr>
      <w:r>
        <w:rPr>
          <w:rFonts w:ascii="宋体" w:hAnsi="宋体" w:hint="eastAsia"/>
          <w:szCs w:val="21"/>
          <w:lang w:eastAsia="zh-Hans"/>
        </w:rPr>
        <w:t>本基金本报告期末未持有股指期货。</w:t>
      </w:r>
    </w:p>
    <w:p w:rsidR="00E61370" w:rsidRDefault="00966571">
      <w:pPr>
        <w:pStyle w:val="XBRLTitle2"/>
        <w:spacing w:before="156" w:line="360" w:lineRule="auto"/>
        <w:ind w:left="454"/>
      </w:pPr>
      <w:bookmarkStart w:id="246" w:name="_Toc17898209"/>
      <w:bookmarkStart w:id="247" w:name="_Toc17897959"/>
      <w:bookmarkStart w:id="248" w:name="_Toc512519510"/>
      <w:bookmarkStart w:id="249" w:name="_Toc481075078"/>
      <w:bookmarkStart w:id="250" w:name="_Toc490050031"/>
      <w:bookmarkStart w:id="251" w:name="_Toc513295868"/>
      <w:bookmarkStart w:id="252" w:name="_Toc513295922"/>
      <w:bookmarkStart w:id="253" w:name="_Toc438646476"/>
      <w:proofErr w:type="spellStart"/>
      <w:r>
        <w:rPr>
          <w:rFonts w:hAnsi="宋体" w:hint="eastAsia"/>
        </w:rPr>
        <w:t>报告期末本基金投资的国债期货交易情况说明</w:t>
      </w:r>
      <w:bookmarkEnd w:id="246"/>
      <w:bookmarkEnd w:id="247"/>
      <w:bookmarkEnd w:id="248"/>
      <w:bookmarkEnd w:id="249"/>
      <w:bookmarkEnd w:id="250"/>
      <w:bookmarkEnd w:id="251"/>
      <w:bookmarkEnd w:id="252"/>
      <w:proofErr w:type="spellEnd"/>
      <w:r>
        <w:rPr>
          <w:rFonts w:hAnsi="宋体" w:hint="eastAsia"/>
        </w:rPr>
        <w:t xml:space="preserve"> </w:t>
      </w:r>
      <w:bookmarkEnd w:id="253"/>
    </w:p>
    <w:p w:rsidR="00E61370" w:rsidRDefault="00966571">
      <w:pPr>
        <w:spacing w:line="360" w:lineRule="auto"/>
        <w:ind w:firstLineChars="200" w:firstLine="420"/>
        <w:divId w:val="1219709031"/>
      </w:pPr>
      <w:bookmarkStart w:id="254" w:name="m510_01_1597"/>
      <w:bookmarkStart w:id="255" w:name="m510_01_1598"/>
      <w:bookmarkEnd w:id="254"/>
      <w:r>
        <w:rPr>
          <w:rFonts w:ascii="宋体" w:hAnsi="宋体" w:hint="eastAsia"/>
          <w:szCs w:val="21"/>
          <w:lang w:eastAsia="zh-Hans"/>
        </w:rPr>
        <w:t>本基金本报告期末未持有国债期货。</w:t>
      </w:r>
    </w:p>
    <w:p w:rsidR="00E61370" w:rsidRDefault="00966571">
      <w:pPr>
        <w:pStyle w:val="XBRLTitle2"/>
        <w:spacing w:before="156" w:line="360" w:lineRule="auto"/>
        <w:ind w:left="454"/>
      </w:pPr>
      <w:bookmarkStart w:id="256" w:name="_Toc17898213"/>
      <w:bookmarkStart w:id="257" w:name="_Toc17897960"/>
      <w:bookmarkStart w:id="258" w:name="_Toc512519514"/>
      <w:bookmarkStart w:id="259" w:name="_Toc481075082"/>
      <w:bookmarkStart w:id="260" w:name="_Toc490050035"/>
      <w:bookmarkStart w:id="261" w:name="_Toc513295869"/>
      <w:bookmarkStart w:id="262" w:name="_Toc513295926"/>
      <w:proofErr w:type="spellStart"/>
      <w:r>
        <w:rPr>
          <w:rFonts w:hAnsi="宋体" w:hint="eastAsia"/>
        </w:rPr>
        <w:t>投资组合报告附注</w:t>
      </w:r>
      <w:bookmarkEnd w:id="256"/>
      <w:bookmarkEnd w:id="257"/>
      <w:bookmarkEnd w:id="258"/>
      <w:bookmarkEnd w:id="259"/>
      <w:bookmarkEnd w:id="260"/>
      <w:bookmarkEnd w:id="261"/>
      <w:bookmarkEnd w:id="262"/>
      <w:proofErr w:type="spellEnd"/>
      <w:r>
        <w:rPr>
          <w:rFonts w:hAnsi="宋体" w:hint="eastAsia"/>
        </w:rPr>
        <w:t xml:space="preserve"> </w:t>
      </w:r>
    </w:p>
    <w:p w:rsidR="00E61370" w:rsidRDefault="00966571">
      <w:pPr>
        <w:pStyle w:val="XBRLTitle3"/>
        <w:spacing w:before="156"/>
        <w:ind w:left="0"/>
      </w:pPr>
      <w:bookmarkStart w:id="263" w:name="_Toc513295927"/>
      <w:bookmarkStart w:id="264" w:name="_Toc490050036"/>
      <w:bookmarkStart w:id="265" w:name="_Toc481075083"/>
      <w:bookmarkStart w:id="266" w:name="_Toc512519515"/>
      <w:bookmarkStart w:id="267" w:name="_Toc17898214"/>
      <w:bookmarkEnd w:id="263"/>
      <w:bookmarkEnd w:id="264"/>
      <w:bookmarkEnd w:id="265"/>
      <w:bookmarkEnd w:id="266"/>
      <w:r>
        <w:rPr>
          <w:rFonts w:hint="eastAsia"/>
          <w:lang w:eastAsia="zh-CN"/>
        </w:rPr>
        <w:t xml:space="preserve"> </w:t>
      </w:r>
      <w:bookmarkEnd w:id="267"/>
    </w:p>
    <w:p w:rsidR="00E61370" w:rsidRDefault="00966571">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E61370" w:rsidRDefault="00966571">
      <w:pPr>
        <w:pStyle w:val="XBRLTitle3"/>
        <w:spacing w:before="156"/>
        <w:ind w:left="0"/>
      </w:pPr>
      <w:bookmarkStart w:id="268" w:name="_Toc490050037"/>
      <w:bookmarkStart w:id="269" w:name="_Toc481075084"/>
      <w:bookmarkStart w:id="270" w:name="_Toc512519516"/>
      <w:bookmarkStart w:id="271" w:name="_Toc513295928"/>
      <w:bookmarkStart w:id="272" w:name="_Toc17898215"/>
      <w:bookmarkEnd w:id="268"/>
      <w:bookmarkEnd w:id="269"/>
      <w:bookmarkEnd w:id="270"/>
      <w:bookmarkEnd w:id="271"/>
      <w:r>
        <w:rPr>
          <w:rFonts w:hint="eastAsia"/>
          <w:lang w:eastAsia="zh-CN"/>
        </w:rPr>
        <w:t xml:space="preserve"> </w:t>
      </w:r>
      <w:bookmarkEnd w:id="272"/>
    </w:p>
    <w:p w:rsidR="00E61370" w:rsidRDefault="00966571">
      <w:pPr>
        <w:spacing w:line="360" w:lineRule="auto"/>
        <w:ind w:firstLineChars="200" w:firstLine="420"/>
      </w:pPr>
      <w:r>
        <w:rPr>
          <w:rFonts w:ascii="宋体" w:hAnsi="宋体" w:hint="eastAsia"/>
        </w:rPr>
        <w:t>报告期内本基金投资的前十名股票中没有在基金合同规定备选股票库之外的股票。</w:t>
      </w:r>
    </w:p>
    <w:p w:rsidR="00E61370" w:rsidRDefault="00966571">
      <w:pPr>
        <w:pStyle w:val="XBRLTitle3"/>
        <w:spacing w:before="156"/>
        <w:ind w:left="0"/>
      </w:pPr>
      <w:bookmarkStart w:id="273" w:name="_Toc17898216"/>
      <w:bookmarkStart w:id="274" w:name="_Toc481075085"/>
      <w:bookmarkStart w:id="275" w:name="_Toc490050038"/>
      <w:bookmarkStart w:id="276" w:name="_Toc512519517"/>
      <w:bookmarkStart w:id="277" w:name="_Toc513295929"/>
      <w:bookmarkStart w:id="278" w:name="m510_02"/>
      <w:bookmarkEnd w:id="255"/>
      <w:proofErr w:type="spellStart"/>
      <w:r>
        <w:rPr>
          <w:rFonts w:hint="eastAsia"/>
        </w:rPr>
        <w:t>其他资产构成</w:t>
      </w:r>
      <w:bookmarkEnd w:id="273"/>
      <w:bookmarkEnd w:id="274"/>
      <w:bookmarkEnd w:id="275"/>
      <w:bookmarkEnd w:id="276"/>
      <w:bookmarkEnd w:id="27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E61370">
        <w:trPr>
          <w:divId w:val="23471004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370" w:rsidRDefault="00966571">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370" w:rsidRDefault="00966571">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370" w:rsidRDefault="00966571">
            <w:pPr>
              <w:jc w:val="center"/>
            </w:pPr>
            <w:r>
              <w:rPr>
                <w:rFonts w:ascii="宋体" w:hAnsi="宋体" w:hint="eastAsia"/>
              </w:rPr>
              <w:t>金额（元）</w:t>
            </w:r>
            <w:r>
              <w:t xml:space="preserve"> </w:t>
            </w:r>
          </w:p>
        </w:tc>
      </w:tr>
      <w:tr w:rsidR="00E61370">
        <w:trPr>
          <w:divId w:val="23471004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rPr>
              <w:t>855,158.77</w:t>
            </w:r>
          </w:p>
        </w:tc>
      </w:tr>
      <w:tr w:rsidR="00E61370">
        <w:trPr>
          <w:divId w:val="23471004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rPr>
              <w:t>68,346,960.59</w:t>
            </w:r>
          </w:p>
        </w:tc>
      </w:tr>
      <w:tr w:rsidR="00E61370">
        <w:trPr>
          <w:divId w:val="23471004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rPr>
              <w:t>-</w:t>
            </w:r>
          </w:p>
        </w:tc>
      </w:tr>
      <w:tr w:rsidR="00E61370">
        <w:trPr>
          <w:divId w:val="23471004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rPr>
              <w:t>-</w:t>
            </w:r>
          </w:p>
        </w:tc>
      </w:tr>
      <w:tr w:rsidR="00E61370">
        <w:trPr>
          <w:divId w:val="23471004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rPr>
              <w:t>235,972.83</w:t>
            </w:r>
          </w:p>
        </w:tc>
      </w:tr>
      <w:tr w:rsidR="00E61370">
        <w:trPr>
          <w:divId w:val="23471004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rPr>
              <w:t>-</w:t>
            </w:r>
          </w:p>
        </w:tc>
      </w:tr>
      <w:tr w:rsidR="00E61370">
        <w:trPr>
          <w:divId w:val="23471004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rPr>
              <w:t>-</w:t>
            </w:r>
          </w:p>
        </w:tc>
      </w:tr>
      <w:tr w:rsidR="00E61370">
        <w:trPr>
          <w:divId w:val="23471004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rPr>
              <w:t>69,438,092.19</w:t>
            </w:r>
          </w:p>
        </w:tc>
      </w:tr>
    </w:tbl>
    <w:p w:rsidR="00E61370" w:rsidRDefault="00966571">
      <w:pPr>
        <w:pStyle w:val="XBRLTitle3"/>
        <w:spacing w:before="156"/>
        <w:ind w:left="0"/>
      </w:pPr>
      <w:bookmarkStart w:id="279" w:name="_Toc17898217"/>
      <w:bookmarkStart w:id="280" w:name="_Toc481075086"/>
      <w:bookmarkStart w:id="281" w:name="_Toc490050039"/>
      <w:bookmarkStart w:id="282" w:name="_Toc512519518"/>
      <w:bookmarkStart w:id="283" w:name="_Toc513295930"/>
      <w:bookmarkStart w:id="284" w:name="m510_03"/>
      <w:bookmarkEnd w:id="278"/>
      <w:proofErr w:type="spellStart"/>
      <w:r>
        <w:rPr>
          <w:rFonts w:hint="eastAsia"/>
        </w:rPr>
        <w:t>报告期末持有的处于转股期的可转换债券明细</w:t>
      </w:r>
      <w:bookmarkEnd w:id="279"/>
      <w:bookmarkEnd w:id="280"/>
      <w:bookmarkEnd w:id="281"/>
      <w:bookmarkEnd w:id="282"/>
      <w:bookmarkEnd w:id="283"/>
      <w:proofErr w:type="spellEnd"/>
    </w:p>
    <w:p w:rsidR="00E61370" w:rsidRDefault="00966571">
      <w:pPr>
        <w:spacing w:line="360" w:lineRule="auto"/>
        <w:ind w:firstLineChars="200" w:firstLine="420"/>
        <w:jc w:val="left"/>
      </w:pPr>
      <w:r>
        <w:rPr>
          <w:rFonts w:ascii="宋体" w:hAnsi="宋体" w:hint="eastAsia"/>
        </w:rPr>
        <w:t xml:space="preserve">本基金本报告期末未持有处于转股期的可转换债券。 </w:t>
      </w:r>
    </w:p>
    <w:p w:rsidR="00E61370" w:rsidRDefault="00966571">
      <w:pPr>
        <w:pStyle w:val="XBRLTitle3"/>
        <w:spacing w:before="156"/>
        <w:ind w:left="0"/>
      </w:pPr>
      <w:bookmarkStart w:id="285" w:name="_Toc17898218"/>
      <w:bookmarkStart w:id="286" w:name="_Toc481075087"/>
      <w:bookmarkStart w:id="287" w:name="_Toc490050040"/>
      <w:bookmarkStart w:id="288" w:name="_Toc512519519"/>
      <w:bookmarkStart w:id="289" w:name="_Toc513295931"/>
      <w:bookmarkStart w:id="290" w:name="m510_04"/>
      <w:bookmarkEnd w:id="284"/>
      <w:proofErr w:type="spellStart"/>
      <w:r>
        <w:rPr>
          <w:rFonts w:hint="eastAsia"/>
        </w:rPr>
        <w:lastRenderedPageBreak/>
        <w:t>报告期末前十名股票中存在流通受限情况的说明</w:t>
      </w:r>
      <w:bookmarkEnd w:id="285"/>
      <w:bookmarkEnd w:id="286"/>
      <w:bookmarkEnd w:id="287"/>
      <w:bookmarkEnd w:id="288"/>
      <w:bookmarkEnd w:id="289"/>
      <w:proofErr w:type="spellEnd"/>
    </w:p>
    <w:p w:rsidR="00E61370" w:rsidRDefault="00966571">
      <w:pPr>
        <w:spacing w:line="360" w:lineRule="auto"/>
        <w:ind w:firstLineChars="200" w:firstLine="420"/>
        <w:jc w:val="left"/>
        <w:divId w:val="773327636"/>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17"/>
    </w:p>
    <w:p w:rsidR="00E61370" w:rsidRDefault="00966571">
      <w:pPr>
        <w:pStyle w:val="XBRLTitle3"/>
        <w:spacing w:before="156"/>
        <w:ind w:left="0"/>
      </w:pPr>
      <w:bookmarkStart w:id="291" w:name="_Toc17898219"/>
      <w:bookmarkStart w:id="292" w:name="_Toc512519520"/>
      <w:bookmarkStart w:id="293" w:name="_Toc481075088"/>
      <w:bookmarkStart w:id="294" w:name="_Toc490050041"/>
      <w:bookmarkStart w:id="295" w:name="_Toc513295932"/>
      <w:bookmarkStart w:id="296" w:name="m510_05_1678"/>
      <w:bookmarkEnd w:id="290"/>
      <w:proofErr w:type="spellStart"/>
      <w:r>
        <w:rPr>
          <w:rFonts w:hint="eastAsia"/>
        </w:rPr>
        <w:t>投资组合报告附注的其他文字描述部分</w:t>
      </w:r>
      <w:bookmarkEnd w:id="291"/>
      <w:bookmarkEnd w:id="292"/>
      <w:bookmarkEnd w:id="293"/>
      <w:bookmarkEnd w:id="294"/>
      <w:bookmarkEnd w:id="295"/>
      <w:proofErr w:type="spellEnd"/>
      <w:r>
        <w:rPr>
          <w:rFonts w:hint="eastAsia"/>
          <w:sz w:val="21"/>
        </w:rPr>
        <w:t xml:space="preserve"> </w:t>
      </w:r>
    </w:p>
    <w:p w:rsidR="00E61370" w:rsidRDefault="00966571">
      <w:pPr>
        <w:spacing w:line="360" w:lineRule="auto"/>
        <w:ind w:firstLineChars="200" w:firstLine="420"/>
        <w:jc w:val="left"/>
      </w:pPr>
      <w:r>
        <w:rPr>
          <w:rFonts w:ascii="宋体" w:hAnsi="宋体" w:hint="eastAsia"/>
        </w:rPr>
        <w:t>因四舍五入原因，投资组合报告中分项之和与合计可能存在尾差。</w:t>
      </w:r>
      <w:bookmarkEnd w:id="296"/>
      <w:r>
        <w:rPr>
          <w:rFonts w:ascii="宋体" w:hAnsi="宋体" w:hint="eastAsia"/>
        </w:rPr>
        <w:t xml:space="preserve"> </w:t>
      </w:r>
    </w:p>
    <w:p w:rsidR="00E61370" w:rsidRDefault="00966571">
      <w:pPr>
        <w:pStyle w:val="XBRLTitle1"/>
        <w:spacing w:before="156" w:line="360" w:lineRule="auto"/>
        <w:ind w:left="425"/>
      </w:pPr>
      <w:bookmarkStart w:id="297" w:name="_Toc17898220"/>
      <w:bookmarkStart w:id="298" w:name="_Toc17897961"/>
      <w:bookmarkStart w:id="299" w:name="_Toc512519521"/>
      <w:bookmarkStart w:id="300" w:name="_Toc481075089"/>
      <w:bookmarkStart w:id="301" w:name="_Toc438646477"/>
      <w:bookmarkStart w:id="302" w:name="_Toc490050042"/>
      <w:bookmarkStart w:id="303" w:name="_Toc513295870"/>
      <w:bookmarkStart w:id="304" w:name="_Toc513295933"/>
      <w:bookmarkStart w:id="305" w:name="m601"/>
      <w:bookmarkEnd w:id="184"/>
      <w:proofErr w:type="spellStart"/>
      <w:r>
        <w:rPr>
          <w:rFonts w:hAnsi="宋体" w:hint="eastAsia"/>
        </w:rPr>
        <w:t>开放式基金份额变动</w:t>
      </w:r>
      <w:bookmarkStart w:id="306" w:name="m601_tab"/>
      <w:bookmarkEnd w:id="297"/>
      <w:bookmarkEnd w:id="298"/>
      <w:bookmarkEnd w:id="299"/>
      <w:bookmarkEnd w:id="300"/>
      <w:bookmarkEnd w:id="301"/>
      <w:bookmarkEnd w:id="302"/>
      <w:bookmarkEnd w:id="303"/>
      <w:bookmarkEnd w:id="304"/>
      <w:proofErr w:type="spellEnd"/>
      <w:r>
        <w:rPr>
          <w:rFonts w:hAnsi="宋体" w:hint="eastAsia"/>
        </w:rPr>
        <w:t xml:space="preserve"> </w:t>
      </w:r>
    </w:p>
    <w:p w:rsidR="00E61370" w:rsidRDefault="00966571">
      <w:pPr>
        <w:wordWrap w:val="0"/>
        <w:spacing w:line="360" w:lineRule="auto"/>
        <w:jc w:val="right"/>
        <w:divId w:val="425418414"/>
      </w:pPr>
      <w:bookmarkStart w:id="307"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66"/>
        <w:gridCol w:w="2455"/>
      </w:tblGrid>
      <w:tr w:rsidR="00E61370">
        <w:trPr>
          <w:divId w:val="425418414"/>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E61370" w:rsidRDefault="00966571">
            <w:pPr>
              <w:pStyle w:val="xl33"/>
              <w:widowControl w:val="0"/>
              <w:pBdr>
                <w:left w:val="none" w:sz="0" w:space="0" w:color="auto"/>
                <w:bottom w:val="none" w:sz="0" w:space="0" w:color="auto"/>
                <w:right w:val="none" w:sz="0" w:space="0" w:color="auto"/>
              </w:pBdr>
              <w:spacing w:before="0" w:beforeAutospacing="0" w:after="0" w:afterAutospacing="0"/>
              <w:jc w:val="both"/>
            </w:pPr>
            <w:bookmarkStart w:id="308" w:name="m10_01" w:colFirst="1" w:colLast="2"/>
            <w:bookmarkEnd w:id="307"/>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61370" w:rsidRDefault="00966571">
            <w:pPr>
              <w:ind w:right="3"/>
              <w:jc w:val="center"/>
            </w:pPr>
            <w:r>
              <w:rPr>
                <w:rFonts w:ascii="宋体" w:hAnsi="宋体" w:hint="eastAsia"/>
                <w:lang w:eastAsia="zh-Hans"/>
              </w:rPr>
              <w:t>摩根科技前沿混合A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61370" w:rsidRDefault="00966571">
            <w:pPr>
              <w:ind w:right="3"/>
              <w:jc w:val="center"/>
            </w:pPr>
            <w:r>
              <w:rPr>
                <w:rFonts w:ascii="宋体" w:hAnsi="宋体" w:hint="eastAsia"/>
                <w:lang w:eastAsia="zh-Hans"/>
              </w:rPr>
              <w:t>摩根科技前沿混合C</w:t>
            </w:r>
            <w:r>
              <w:rPr>
                <w:rFonts w:ascii="宋体" w:hAnsi="宋体" w:hint="eastAsia"/>
                <w:kern w:val="0"/>
                <w:szCs w:val="24"/>
                <w:lang w:eastAsia="zh-Hans"/>
              </w:rPr>
              <w:t xml:space="preserve"> </w:t>
            </w:r>
          </w:p>
        </w:tc>
      </w:tr>
      <w:tr w:rsidR="00E61370">
        <w:trPr>
          <w:divId w:val="42541841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70" w:rsidRDefault="0096657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70" w:rsidRDefault="00966571">
            <w:pPr>
              <w:jc w:val="right"/>
            </w:pPr>
            <w:r>
              <w:rPr>
                <w:rFonts w:ascii="宋体" w:hAnsi="宋体" w:hint="eastAsia"/>
              </w:rPr>
              <w:t>1,311,122,586.95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70" w:rsidRDefault="00966571">
            <w:pPr>
              <w:jc w:val="right"/>
            </w:pPr>
            <w:r>
              <w:rPr>
                <w:rFonts w:ascii="宋体" w:hAnsi="宋体" w:hint="eastAsia"/>
              </w:rPr>
              <w:t>1,591,156.82</w:t>
            </w:r>
          </w:p>
        </w:tc>
      </w:tr>
      <w:tr w:rsidR="00E61370">
        <w:trPr>
          <w:divId w:val="42541841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70" w:rsidRDefault="0096657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70" w:rsidRDefault="00966571">
            <w:pPr>
              <w:jc w:val="right"/>
            </w:pPr>
            <w:r>
              <w:rPr>
                <w:rFonts w:ascii="宋体" w:hAnsi="宋体" w:hint="eastAsia"/>
              </w:rPr>
              <w:t>13,724,123.79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70" w:rsidRDefault="00966571">
            <w:pPr>
              <w:jc w:val="right"/>
            </w:pPr>
            <w:r>
              <w:rPr>
                <w:rFonts w:ascii="宋体" w:hAnsi="宋体" w:hint="eastAsia"/>
              </w:rPr>
              <w:t>199,781.33</w:t>
            </w:r>
          </w:p>
        </w:tc>
      </w:tr>
      <w:tr w:rsidR="00E61370">
        <w:trPr>
          <w:divId w:val="42541841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70" w:rsidRDefault="0096657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70" w:rsidRDefault="00966571">
            <w:pPr>
              <w:jc w:val="right"/>
            </w:pPr>
            <w:r>
              <w:rPr>
                <w:rFonts w:ascii="宋体" w:hAnsi="宋体" w:hint="eastAsia"/>
              </w:rPr>
              <w:t>68,258,570.92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70" w:rsidRDefault="00966571">
            <w:pPr>
              <w:jc w:val="right"/>
            </w:pPr>
            <w:r>
              <w:rPr>
                <w:rFonts w:ascii="宋体" w:hAnsi="宋体" w:hint="eastAsia"/>
              </w:rPr>
              <w:t>282,449.48</w:t>
            </w:r>
          </w:p>
        </w:tc>
      </w:tr>
      <w:tr w:rsidR="00E61370">
        <w:trPr>
          <w:divId w:val="42541841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70" w:rsidRDefault="0096657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70" w:rsidRDefault="00966571">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70" w:rsidRDefault="00966571">
            <w:pPr>
              <w:jc w:val="right"/>
            </w:pPr>
            <w:r>
              <w:rPr>
                <w:rFonts w:ascii="宋体" w:hAnsi="宋体" w:hint="eastAsia"/>
              </w:rPr>
              <w:t>-</w:t>
            </w:r>
          </w:p>
        </w:tc>
      </w:tr>
      <w:tr w:rsidR="00E61370">
        <w:trPr>
          <w:divId w:val="42541841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70" w:rsidRDefault="0096657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70" w:rsidRDefault="00966571">
            <w:pPr>
              <w:jc w:val="right"/>
            </w:pPr>
            <w:r>
              <w:rPr>
                <w:rFonts w:ascii="宋体" w:hAnsi="宋体" w:hint="eastAsia"/>
              </w:rPr>
              <w:t>1,256,588,139.82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1370" w:rsidRDefault="00966571">
            <w:pPr>
              <w:jc w:val="right"/>
            </w:pPr>
            <w:r>
              <w:rPr>
                <w:rFonts w:ascii="宋体" w:hAnsi="宋体" w:hint="eastAsia"/>
              </w:rPr>
              <w:t>1,508,488.67</w:t>
            </w:r>
          </w:p>
        </w:tc>
      </w:tr>
    </w:tbl>
    <w:p w:rsidR="00E61370" w:rsidRDefault="00966571">
      <w:pPr>
        <w:spacing w:line="360" w:lineRule="auto"/>
        <w:jc w:val="left"/>
        <w:divId w:val="425418414"/>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8"/>
      <w:r>
        <w:rPr>
          <w:rFonts w:ascii="宋体" w:hAnsi="宋体" w:hint="eastAsia"/>
        </w:rPr>
        <w:t xml:space="preserve"> </w:t>
      </w:r>
    </w:p>
    <w:p w:rsidR="00E61370" w:rsidRDefault="00966571">
      <w:pPr>
        <w:pStyle w:val="XBRLTitle1"/>
        <w:spacing w:before="156" w:line="360" w:lineRule="auto"/>
        <w:ind w:left="425"/>
      </w:pPr>
      <w:bookmarkStart w:id="309" w:name="_Toc17898221"/>
      <w:bookmarkStart w:id="310" w:name="_Toc17897962"/>
      <w:bookmarkStart w:id="311" w:name="m7manage01"/>
      <w:bookmarkStart w:id="312" w:name="_Toc512519522"/>
      <w:bookmarkStart w:id="313" w:name="_Toc481075090"/>
      <w:bookmarkStart w:id="314" w:name="_Toc438646478"/>
      <w:bookmarkStart w:id="315" w:name="_Toc490050043"/>
      <w:bookmarkStart w:id="316" w:name="_Toc513295871"/>
      <w:bookmarkStart w:id="317" w:name="_Toc513295934"/>
      <w:bookmarkEnd w:id="305"/>
      <w:bookmarkEnd w:id="306"/>
      <w:proofErr w:type="spellStart"/>
      <w:r>
        <w:rPr>
          <w:rFonts w:hAnsi="宋体" w:hint="eastAsia"/>
        </w:rPr>
        <w:t>基金管理人运用固有资金投资本基金情况</w:t>
      </w:r>
      <w:bookmarkEnd w:id="309"/>
      <w:bookmarkEnd w:id="310"/>
      <w:bookmarkEnd w:id="311"/>
      <w:bookmarkEnd w:id="312"/>
      <w:bookmarkEnd w:id="313"/>
      <w:bookmarkEnd w:id="314"/>
      <w:bookmarkEnd w:id="315"/>
      <w:bookmarkEnd w:id="316"/>
      <w:bookmarkEnd w:id="317"/>
      <w:proofErr w:type="spellEnd"/>
      <w:r>
        <w:rPr>
          <w:rFonts w:hAnsi="宋体" w:hint="eastAsia"/>
        </w:rPr>
        <w:t xml:space="preserve"> </w:t>
      </w:r>
    </w:p>
    <w:p w:rsidR="00E61370" w:rsidRDefault="00966571">
      <w:pPr>
        <w:pStyle w:val="XBRLTitle2"/>
        <w:spacing w:before="156" w:line="360" w:lineRule="auto"/>
        <w:ind w:left="454"/>
      </w:pPr>
      <w:bookmarkStart w:id="318" w:name="_Toc17898222"/>
      <w:bookmarkStart w:id="319" w:name="_Toc17897963"/>
      <w:bookmarkStart w:id="320" w:name="_Toc512519523"/>
      <w:bookmarkStart w:id="321" w:name="_Toc481075091"/>
      <w:bookmarkStart w:id="322" w:name="_Toc458599606"/>
      <w:bookmarkStart w:id="323" w:name="_Toc490050044"/>
      <w:bookmarkStart w:id="324" w:name="_Toc513295872"/>
      <w:bookmarkStart w:id="325" w:name="_Toc513295935"/>
      <w:proofErr w:type="spellStart"/>
      <w:r>
        <w:rPr>
          <w:rFonts w:hAnsi="宋体" w:hint="eastAsia"/>
        </w:rPr>
        <w:t>基金管理人持有本基金份额变动情况</w:t>
      </w:r>
      <w:bookmarkEnd w:id="318"/>
      <w:bookmarkEnd w:id="319"/>
      <w:bookmarkEnd w:id="320"/>
      <w:bookmarkEnd w:id="321"/>
      <w:bookmarkEnd w:id="322"/>
      <w:bookmarkEnd w:id="323"/>
      <w:bookmarkEnd w:id="324"/>
      <w:bookmarkEnd w:id="325"/>
      <w:proofErr w:type="spellEnd"/>
      <w:r>
        <w:rPr>
          <w:rFonts w:hAnsi="宋体" w:hint="eastAsia"/>
          <w:lang w:eastAsia="zh-CN"/>
        </w:rPr>
        <w:t xml:space="preserve"> </w:t>
      </w:r>
    </w:p>
    <w:p w:rsidR="00E61370" w:rsidRDefault="00966571">
      <w:pPr>
        <w:wordWrap w:val="0"/>
        <w:spacing w:line="360" w:lineRule="auto"/>
        <w:jc w:val="right"/>
        <w:divId w:val="648510850"/>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E61370">
        <w:trPr>
          <w:divId w:val="648510850"/>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jc w:val="center"/>
            </w:pPr>
            <w:r>
              <w:rPr>
                <w:rFonts w:ascii="宋体" w:hAnsi="宋体" w:hint="eastAsia"/>
                <w:lang w:eastAsia="zh-Hans"/>
              </w:rPr>
              <w:t>摩根科技前沿混合A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jc w:val="center"/>
            </w:pPr>
            <w:r>
              <w:rPr>
                <w:rFonts w:ascii="宋体" w:hAnsi="宋体" w:hint="eastAsia"/>
                <w:lang w:eastAsia="zh-Hans"/>
              </w:rPr>
              <w:t>摩根科技前沿混合C</w:t>
            </w:r>
            <w:r>
              <w:rPr>
                <w:rFonts w:ascii="宋体" w:hAnsi="宋体" w:hint="eastAsia"/>
                <w:color w:val="000000"/>
              </w:rPr>
              <w:t xml:space="preserve"> </w:t>
            </w:r>
          </w:p>
        </w:tc>
      </w:tr>
      <w:tr w:rsidR="00E61370">
        <w:trPr>
          <w:divId w:val="64851085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kern w:val="0"/>
                <w:szCs w:val="24"/>
                <w:lang w:eastAsia="zh-Hans"/>
              </w:rPr>
              <w:t>-</w:t>
            </w:r>
          </w:p>
        </w:tc>
      </w:tr>
      <w:tr w:rsidR="00E61370">
        <w:trPr>
          <w:divId w:val="64851085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1,474,830.99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szCs w:val="24"/>
                <w:lang w:eastAsia="zh-Hans"/>
              </w:rPr>
              <w:t>-</w:t>
            </w:r>
          </w:p>
        </w:tc>
      </w:tr>
      <w:tr w:rsidR="00E61370">
        <w:trPr>
          <w:divId w:val="64851085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lang w:eastAsia="zh-Hans"/>
              </w:rPr>
              <w:t>-</w:t>
            </w:r>
          </w:p>
        </w:tc>
      </w:tr>
      <w:tr w:rsidR="00E61370">
        <w:trPr>
          <w:divId w:val="64851085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lang w:eastAsia="zh-Hans"/>
              </w:rPr>
              <w:t>1,474,830.99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lang w:eastAsia="zh-Hans"/>
              </w:rPr>
              <w:t>-</w:t>
            </w:r>
          </w:p>
        </w:tc>
      </w:tr>
      <w:tr w:rsidR="00E61370">
        <w:trPr>
          <w:divId w:val="64851085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lang w:eastAsia="zh-Hans"/>
              </w:rPr>
              <w:t>0.12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jc w:val="right"/>
            </w:pPr>
            <w:r>
              <w:rPr>
                <w:rFonts w:ascii="宋体" w:hAnsi="宋体" w:hint="eastAsia"/>
                <w:lang w:eastAsia="zh-Hans"/>
              </w:rPr>
              <w:t>-</w:t>
            </w:r>
          </w:p>
        </w:tc>
      </w:tr>
    </w:tbl>
    <w:p w:rsidR="00E61370" w:rsidRDefault="00966571">
      <w:pPr>
        <w:pStyle w:val="XBRLTitle2"/>
        <w:spacing w:before="156" w:line="360" w:lineRule="auto"/>
        <w:ind w:left="454"/>
      </w:pPr>
      <w:bookmarkStart w:id="326" w:name="_Toc17898223"/>
      <w:bookmarkStart w:id="327" w:name="_Toc17897964"/>
      <w:bookmarkStart w:id="328" w:name="_Toc512519524"/>
      <w:bookmarkStart w:id="329" w:name="_Toc481075092"/>
      <w:bookmarkStart w:id="330" w:name="_Toc458599607"/>
      <w:bookmarkStart w:id="331" w:name="_Toc490050045"/>
      <w:bookmarkStart w:id="332" w:name="_Toc513295873"/>
      <w:bookmarkStart w:id="333" w:name="_Toc513295936"/>
      <w:proofErr w:type="spellStart"/>
      <w:r>
        <w:rPr>
          <w:rFonts w:hAnsi="宋体" w:hint="eastAsia"/>
        </w:rPr>
        <w:t>基金管理人运用固有资金投资本基金交易明细</w:t>
      </w:r>
      <w:bookmarkEnd w:id="326"/>
      <w:bookmarkEnd w:id="327"/>
      <w:bookmarkEnd w:id="328"/>
      <w:bookmarkEnd w:id="329"/>
      <w:bookmarkEnd w:id="330"/>
      <w:bookmarkEnd w:id="331"/>
      <w:bookmarkEnd w:id="332"/>
      <w:bookmarkEnd w:id="333"/>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E61370">
        <w:trPr>
          <w:divId w:val="2079473398"/>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适用费率(%) </w:t>
            </w:r>
          </w:p>
        </w:tc>
      </w:tr>
      <w:tr w:rsidR="00E61370">
        <w:trPr>
          <w:divId w:val="207947339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1,474,830.99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3,032,400.00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w:t>
            </w:r>
            <w:r>
              <w:t xml:space="preserve"> </w:t>
            </w:r>
          </w:p>
        </w:tc>
      </w:tr>
      <w:tr w:rsidR="00E61370">
        <w:trPr>
          <w:divId w:val="207947339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E61370"/>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E61370">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1,474,830.99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966571">
            <w:pPr>
              <w:spacing w:line="360" w:lineRule="auto"/>
              <w:jc w:val="right"/>
            </w:pPr>
            <w:r>
              <w:rPr>
                <w:rFonts w:ascii="宋体" w:hAnsi="宋体" w:hint="eastAsia"/>
              </w:rPr>
              <w:t>3,032,400.00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61370" w:rsidRDefault="00E61370"/>
        </w:tc>
      </w:tr>
    </w:tbl>
    <w:p w:rsidR="00E61370" w:rsidRDefault="00966571">
      <w:pPr>
        <w:spacing w:line="360" w:lineRule="auto"/>
        <w:jc w:val="left"/>
        <w:divId w:val="2084793569"/>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rsidR="00E61370" w:rsidRDefault="00966571">
      <w:pPr>
        <w:pStyle w:val="XBRLTitle1"/>
        <w:spacing w:before="156" w:line="360" w:lineRule="auto"/>
        <w:ind w:left="425"/>
      </w:pPr>
      <w:bookmarkStart w:id="334" w:name="_Toc17898225"/>
      <w:bookmarkStart w:id="335" w:name="_Toc17897966"/>
      <w:bookmarkStart w:id="336" w:name="_Toc512519526"/>
      <w:bookmarkStart w:id="337" w:name="_Toc490050046"/>
      <w:bookmarkStart w:id="338" w:name="_Toc481075094"/>
      <w:bookmarkStart w:id="339" w:name="_Toc479856294"/>
      <w:bookmarkStart w:id="340" w:name="_Toc513295875"/>
      <w:bookmarkStart w:id="341" w:name="_Toc513295938"/>
      <w:bookmarkStart w:id="342" w:name="m701"/>
      <w:proofErr w:type="spellStart"/>
      <w:r>
        <w:rPr>
          <w:rFonts w:hAnsi="宋体" w:hint="eastAsia"/>
        </w:rPr>
        <w:t>影响投资者决策的其他重要信息</w:t>
      </w:r>
      <w:bookmarkEnd w:id="334"/>
      <w:bookmarkEnd w:id="335"/>
      <w:bookmarkEnd w:id="336"/>
      <w:bookmarkEnd w:id="337"/>
      <w:bookmarkEnd w:id="338"/>
      <w:bookmarkEnd w:id="339"/>
      <w:bookmarkEnd w:id="340"/>
      <w:bookmarkEnd w:id="341"/>
      <w:proofErr w:type="spellEnd"/>
      <w:r>
        <w:rPr>
          <w:rFonts w:hAnsi="宋体" w:hint="eastAsia"/>
          <w:lang w:eastAsia="zh-CN"/>
        </w:rPr>
        <w:t xml:space="preserve"> </w:t>
      </w:r>
    </w:p>
    <w:p w:rsidR="00E61370" w:rsidRDefault="00966571">
      <w:pPr>
        <w:pStyle w:val="XBRLTitle2"/>
        <w:spacing w:before="156" w:line="360" w:lineRule="auto"/>
        <w:ind w:left="454"/>
      </w:pPr>
      <w:bookmarkStart w:id="343" w:name="_Toc17898226"/>
      <w:bookmarkStart w:id="344" w:name="_Toc17897967"/>
      <w:bookmarkStart w:id="345" w:name="_Toc512519527"/>
      <w:bookmarkStart w:id="346" w:name="_Toc481075095"/>
      <w:bookmarkStart w:id="347" w:name="_Toc490050047"/>
      <w:bookmarkStart w:id="348" w:name="_Toc513295876"/>
      <w:bookmarkStart w:id="349" w:name="_Toc513295939"/>
      <w:r>
        <w:rPr>
          <w:rFonts w:hAnsi="宋体" w:hint="eastAsia"/>
          <w:kern w:val="0"/>
        </w:rPr>
        <w:t>报告期内单一投资者持有基金份额比例达到或超过20%的情况</w:t>
      </w:r>
      <w:bookmarkEnd w:id="343"/>
      <w:bookmarkEnd w:id="344"/>
      <w:bookmarkEnd w:id="345"/>
      <w:bookmarkEnd w:id="346"/>
      <w:bookmarkEnd w:id="347"/>
      <w:bookmarkEnd w:id="348"/>
      <w:bookmarkEnd w:id="349"/>
      <w:r>
        <w:rPr>
          <w:rFonts w:hAnsi="宋体" w:hint="eastAsia"/>
          <w:kern w:val="0"/>
          <w:lang w:eastAsia="zh-CN"/>
        </w:rPr>
        <w:t xml:space="preserve"> </w:t>
      </w:r>
    </w:p>
    <w:bookmarkEnd w:id="23"/>
    <w:bookmarkEnd w:id="43"/>
    <w:bookmarkEnd w:id="44"/>
    <w:p w:rsidR="00E61370" w:rsidRDefault="00966571">
      <w:pPr>
        <w:spacing w:line="360" w:lineRule="auto"/>
        <w:ind w:firstLineChars="200" w:firstLine="420"/>
        <w:divId w:val="367754352"/>
        <w:rPr>
          <w:rFonts w:ascii="宋体" w:hAnsi="宋体"/>
          <w:szCs w:val="21"/>
          <w:lang w:eastAsia="zh-Hans"/>
        </w:rPr>
      </w:pPr>
      <w:r>
        <w:rPr>
          <w:rFonts w:ascii="宋体" w:hAnsi="宋体" w:hint="eastAsia"/>
          <w:szCs w:val="21"/>
          <w:lang w:eastAsia="zh-Hans"/>
        </w:rPr>
        <w:lastRenderedPageBreak/>
        <w:t>无。</w:t>
      </w:r>
    </w:p>
    <w:p w:rsidR="00E61370" w:rsidRDefault="00966571">
      <w:pPr>
        <w:pStyle w:val="XBRLTitle1"/>
        <w:spacing w:before="156" w:line="360" w:lineRule="auto"/>
        <w:ind w:left="425"/>
      </w:pPr>
      <w:bookmarkStart w:id="350" w:name="_Toc17898228"/>
      <w:bookmarkStart w:id="351" w:name="_Toc17897969"/>
      <w:bookmarkStart w:id="352" w:name="_Toc512519529"/>
      <w:bookmarkStart w:id="353" w:name="_Toc490050049"/>
      <w:bookmarkStart w:id="354" w:name="_Toc481075097"/>
      <w:bookmarkStart w:id="355" w:name="_Toc438646481"/>
      <w:bookmarkStart w:id="356" w:name="_Toc513295878"/>
      <w:bookmarkStart w:id="357" w:name="_Toc513295941"/>
      <w:bookmarkEnd w:id="342"/>
      <w:proofErr w:type="spellStart"/>
      <w:r>
        <w:rPr>
          <w:rFonts w:hAnsi="宋体" w:hint="eastAsia"/>
        </w:rPr>
        <w:t>备查文件目录</w:t>
      </w:r>
      <w:bookmarkEnd w:id="350"/>
      <w:bookmarkEnd w:id="351"/>
      <w:bookmarkEnd w:id="352"/>
      <w:bookmarkEnd w:id="353"/>
      <w:bookmarkEnd w:id="354"/>
      <w:bookmarkEnd w:id="355"/>
      <w:bookmarkEnd w:id="356"/>
      <w:bookmarkEnd w:id="357"/>
      <w:proofErr w:type="spellEnd"/>
      <w:r>
        <w:rPr>
          <w:rFonts w:hAnsi="宋体" w:hint="eastAsia"/>
        </w:rPr>
        <w:t xml:space="preserve"> </w:t>
      </w:r>
    </w:p>
    <w:p w:rsidR="00E61370" w:rsidRDefault="00966571">
      <w:pPr>
        <w:pStyle w:val="XBRLTitle2"/>
        <w:spacing w:before="156" w:line="360" w:lineRule="auto"/>
        <w:ind w:left="454"/>
      </w:pPr>
      <w:bookmarkStart w:id="358" w:name="_Toc438646482"/>
      <w:bookmarkStart w:id="359" w:name="_Toc17898229"/>
      <w:bookmarkStart w:id="360" w:name="_Toc17897970"/>
      <w:bookmarkStart w:id="361" w:name="_Toc512519530"/>
      <w:bookmarkStart w:id="362" w:name="_Toc481075098"/>
      <w:bookmarkStart w:id="363" w:name="_Toc490050050"/>
      <w:bookmarkStart w:id="364" w:name="_Toc513295879"/>
      <w:bookmarkStart w:id="365" w:name="_Toc513295942"/>
      <w:bookmarkStart w:id="366" w:name="m801_01_1733"/>
      <w:proofErr w:type="spellStart"/>
      <w:r>
        <w:rPr>
          <w:rFonts w:hAnsi="宋体" w:hint="eastAsia"/>
        </w:rPr>
        <w:t>备查文件目录</w:t>
      </w:r>
      <w:bookmarkEnd w:id="358"/>
      <w:bookmarkEnd w:id="359"/>
      <w:bookmarkEnd w:id="360"/>
      <w:bookmarkEnd w:id="361"/>
      <w:bookmarkEnd w:id="362"/>
      <w:bookmarkEnd w:id="363"/>
      <w:bookmarkEnd w:id="364"/>
      <w:bookmarkEnd w:id="365"/>
      <w:proofErr w:type="spellEnd"/>
      <w:r>
        <w:rPr>
          <w:rFonts w:hAnsi="宋体" w:hint="eastAsia"/>
        </w:rPr>
        <w:t xml:space="preserve"> </w:t>
      </w:r>
    </w:p>
    <w:p w:rsidR="00E61370" w:rsidRDefault="00966571">
      <w:pPr>
        <w:spacing w:line="360" w:lineRule="auto"/>
        <w:ind w:firstLineChars="200" w:firstLine="420"/>
        <w:jc w:val="left"/>
      </w:pPr>
      <w:r>
        <w:rPr>
          <w:rFonts w:ascii="宋体" w:hAnsi="宋体" w:cs="宋体" w:hint="eastAsia"/>
          <w:color w:val="000000"/>
          <w:kern w:val="0"/>
        </w:rPr>
        <w:t>1.中国证监会批准本基金设立的文件；</w:t>
      </w:r>
      <w:r>
        <w:rPr>
          <w:rFonts w:ascii="宋体" w:hAnsi="宋体" w:cs="宋体" w:hint="eastAsia"/>
          <w:color w:val="000000"/>
          <w:kern w:val="0"/>
        </w:rPr>
        <w:br/>
        <w:t xml:space="preserve">　　2.《摩根科技前沿灵活配置混合型证券投资基金基金合同》；</w:t>
      </w:r>
      <w:r>
        <w:rPr>
          <w:rFonts w:ascii="宋体" w:hAnsi="宋体" w:cs="宋体" w:hint="eastAsia"/>
          <w:color w:val="000000"/>
          <w:kern w:val="0"/>
        </w:rPr>
        <w:br/>
        <w:t xml:space="preserve">　　3.《摩根科技前沿灵活配置混合型证券投资基金托管协议》；</w:t>
      </w:r>
      <w:r>
        <w:rPr>
          <w:rFonts w:ascii="宋体" w:hAnsi="宋体" w:cs="宋体" w:hint="eastAsia"/>
          <w:color w:val="000000"/>
          <w:kern w:val="0"/>
        </w:rPr>
        <w:br/>
        <w:t xml:space="preserve">　　4.《摩根基金管理(中国)有限公司开放式基金业务规则》；</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p>
    <w:p w:rsidR="00E61370" w:rsidRDefault="00966571">
      <w:pPr>
        <w:pStyle w:val="XBRLTitle2"/>
        <w:spacing w:before="156" w:line="360" w:lineRule="auto"/>
        <w:ind w:left="454"/>
      </w:pPr>
      <w:bookmarkStart w:id="367" w:name="_Toc438646483"/>
      <w:bookmarkStart w:id="368" w:name="_Toc17898230"/>
      <w:bookmarkStart w:id="369" w:name="_Toc17897971"/>
      <w:bookmarkStart w:id="370" w:name="_Toc512519531"/>
      <w:bookmarkStart w:id="371" w:name="_Toc481075099"/>
      <w:bookmarkStart w:id="372" w:name="_Toc490050051"/>
      <w:bookmarkStart w:id="373" w:name="_Toc513295880"/>
      <w:bookmarkStart w:id="374" w:name="_Toc513295943"/>
      <w:bookmarkStart w:id="375" w:name="m801_01_1734"/>
      <w:bookmarkEnd w:id="366"/>
      <w:proofErr w:type="spellStart"/>
      <w:r>
        <w:rPr>
          <w:rFonts w:hAnsi="宋体" w:hint="eastAsia"/>
        </w:rPr>
        <w:t>存放地点</w:t>
      </w:r>
      <w:bookmarkEnd w:id="367"/>
      <w:bookmarkEnd w:id="368"/>
      <w:bookmarkEnd w:id="369"/>
      <w:bookmarkEnd w:id="370"/>
      <w:bookmarkEnd w:id="371"/>
      <w:bookmarkEnd w:id="372"/>
      <w:bookmarkEnd w:id="373"/>
      <w:bookmarkEnd w:id="374"/>
      <w:proofErr w:type="spellEnd"/>
      <w:r>
        <w:rPr>
          <w:rFonts w:hAnsi="宋体" w:hint="eastAsia"/>
        </w:rPr>
        <w:t xml:space="preserve"> </w:t>
      </w:r>
    </w:p>
    <w:p w:rsidR="00E61370" w:rsidRDefault="00966571">
      <w:pPr>
        <w:spacing w:line="360" w:lineRule="auto"/>
        <w:ind w:firstLineChars="200" w:firstLine="420"/>
        <w:jc w:val="left"/>
      </w:pPr>
      <w:r>
        <w:rPr>
          <w:rFonts w:ascii="宋体" w:hAnsi="宋体" w:cs="宋体" w:hint="eastAsia"/>
          <w:color w:val="000000"/>
          <w:kern w:val="0"/>
        </w:rPr>
        <w:t>基金管理人或基金托管人住所。</w:t>
      </w:r>
    </w:p>
    <w:p w:rsidR="00E61370" w:rsidRDefault="00966571">
      <w:pPr>
        <w:pStyle w:val="XBRLTitle2"/>
        <w:spacing w:before="156" w:line="360" w:lineRule="auto"/>
        <w:ind w:left="454"/>
      </w:pPr>
      <w:bookmarkStart w:id="376" w:name="_Toc438646484"/>
      <w:bookmarkStart w:id="377" w:name="_Toc17898231"/>
      <w:bookmarkStart w:id="378" w:name="_Toc17897972"/>
      <w:bookmarkStart w:id="379" w:name="_Toc512519532"/>
      <w:bookmarkStart w:id="380" w:name="_Toc481075100"/>
      <w:bookmarkStart w:id="381" w:name="_Toc490050052"/>
      <w:bookmarkStart w:id="382" w:name="_Toc513295881"/>
      <w:bookmarkStart w:id="383" w:name="_Toc513295944"/>
      <w:bookmarkStart w:id="384" w:name="m801_01_1735"/>
      <w:bookmarkEnd w:id="375"/>
      <w:proofErr w:type="spellStart"/>
      <w:r>
        <w:rPr>
          <w:rFonts w:hAnsi="宋体" w:hint="eastAsia"/>
        </w:rPr>
        <w:t>查阅方式</w:t>
      </w:r>
      <w:bookmarkEnd w:id="376"/>
      <w:bookmarkEnd w:id="377"/>
      <w:bookmarkEnd w:id="378"/>
      <w:bookmarkEnd w:id="379"/>
      <w:bookmarkEnd w:id="380"/>
      <w:bookmarkEnd w:id="381"/>
      <w:bookmarkEnd w:id="382"/>
      <w:bookmarkEnd w:id="383"/>
      <w:proofErr w:type="spellEnd"/>
      <w:r>
        <w:rPr>
          <w:rFonts w:hAnsi="宋体" w:hint="eastAsia"/>
        </w:rPr>
        <w:t xml:space="preserve"> </w:t>
      </w:r>
    </w:p>
    <w:p w:rsidR="00E61370" w:rsidRDefault="00966571">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4"/>
    <w:p w:rsidR="00E61370" w:rsidRDefault="00966571">
      <w:pPr>
        <w:spacing w:line="360" w:lineRule="auto"/>
        <w:ind w:firstLineChars="600" w:firstLine="1687"/>
        <w:jc w:val="left"/>
      </w:pPr>
      <w:r>
        <w:rPr>
          <w:rFonts w:ascii="宋体" w:hAnsi="宋体" w:hint="eastAsia"/>
          <w:b/>
          <w:bCs/>
          <w:sz w:val="28"/>
          <w:szCs w:val="30"/>
        </w:rPr>
        <w:t xml:space="preserve">　 </w:t>
      </w:r>
    </w:p>
    <w:p w:rsidR="00E61370" w:rsidRDefault="00966571">
      <w:pPr>
        <w:spacing w:line="360" w:lineRule="auto"/>
        <w:ind w:firstLineChars="600" w:firstLine="1687"/>
        <w:jc w:val="left"/>
      </w:pPr>
      <w:r>
        <w:rPr>
          <w:rFonts w:ascii="宋体" w:hAnsi="宋体" w:hint="eastAsia"/>
          <w:b/>
          <w:bCs/>
          <w:sz w:val="28"/>
          <w:szCs w:val="30"/>
        </w:rPr>
        <w:t xml:space="preserve">　 </w:t>
      </w:r>
    </w:p>
    <w:p w:rsidR="00E61370" w:rsidRDefault="00966571">
      <w:pPr>
        <w:spacing w:line="360" w:lineRule="auto"/>
        <w:ind w:firstLineChars="600" w:firstLine="1446"/>
        <w:jc w:val="right"/>
      </w:pPr>
      <w:r>
        <w:rPr>
          <w:rFonts w:ascii="宋体" w:hAnsi="宋体" w:hint="eastAsia"/>
          <w:b/>
          <w:bCs/>
          <w:sz w:val="24"/>
          <w:szCs w:val="24"/>
        </w:rPr>
        <w:t>摩根基金管理（中国）有限公司</w:t>
      </w:r>
    </w:p>
    <w:p w:rsidR="00E61370" w:rsidRDefault="00966571">
      <w:pPr>
        <w:spacing w:line="360" w:lineRule="auto"/>
        <w:ind w:firstLineChars="600" w:firstLine="1446"/>
        <w:jc w:val="right"/>
      </w:pPr>
      <w:r>
        <w:rPr>
          <w:rFonts w:ascii="宋体" w:hAnsi="宋体" w:hint="eastAsia"/>
          <w:b/>
          <w:bCs/>
          <w:sz w:val="24"/>
          <w:szCs w:val="24"/>
        </w:rPr>
        <w:t>2025年4月22日</w:t>
      </w:r>
      <w:bookmarkEnd w:id="24"/>
    </w:p>
    <w:sectPr w:rsidR="00E6137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370" w:rsidRDefault="00966571">
      <w:pPr>
        <w:rPr>
          <w:szCs w:val="21"/>
        </w:rPr>
      </w:pPr>
      <w:r>
        <w:rPr>
          <w:szCs w:val="21"/>
        </w:rPr>
        <w:separator/>
      </w:r>
      <w:r>
        <w:rPr>
          <w:szCs w:val="21"/>
        </w:rPr>
        <w:t xml:space="preserve"> </w:t>
      </w:r>
    </w:p>
  </w:endnote>
  <w:endnote w:type="continuationSeparator" w:id="0">
    <w:p w:rsidR="00E61370" w:rsidRDefault="00966571">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370" w:rsidRDefault="00966571">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161CE1">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161CE1">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370" w:rsidRDefault="00966571">
      <w:pPr>
        <w:rPr>
          <w:szCs w:val="21"/>
        </w:rPr>
      </w:pPr>
      <w:r>
        <w:rPr>
          <w:szCs w:val="21"/>
        </w:rPr>
        <w:separator/>
      </w:r>
      <w:r>
        <w:rPr>
          <w:szCs w:val="21"/>
        </w:rPr>
        <w:t xml:space="preserve"> </w:t>
      </w:r>
    </w:p>
  </w:footnote>
  <w:footnote w:type="continuationSeparator" w:id="0">
    <w:p w:rsidR="00E61370" w:rsidRDefault="00966571">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370" w:rsidRDefault="00966571">
    <w:pPr>
      <w:pStyle w:val="a8"/>
      <w:jc w:val="right"/>
    </w:pPr>
    <w:r>
      <w:rPr>
        <w:rFonts w:ascii="宋体" w:hAnsi="宋体" w:hint="eastAsia"/>
      </w:rPr>
      <w:t>摩根科技前沿灵活配置混合型证券投资基金2025年第1季度报告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71"/>
    <w:rsid w:val="00161CE1"/>
    <w:rsid w:val="00966571"/>
    <w:rsid w:val="00A37D6B"/>
    <w:rsid w:val="00E61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CD1FCBF7-2066-4084-86D2-2B0CE7DA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0601">
      <w:marLeft w:val="0"/>
      <w:marRight w:val="0"/>
      <w:marTop w:val="0"/>
      <w:marBottom w:val="0"/>
      <w:divBdr>
        <w:top w:val="none" w:sz="0" w:space="0" w:color="auto"/>
        <w:left w:val="none" w:sz="0" w:space="0" w:color="auto"/>
        <w:bottom w:val="none" w:sz="0" w:space="0" w:color="auto"/>
        <w:right w:val="none" w:sz="0" w:space="0" w:color="auto"/>
      </w:divBdr>
      <w:divsChild>
        <w:div w:id="648510850">
          <w:marLeft w:val="0"/>
          <w:marRight w:val="0"/>
          <w:marTop w:val="0"/>
          <w:marBottom w:val="0"/>
          <w:divBdr>
            <w:top w:val="none" w:sz="0" w:space="0" w:color="auto"/>
            <w:left w:val="none" w:sz="0" w:space="0" w:color="auto"/>
            <w:bottom w:val="none" w:sz="0" w:space="0" w:color="auto"/>
            <w:right w:val="none" w:sz="0" w:space="0" w:color="auto"/>
          </w:divBdr>
        </w:div>
      </w:divsChild>
    </w:div>
    <w:div w:id="125591937">
      <w:marLeft w:val="0"/>
      <w:marRight w:val="0"/>
      <w:marTop w:val="0"/>
      <w:marBottom w:val="0"/>
      <w:divBdr>
        <w:top w:val="none" w:sz="0" w:space="0" w:color="auto"/>
        <w:left w:val="none" w:sz="0" w:space="0" w:color="auto"/>
        <w:bottom w:val="none" w:sz="0" w:space="0" w:color="auto"/>
        <w:right w:val="none" w:sz="0" w:space="0" w:color="auto"/>
      </w:divBdr>
    </w:div>
    <w:div w:id="176966926">
      <w:marLeft w:val="0"/>
      <w:marRight w:val="0"/>
      <w:marTop w:val="0"/>
      <w:marBottom w:val="0"/>
      <w:divBdr>
        <w:top w:val="none" w:sz="0" w:space="0" w:color="auto"/>
        <w:left w:val="none" w:sz="0" w:space="0" w:color="auto"/>
        <w:bottom w:val="none" w:sz="0" w:space="0" w:color="auto"/>
        <w:right w:val="none" w:sz="0" w:space="0" w:color="auto"/>
      </w:divBdr>
    </w:div>
    <w:div w:id="367754352">
      <w:marLeft w:val="0"/>
      <w:marRight w:val="0"/>
      <w:marTop w:val="0"/>
      <w:marBottom w:val="0"/>
      <w:divBdr>
        <w:top w:val="none" w:sz="0" w:space="0" w:color="auto"/>
        <w:left w:val="none" w:sz="0" w:space="0" w:color="auto"/>
        <w:bottom w:val="none" w:sz="0" w:space="0" w:color="auto"/>
        <w:right w:val="none" w:sz="0" w:space="0" w:color="auto"/>
      </w:divBdr>
    </w:div>
    <w:div w:id="425418414">
      <w:marLeft w:val="0"/>
      <w:marRight w:val="0"/>
      <w:marTop w:val="0"/>
      <w:marBottom w:val="0"/>
      <w:divBdr>
        <w:top w:val="none" w:sz="0" w:space="0" w:color="auto"/>
        <w:left w:val="none" w:sz="0" w:space="0" w:color="auto"/>
        <w:bottom w:val="none" w:sz="0" w:space="0" w:color="auto"/>
        <w:right w:val="none" w:sz="0" w:space="0" w:color="auto"/>
      </w:divBdr>
    </w:div>
    <w:div w:id="516702450">
      <w:marLeft w:val="0"/>
      <w:marRight w:val="0"/>
      <w:marTop w:val="0"/>
      <w:marBottom w:val="0"/>
      <w:divBdr>
        <w:top w:val="none" w:sz="0" w:space="0" w:color="auto"/>
        <w:left w:val="none" w:sz="0" w:space="0" w:color="auto"/>
        <w:bottom w:val="none" w:sz="0" w:space="0" w:color="auto"/>
        <w:right w:val="none" w:sz="0" w:space="0" w:color="auto"/>
      </w:divBdr>
      <w:divsChild>
        <w:div w:id="1762529986">
          <w:marLeft w:val="0"/>
          <w:marRight w:val="0"/>
          <w:marTop w:val="0"/>
          <w:marBottom w:val="0"/>
          <w:divBdr>
            <w:top w:val="none" w:sz="0" w:space="0" w:color="auto"/>
            <w:left w:val="none" w:sz="0" w:space="0" w:color="auto"/>
            <w:bottom w:val="none" w:sz="0" w:space="0" w:color="auto"/>
            <w:right w:val="none" w:sz="0" w:space="0" w:color="auto"/>
          </w:divBdr>
          <w:divsChild>
            <w:div w:id="7836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0917">
      <w:marLeft w:val="0"/>
      <w:marRight w:val="0"/>
      <w:marTop w:val="0"/>
      <w:marBottom w:val="0"/>
      <w:divBdr>
        <w:top w:val="none" w:sz="0" w:space="0" w:color="auto"/>
        <w:left w:val="none" w:sz="0" w:space="0" w:color="auto"/>
        <w:bottom w:val="none" w:sz="0" w:space="0" w:color="auto"/>
        <w:right w:val="none" w:sz="0" w:space="0" w:color="auto"/>
      </w:divBdr>
      <w:divsChild>
        <w:div w:id="1292983534">
          <w:marLeft w:val="0"/>
          <w:marRight w:val="0"/>
          <w:marTop w:val="0"/>
          <w:marBottom w:val="0"/>
          <w:divBdr>
            <w:top w:val="none" w:sz="0" w:space="0" w:color="auto"/>
            <w:left w:val="none" w:sz="0" w:space="0" w:color="auto"/>
            <w:bottom w:val="none" w:sz="0" w:space="0" w:color="auto"/>
            <w:right w:val="none" w:sz="0" w:space="0" w:color="auto"/>
          </w:divBdr>
        </w:div>
      </w:divsChild>
    </w:div>
    <w:div w:id="751004950">
      <w:marLeft w:val="0"/>
      <w:marRight w:val="0"/>
      <w:marTop w:val="0"/>
      <w:marBottom w:val="0"/>
      <w:divBdr>
        <w:top w:val="none" w:sz="0" w:space="0" w:color="auto"/>
        <w:left w:val="none" w:sz="0" w:space="0" w:color="auto"/>
        <w:bottom w:val="none" w:sz="0" w:space="0" w:color="auto"/>
        <w:right w:val="none" w:sz="0" w:space="0" w:color="auto"/>
      </w:divBdr>
    </w:div>
    <w:div w:id="773327636">
      <w:marLeft w:val="0"/>
      <w:marRight w:val="0"/>
      <w:marTop w:val="0"/>
      <w:marBottom w:val="0"/>
      <w:divBdr>
        <w:top w:val="none" w:sz="0" w:space="0" w:color="auto"/>
        <w:left w:val="none" w:sz="0" w:space="0" w:color="auto"/>
        <w:bottom w:val="none" w:sz="0" w:space="0" w:color="auto"/>
        <w:right w:val="none" w:sz="0" w:space="0" w:color="auto"/>
      </w:divBdr>
    </w:div>
    <w:div w:id="780878316">
      <w:marLeft w:val="0"/>
      <w:marRight w:val="0"/>
      <w:marTop w:val="0"/>
      <w:marBottom w:val="0"/>
      <w:divBdr>
        <w:top w:val="none" w:sz="0" w:space="0" w:color="auto"/>
        <w:left w:val="none" w:sz="0" w:space="0" w:color="auto"/>
        <w:bottom w:val="none" w:sz="0" w:space="0" w:color="auto"/>
        <w:right w:val="none" w:sz="0" w:space="0" w:color="auto"/>
      </w:divBdr>
    </w:div>
    <w:div w:id="1123235214">
      <w:marLeft w:val="0"/>
      <w:marRight w:val="0"/>
      <w:marTop w:val="0"/>
      <w:marBottom w:val="0"/>
      <w:divBdr>
        <w:top w:val="none" w:sz="0" w:space="0" w:color="auto"/>
        <w:left w:val="none" w:sz="0" w:space="0" w:color="auto"/>
        <w:bottom w:val="none" w:sz="0" w:space="0" w:color="auto"/>
        <w:right w:val="none" w:sz="0" w:space="0" w:color="auto"/>
      </w:divBdr>
      <w:divsChild>
        <w:div w:id="1813785294">
          <w:marLeft w:val="0"/>
          <w:marRight w:val="0"/>
          <w:marTop w:val="0"/>
          <w:marBottom w:val="0"/>
          <w:divBdr>
            <w:top w:val="none" w:sz="0" w:space="0" w:color="auto"/>
            <w:left w:val="none" w:sz="0" w:space="0" w:color="auto"/>
            <w:bottom w:val="none" w:sz="0" w:space="0" w:color="auto"/>
            <w:right w:val="none" w:sz="0" w:space="0" w:color="auto"/>
          </w:divBdr>
        </w:div>
      </w:divsChild>
    </w:div>
    <w:div w:id="1134175304">
      <w:marLeft w:val="0"/>
      <w:marRight w:val="0"/>
      <w:marTop w:val="0"/>
      <w:marBottom w:val="0"/>
      <w:divBdr>
        <w:top w:val="none" w:sz="0" w:space="0" w:color="auto"/>
        <w:left w:val="none" w:sz="0" w:space="0" w:color="auto"/>
        <w:bottom w:val="none" w:sz="0" w:space="0" w:color="auto"/>
        <w:right w:val="none" w:sz="0" w:space="0" w:color="auto"/>
      </w:divBdr>
    </w:div>
    <w:div w:id="1219709031">
      <w:marLeft w:val="0"/>
      <w:marRight w:val="0"/>
      <w:marTop w:val="0"/>
      <w:marBottom w:val="0"/>
      <w:divBdr>
        <w:top w:val="none" w:sz="0" w:space="0" w:color="auto"/>
        <w:left w:val="none" w:sz="0" w:space="0" w:color="auto"/>
        <w:bottom w:val="none" w:sz="0" w:space="0" w:color="auto"/>
        <w:right w:val="none" w:sz="0" w:space="0" w:color="auto"/>
      </w:divBdr>
    </w:div>
    <w:div w:id="1799640980">
      <w:marLeft w:val="0"/>
      <w:marRight w:val="0"/>
      <w:marTop w:val="0"/>
      <w:marBottom w:val="0"/>
      <w:divBdr>
        <w:top w:val="none" w:sz="0" w:space="0" w:color="auto"/>
        <w:left w:val="none" w:sz="0" w:space="0" w:color="auto"/>
        <w:bottom w:val="none" w:sz="0" w:space="0" w:color="auto"/>
        <w:right w:val="none" w:sz="0" w:space="0" w:color="auto"/>
      </w:divBdr>
      <w:divsChild>
        <w:div w:id="1187787272">
          <w:marLeft w:val="0"/>
          <w:marRight w:val="0"/>
          <w:marTop w:val="0"/>
          <w:marBottom w:val="0"/>
          <w:divBdr>
            <w:top w:val="none" w:sz="0" w:space="0" w:color="auto"/>
            <w:left w:val="none" w:sz="0" w:space="0" w:color="auto"/>
            <w:bottom w:val="none" w:sz="0" w:space="0" w:color="auto"/>
            <w:right w:val="none" w:sz="0" w:space="0" w:color="auto"/>
          </w:divBdr>
        </w:div>
      </w:divsChild>
    </w:div>
    <w:div w:id="1825122092">
      <w:marLeft w:val="0"/>
      <w:marRight w:val="0"/>
      <w:marTop w:val="0"/>
      <w:marBottom w:val="0"/>
      <w:divBdr>
        <w:top w:val="none" w:sz="0" w:space="0" w:color="auto"/>
        <w:left w:val="none" w:sz="0" w:space="0" w:color="auto"/>
        <w:bottom w:val="none" w:sz="0" w:space="0" w:color="auto"/>
        <w:right w:val="none" w:sz="0" w:space="0" w:color="auto"/>
      </w:divBdr>
    </w:div>
    <w:div w:id="1849514375">
      <w:marLeft w:val="0"/>
      <w:marRight w:val="0"/>
      <w:marTop w:val="0"/>
      <w:marBottom w:val="0"/>
      <w:divBdr>
        <w:top w:val="none" w:sz="0" w:space="0" w:color="auto"/>
        <w:left w:val="none" w:sz="0" w:space="0" w:color="auto"/>
        <w:bottom w:val="none" w:sz="0" w:space="0" w:color="auto"/>
        <w:right w:val="none" w:sz="0" w:space="0" w:color="auto"/>
      </w:divBdr>
    </w:div>
    <w:div w:id="1866402558">
      <w:marLeft w:val="0"/>
      <w:marRight w:val="0"/>
      <w:marTop w:val="0"/>
      <w:marBottom w:val="0"/>
      <w:divBdr>
        <w:top w:val="none" w:sz="0" w:space="0" w:color="auto"/>
        <w:left w:val="none" w:sz="0" w:space="0" w:color="auto"/>
        <w:bottom w:val="none" w:sz="0" w:space="0" w:color="auto"/>
        <w:right w:val="none" w:sz="0" w:space="0" w:color="auto"/>
      </w:divBdr>
      <w:divsChild>
        <w:div w:id="234710049">
          <w:marLeft w:val="0"/>
          <w:marRight w:val="0"/>
          <w:marTop w:val="0"/>
          <w:marBottom w:val="0"/>
          <w:divBdr>
            <w:top w:val="none" w:sz="0" w:space="0" w:color="auto"/>
            <w:left w:val="none" w:sz="0" w:space="0" w:color="auto"/>
            <w:bottom w:val="none" w:sz="0" w:space="0" w:color="auto"/>
            <w:right w:val="none" w:sz="0" w:space="0" w:color="auto"/>
          </w:divBdr>
        </w:div>
      </w:divsChild>
    </w:div>
    <w:div w:id="1947619407">
      <w:marLeft w:val="0"/>
      <w:marRight w:val="0"/>
      <w:marTop w:val="0"/>
      <w:marBottom w:val="0"/>
      <w:divBdr>
        <w:top w:val="none" w:sz="0" w:space="0" w:color="auto"/>
        <w:left w:val="none" w:sz="0" w:space="0" w:color="auto"/>
        <w:bottom w:val="none" w:sz="0" w:space="0" w:color="auto"/>
        <w:right w:val="none" w:sz="0" w:space="0" w:color="auto"/>
      </w:divBdr>
      <w:divsChild>
        <w:div w:id="548537094">
          <w:marLeft w:val="0"/>
          <w:marRight w:val="0"/>
          <w:marTop w:val="0"/>
          <w:marBottom w:val="0"/>
          <w:divBdr>
            <w:top w:val="none" w:sz="0" w:space="0" w:color="auto"/>
            <w:left w:val="none" w:sz="0" w:space="0" w:color="auto"/>
            <w:bottom w:val="none" w:sz="0" w:space="0" w:color="auto"/>
            <w:right w:val="none" w:sz="0" w:space="0" w:color="auto"/>
          </w:divBdr>
        </w:div>
      </w:divsChild>
    </w:div>
    <w:div w:id="1983460166">
      <w:marLeft w:val="0"/>
      <w:marRight w:val="0"/>
      <w:marTop w:val="0"/>
      <w:marBottom w:val="0"/>
      <w:divBdr>
        <w:top w:val="none" w:sz="0" w:space="0" w:color="auto"/>
        <w:left w:val="none" w:sz="0" w:space="0" w:color="auto"/>
        <w:bottom w:val="none" w:sz="0" w:space="0" w:color="auto"/>
        <w:right w:val="none" w:sz="0" w:space="0" w:color="auto"/>
      </w:divBdr>
    </w:div>
    <w:div w:id="2084793569">
      <w:marLeft w:val="0"/>
      <w:marRight w:val="0"/>
      <w:marTop w:val="0"/>
      <w:marBottom w:val="0"/>
      <w:divBdr>
        <w:top w:val="none" w:sz="0" w:space="0" w:color="auto"/>
        <w:left w:val="none" w:sz="0" w:space="0" w:color="auto"/>
        <w:bottom w:val="none" w:sz="0" w:space="0" w:color="auto"/>
        <w:right w:val="none" w:sz="0" w:space="0" w:color="auto"/>
      </w:divBdr>
      <w:divsChild>
        <w:div w:id="2079473398">
          <w:marLeft w:val="0"/>
          <w:marRight w:val="0"/>
          <w:marTop w:val="0"/>
          <w:marBottom w:val="0"/>
          <w:divBdr>
            <w:top w:val="none" w:sz="0" w:space="0" w:color="auto"/>
            <w:left w:val="none" w:sz="0" w:space="0" w:color="auto"/>
            <w:bottom w:val="none" w:sz="0" w:space="0" w:color="auto"/>
            <w:right w:val="none" w:sz="0" w:space="0" w:color="auto"/>
          </w:divBdr>
        </w:div>
      </w:divsChild>
    </w:div>
    <w:div w:id="2114982467">
      <w:marLeft w:val="0"/>
      <w:marRight w:val="0"/>
      <w:marTop w:val="0"/>
      <w:marBottom w:val="0"/>
      <w:divBdr>
        <w:top w:val="none" w:sz="0" w:space="0" w:color="auto"/>
        <w:left w:val="none" w:sz="0" w:space="0" w:color="auto"/>
        <w:bottom w:val="none" w:sz="0" w:space="0" w:color="auto"/>
        <w:right w:val="none" w:sz="0" w:space="0" w:color="auto"/>
      </w:divBdr>
      <w:divsChild>
        <w:div w:id="18818479">
          <w:marLeft w:val="0"/>
          <w:marRight w:val="0"/>
          <w:marTop w:val="0"/>
          <w:marBottom w:val="0"/>
          <w:divBdr>
            <w:top w:val="none" w:sz="0" w:space="0" w:color="auto"/>
            <w:left w:val="none" w:sz="0" w:space="0" w:color="auto"/>
            <w:bottom w:val="none" w:sz="0" w:space="0" w:color="auto"/>
            <w:right w:val="none" w:sz="0" w:space="0" w:color="auto"/>
          </w:divBdr>
        </w:div>
        <w:div w:id="5453377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5DAB-1DCA-4119-AA67-BDF31533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5965</Words>
  <Characters>2358</Characters>
  <Application>Microsoft Office Word</Application>
  <DocSecurity>0</DocSecurity>
  <Lines>19</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Heming.Huang@TA</cp:lastModifiedBy>
  <cp:revision>4</cp:revision>
  <dcterms:created xsi:type="dcterms:W3CDTF">2025-04-15T12:12:00Z</dcterms:created>
  <dcterms:modified xsi:type="dcterms:W3CDTF">2025-04-21T07:12:00Z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