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bookmarkStart w:id="0" w:name="_GoBack"/>
      <w:bookmarkEnd w:id="0"/>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上投摩根医疗健康股票型证券投资基金</w:t>
      </w:r>
    </w:p>
    <w:p w:rsidR="00A406A4" w:rsidRDefault="008117E7">
      <w:pPr>
        <w:spacing w:line="360" w:lineRule="auto"/>
        <w:jc w:val="center"/>
        <w:rPr>
          <w:rFonts w:asciiTheme="minorEastAsia" w:eastAsiaTheme="minorEastAsia" w:hAnsiTheme="minorEastAsia"/>
          <w:b/>
          <w:color w:val="000000" w:themeColor="text1"/>
          <w:sz w:val="36"/>
          <w:szCs w:val="36"/>
        </w:rPr>
      </w:pPr>
      <w:r>
        <w:rPr>
          <w:rFonts w:asciiTheme="minorEastAsia" w:eastAsiaTheme="minorEastAsia" w:hAnsiTheme="minorEastAsia" w:hint="eastAsia"/>
          <w:b/>
          <w:color w:val="000000" w:themeColor="text1"/>
          <w:sz w:val="36"/>
          <w:szCs w:val="36"/>
        </w:rPr>
        <w:t>2019年第4季度报告</w:t>
      </w:r>
    </w:p>
    <w:p w:rsidR="00A406A4" w:rsidRDefault="008117E7">
      <w:pPr>
        <w:spacing w:line="360" w:lineRule="auto"/>
        <w:jc w:val="center"/>
        <w:rPr>
          <w:rFonts w:asciiTheme="minorEastAsia" w:eastAsiaTheme="minorEastAsia" w:hAnsiTheme="minorEastAsia"/>
          <w:b/>
          <w:color w:val="000000" w:themeColor="text1"/>
          <w:sz w:val="24"/>
          <w:szCs w:val="24"/>
        </w:rPr>
      </w:pPr>
      <w:r>
        <w:rPr>
          <w:rFonts w:asciiTheme="minorEastAsia" w:eastAsiaTheme="minorEastAsia" w:hAnsiTheme="minorEastAsia"/>
          <w:b/>
          <w:color w:val="000000" w:themeColor="text1"/>
          <w:sz w:val="24"/>
          <w:szCs w:val="24"/>
        </w:rPr>
        <w:t>2019年12月31日</w:t>
      </w: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jc w:val="center"/>
        <w:rPr>
          <w:rFonts w:asciiTheme="minorEastAsia" w:eastAsiaTheme="minorEastAsia" w:hAnsiTheme="minorEastAsia"/>
          <w:b/>
          <w:bCs/>
          <w:color w:val="000000" w:themeColor="text1"/>
          <w:sz w:val="24"/>
          <w:szCs w:val="24"/>
        </w:rPr>
      </w:pPr>
    </w:p>
    <w:p w:rsidR="00A406A4" w:rsidRDefault="00A406A4">
      <w:pPr>
        <w:spacing w:line="360" w:lineRule="auto"/>
        <w:rPr>
          <w:rFonts w:asciiTheme="minorEastAsia" w:eastAsiaTheme="minorEastAsia" w:hAnsiTheme="minorEastAsia"/>
          <w:b/>
          <w:bCs/>
          <w:color w:val="000000" w:themeColor="text1"/>
          <w:sz w:val="24"/>
          <w:szCs w:val="24"/>
        </w:rPr>
      </w:pPr>
    </w:p>
    <w:p w:rsidR="00A406A4" w:rsidRDefault="008117E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基金管理人：</w:t>
      </w:r>
      <w:r>
        <w:rPr>
          <w:rFonts w:asciiTheme="minorEastAsia" w:eastAsiaTheme="minorEastAsia" w:hAnsiTheme="minorEastAsia"/>
          <w:b/>
          <w:color w:val="000000" w:themeColor="text1"/>
          <w:sz w:val="24"/>
          <w:szCs w:val="24"/>
        </w:rPr>
        <w:t>上投摩根基金管理有限公司</w:t>
      </w:r>
    </w:p>
    <w:p w:rsidR="00A406A4" w:rsidRDefault="008117E7">
      <w:pPr>
        <w:spacing w:line="360" w:lineRule="auto"/>
        <w:ind w:firstLineChars="900" w:firstLine="2168"/>
        <w:rPr>
          <w:rFonts w:asciiTheme="minorEastAsia" w:eastAsiaTheme="minorEastAsia" w:hAnsiTheme="minorEastAsia"/>
          <w:b/>
          <w:color w:val="000000" w:themeColor="text1"/>
          <w:sz w:val="24"/>
          <w:szCs w:val="24"/>
        </w:rPr>
      </w:pPr>
      <w:r>
        <w:rPr>
          <w:rFonts w:asciiTheme="minorEastAsia" w:eastAsiaTheme="minorEastAsia" w:hAnsiTheme="minorEastAsia" w:hint="eastAsia"/>
          <w:b/>
          <w:color w:val="000000" w:themeColor="text1"/>
          <w:sz w:val="24"/>
          <w:szCs w:val="24"/>
        </w:rPr>
        <w:t>基金托管人：</w:t>
      </w:r>
      <w:r>
        <w:rPr>
          <w:rFonts w:asciiTheme="minorEastAsia" w:eastAsiaTheme="minorEastAsia" w:hAnsiTheme="minorEastAsia"/>
          <w:b/>
          <w:color w:val="000000" w:themeColor="text1"/>
          <w:sz w:val="24"/>
          <w:szCs w:val="24"/>
        </w:rPr>
        <w:t>中国建设银行股份有限公司</w:t>
      </w:r>
    </w:p>
    <w:p w:rsidR="00A406A4" w:rsidRDefault="008117E7">
      <w:pPr>
        <w:spacing w:line="360" w:lineRule="auto"/>
        <w:ind w:firstLineChars="900" w:firstLine="2168"/>
        <w:rPr>
          <w:rFonts w:asciiTheme="minorEastAsia" w:eastAsiaTheme="minorEastAsia" w:hAnsiTheme="minorEastAsia"/>
          <w:b/>
          <w:color w:val="000000" w:themeColor="text1"/>
          <w:sz w:val="24"/>
          <w:szCs w:val="24"/>
        </w:rPr>
        <w:sectPr w:rsidR="00A406A4">
          <w:headerReference w:type="default" r:id="rId8"/>
          <w:footerReference w:type="default" r:id="rId9"/>
          <w:pgSz w:w="11926" w:h="15840"/>
          <w:pgMar w:top="1418" w:right="1418" w:bottom="851" w:left="1418" w:header="851" w:footer="992" w:gutter="0"/>
          <w:cols w:space="720"/>
        </w:sectPr>
      </w:pPr>
      <w:r>
        <w:rPr>
          <w:rFonts w:asciiTheme="minorEastAsia" w:eastAsiaTheme="minorEastAsia" w:hAnsiTheme="minorEastAsia" w:hint="eastAsia"/>
          <w:b/>
          <w:color w:val="000000" w:themeColor="text1"/>
          <w:sz w:val="24"/>
          <w:szCs w:val="24"/>
        </w:rPr>
        <w:t>报告送出日期：</w:t>
      </w:r>
      <w:r>
        <w:rPr>
          <w:rFonts w:asciiTheme="minorEastAsia" w:eastAsiaTheme="minorEastAsia" w:hAnsiTheme="minorEastAsia"/>
          <w:b/>
          <w:color w:val="000000" w:themeColor="text1"/>
          <w:sz w:val="24"/>
          <w:szCs w:val="24"/>
        </w:rPr>
        <w:t>二〇二〇年一月二十日</w:t>
      </w:r>
    </w:p>
    <w:p w:rsidR="00A406A4" w:rsidRDefault="008117E7">
      <w:pPr>
        <w:pStyle w:val="1"/>
        <w:spacing w:beforeLines="100" w:before="312" w:afterLines="100" w:after="312" w:line="360" w:lineRule="auto"/>
        <w:jc w:val="center"/>
        <w:rPr>
          <w:rFonts w:asciiTheme="minorEastAsia" w:eastAsiaTheme="minorEastAsia" w:hAnsiTheme="minorEastAsia"/>
          <w:b w:val="0"/>
          <w:bCs w:val="0"/>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1  </w:t>
      </w:r>
      <w:r>
        <w:rPr>
          <w:rFonts w:asciiTheme="minorEastAsia" w:eastAsiaTheme="minorEastAsia" w:hAnsiTheme="minorEastAsia" w:hint="eastAsia"/>
          <w:color w:val="000000" w:themeColor="text1"/>
          <w:kern w:val="0"/>
          <w:sz w:val="24"/>
          <w:szCs w:val="24"/>
        </w:rPr>
        <w:t>重要提示</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基金管理人的董事会及董事保证本报告所载资料不存在虚假记载、误导性陈述或重大遗漏，并对其内容的真实性、准确性和完整性承担个别及连带责任。 </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基金托管人中国建设银行股份有限公司根据本基金合同规定，于2020年1月17日复核了本报告中的财务指标、净值表现和投资组合报告等内容，保证复核内容不存在虚假记载、误导性陈述或者重大遗漏。 </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基金管理人承诺以诚实信用、勤勉尽责的原则管理和运用基金资产，但不保证基金一定盈利。 </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基金的过往业绩并不代表其未来表现。投资有风险，投资者在作出投资决策前应仔细阅读本基金的招募说明书。 </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本报告中财务资料未经审计。</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本报告期自2019年10月1日起至12月31日止。</w:t>
      </w:r>
    </w:p>
    <w:p w:rsidR="00A406A4" w:rsidRDefault="008117E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2  </w:t>
      </w:r>
      <w:r>
        <w:rPr>
          <w:rFonts w:asciiTheme="minorEastAsia" w:eastAsiaTheme="minorEastAsia" w:hAnsiTheme="minorEastAsia" w:hint="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基金简称</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上投摩根医疗健康股票</w:t>
            </w:r>
          </w:p>
        </w:tc>
      </w:tr>
      <w:tr w:rsidR="00A406A4">
        <w:tc>
          <w:tcPr>
            <w:tcW w:w="2835" w:type="dxa"/>
            <w:tcBorders>
              <w:top w:val="single" w:sz="4" w:space="0" w:color="auto"/>
              <w:left w:val="single" w:sz="4" w:space="0" w:color="auto"/>
              <w:bottom w:val="single" w:sz="4" w:space="0" w:color="auto"/>
              <w:right w:val="single" w:sz="4" w:space="0" w:color="auto"/>
            </w:tcBorders>
            <w:vAlign w:val="center"/>
          </w:tcPr>
          <w:p w:rsidR="00A406A4" w:rsidRDefault="008117E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001766</w:t>
            </w:r>
          </w:p>
        </w:tc>
      </w:tr>
      <w:tr w:rsidR="00A406A4">
        <w:tc>
          <w:tcPr>
            <w:tcW w:w="2835" w:type="dxa"/>
            <w:tcBorders>
              <w:top w:val="single" w:sz="4" w:space="0" w:color="auto"/>
              <w:left w:val="single" w:sz="4" w:space="0" w:color="auto"/>
              <w:bottom w:val="single" w:sz="4" w:space="0" w:color="auto"/>
              <w:right w:val="single" w:sz="4" w:space="0" w:color="auto"/>
            </w:tcBorders>
            <w:vAlign w:val="center"/>
          </w:tcPr>
          <w:p w:rsidR="00A406A4" w:rsidRDefault="008117E7">
            <w:pPr>
              <w:adjustRightInd w:val="0"/>
              <w:spacing w:before="29" w:line="360" w:lineRule="auto"/>
              <w:ind w:left="17"/>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001766</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基金运作方式</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契约型开放式</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基金合同生效日</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2015年10月21日</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报告期末基金份额总额</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369,176,493.42</w:t>
            </w:r>
            <w:r>
              <w:rPr>
                <w:rFonts w:asciiTheme="minorEastAsia" w:eastAsiaTheme="minorEastAsia" w:hAnsiTheme="minorEastAsia" w:hint="eastAsia"/>
                <w:color w:val="000000" w:themeColor="text1"/>
                <w:kern w:val="0"/>
              </w:rPr>
              <w:t>份</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投资目标</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通过积极主动的管理和严格的风险控制，重点投资于健康产业相关的优质上市公司，力争实现基金资产的长期稳健增值。</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投资策略</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1、资产配置策略</w:t>
            </w:r>
          </w:p>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asciiTheme="minorEastAsia" w:eastAsiaTheme="minorEastAsia" w:hAnsiTheme="minorEastAsia"/>
                <w:color w:val="000000" w:themeColor="text1"/>
                <w:kern w:val="0"/>
              </w:rPr>
              <w:lastRenderedPageBreak/>
              <w:t>GDP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2、股票投资策略</w:t>
            </w:r>
          </w:p>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将通过系统和深入的基本面研究，专注于医疗健康产业投资，对行业发展进行密切跟踪，根据市场不同阶段充分把握各个子行业轮动带来的投资机会。在具体操作上，本基金将主要采用“自下而上”的方法，在备选行业内部通过定量与定性相结合的分析方法，综合分析上市公司的业绩质量、成长性和估值水平等，精选具有良好成长性、估值合理的个股。</w:t>
            </w:r>
          </w:p>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3、行业配置策略</w:t>
            </w:r>
          </w:p>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由于医疗健康主题涉及多个行业及其子行业，我们将从行业生命周期、行业景气度、行业竞争格局等多角度，综合评估各个行业的投资价值，对基金资产在行业间分配进行安排。</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lastRenderedPageBreak/>
              <w:t>业绩比较基准</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申银万国医药生物行业指数收益率*85%+中债总指数收益率*15%</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风险收益特征</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本基金属于股票型基金产品，预期风险和收益水平高于混合型基金、债券型基金和货币市场基金，属于较高风险收益水平的基金产品。本基金风险收益特征会定期评估并在公司网站发布，请投资者关注。</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基金管理人</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上投摩根基金管理有限公司</w:t>
            </w:r>
          </w:p>
        </w:tc>
      </w:tr>
      <w:tr w:rsidR="00A406A4">
        <w:tc>
          <w:tcPr>
            <w:tcW w:w="2835"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kern w:val="0"/>
              </w:rPr>
              <w:t>基金托管人</w:t>
            </w:r>
          </w:p>
        </w:tc>
        <w:tc>
          <w:tcPr>
            <w:tcW w:w="5479"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中国建设银行股份有限公司</w:t>
            </w:r>
          </w:p>
        </w:tc>
      </w:tr>
    </w:tbl>
    <w:p w:rsidR="00A406A4" w:rsidRDefault="008117E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lastRenderedPageBreak/>
        <w:t>§</w:t>
      </w:r>
      <w:r>
        <w:rPr>
          <w:rFonts w:asciiTheme="minorEastAsia" w:eastAsiaTheme="minorEastAsia" w:hAnsiTheme="minorEastAsia"/>
          <w:color w:val="000000" w:themeColor="text1"/>
          <w:kern w:val="0"/>
          <w:sz w:val="24"/>
          <w:szCs w:val="24"/>
        </w:rPr>
        <w:t xml:space="preserve">3  </w:t>
      </w:r>
      <w:r>
        <w:rPr>
          <w:rFonts w:asciiTheme="minorEastAsia" w:eastAsiaTheme="minorEastAsia" w:hAnsiTheme="minorEastAsia" w:hint="eastAsia"/>
          <w:color w:val="000000" w:themeColor="text1"/>
          <w:kern w:val="0"/>
          <w:sz w:val="24"/>
          <w:szCs w:val="24"/>
        </w:rPr>
        <w:t>主要财务指标和基金净值表现</w:t>
      </w: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3.1 </w:t>
      </w:r>
      <w:r>
        <w:rPr>
          <w:rFonts w:asciiTheme="minorEastAsia" w:eastAsiaTheme="minorEastAsia" w:hAnsiTheme="minorEastAsia" w:hint="eastAsia"/>
          <w:b/>
          <w:bCs/>
          <w:color w:val="000000" w:themeColor="text1"/>
          <w:kern w:val="0"/>
          <w:sz w:val="24"/>
          <w:szCs w:val="24"/>
        </w:rPr>
        <w:t>主要财务指标</w:t>
      </w:r>
    </w:p>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8117E7" w:rsidTr="008117E7">
        <w:tc>
          <w:tcPr>
            <w:tcW w:w="3402" w:type="dxa"/>
            <w:vAlign w:val="center"/>
          </w:tcPr>
          <w:p w:rsidR="00A406A4" w:rsidRDefault="008117E7">
            <w:pPr>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主要财务指标</w:t>
            </w:r>
          </w:p>
        </w:tc>
        <w:tc>
          <w:tcPr>
            <w:tcW w:w="4962" w:type="dxa"/>
            <w:vAlign w:val="center"/>
          </w:tcPr>
          <w:p w:rsidR="00A406A4" w:rsidRDefault="008117E7">
            <w:pPr>
              <w:adjustRightInd w:val="0"/>
              <w:spacing w:before="29" w:line="360" w:lineRule="auto"/>
              <w:ind w:left="17"/>
              <w:jc w:val="center"/>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报告期</w:t>
            </w:r>
          </w:p>
          <w:p w:rsidR="00A406A4" w:rsidRDefault="008117E7">
            <w:pPr>
              <w:adjustRightInd w:val="0"/>
              <w:spacing w:before="29" w:line="360" w:lineRule="auto"/>
              <w:ind w:left="17"/>
              <w:jc w:val="center"/>
              <w:rPr>
                <w:rFonts w:asciiTheme="minorEastAsia" w:eastAsiaTheme="minorEastAsia" w:hAnsiTheme="minorEastAsia"/>
                <w:color w:val="000000" w:themeColor="text1"/>
              </w:rPr>
            </w:pPr>
            <w:r>
              <w:rPr>
                <w:rFonts w:asciiTheme="minorEastAsia" w:eastAsiaTheme="minorEastAsia" w:hAnsiTheme="minorEastAsia" w:cs="宋体" w:hint="eastAsia"/>
                <w:color w:val="000000" w:themeColor="text1"/>
              </w:rPr>
              <w:t>(</w:t>
            </w:r>
            <w:r>
              <w:rPr>
                <w:rFonts w:asciiTheme="minorEastAsia" w:eastAsiaTheme="minorEastAsia" w:hAnsiTheme="minorEastAsia" w:cs="宋体"/>
                <w:color w:val="000000" w:themeColor="text1"/>
              </w:rPr>
              <w:t>2019年10月1日-2019年12月31日</w:t>
            </w:r>
            <w:r>
              <w:rPr>
                <w:rFonts w:asciiTheme="minorEastAsia" w:eastAsiaTheme="minorEastAsia" w:hAnsiTheme="minorEastAsia" w:cs="宋体" w:hint="eastAsia"/>
                <w:color w:val="000000" w:themeColor="text1"/>
              </w:rPr>
              <w:t>)</w:t>
            </w:r>
          </w:p>
        </w:tc>
      </w:tr>
      <w:tr w:rsidR="008117E7" w:rsidTr="008117E7">
        <w:tc>
          <w:tcPr>
            <w:tcW w:w="3402"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1.</w:t>
            </w:r>
            <w:r>
              <w:rPr>
                <w:rFonts w:asciiTheme="minorEastAsia" w:eastAsiaTheme="minorEastAsia" w:hAnsiTheme="minorEastAsia" w:cs="宋体" w:hint="eastAsia"/>
                <w:color w:val="000000" w:themeColor="text1"/>
                <w:kern w:val="0"/>
              </w:rPr>
              <w:t>本期已实现收益</w:t>
            </w:r>
          </w:p>
        </w:tc>
        <w:tc>
          <w:tcPr>
            <w:tcW w:w="4962" w:type="dxa"/>
            <w:vAlign w:val="center"/>
          </w:tcPr>
          <w:p w:rsidR="00A406A4" w:rsidRDefault="008117E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69,162,814.83</w:t>
            </w:r>
          </w:p>
        </w:tc>
      </w:tr>
      <w:tr w:rsidR="008117E7" w:rsidTr="008117E7">
        <w:tc>
          <w:tcPr>
            <w:tcW w:w="3402"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2.</w:t>
            </w:r>
            <w:r>
              <w:rPr>
                <w:rFonts w:asciiTheme="minorEastAsia" w:eastAsiaTheme="minorEastAsia" w:hAnsiTheme="minorEastAsia" w:cs="宋体" w:hint="eastAsia"/>
                <w:color w:val="000000" w:themeColor="text1"/>
                <w:kern w:val="0"/>
              </w:rPr>
              <w:t>本期利润</w:t>
            </w:r>
          </w:p>
        </w:tc>
        <w:tc>
          <w:tcPr>
            <w:tcW w:w="4962" w:type="dxa"/>
            <w:vAlign w:val="center"/>
          </w:tcPr>
          <w:p w:rsidR="00A406A4" w:rsidRDefault="008117E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35,607,221.94</w:t>
            </w:r>
          </w:p>
        </w:tc>
      </w:tr>
      <w:tr w:rsidR="008117E7" w:rsidTr="008117E7">
        <w:tc>
          <w:tcPr>
            <w:tcW w:w="3402"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3.</w:t>
            </w:r>
            <w:r>
              <w:rPr>
                <w:rFonts w:asciiTheme="minorEastAsia" w:eastAsiaTheme="minorEastAsia" w:hAnsiTheme="minorEastAsia" w:cs="宋体" w:hint="eastAsia"/>
                <w:color w:val="000000" w:themeColor="text1"/>
                <w:kern w:val="0"/>
              </w:rPr>
              <w:t>加权平均基金份额本期利润</w:t>
            </w:r>
          </w:p>
        </w:tc>
        <w:tc>
          <w:tcPr>
            <w:tcW w:w="4962" w:type="dxa"/>
            <w:vAlign w:val="center"/>
          </w:tcPr>
          <w:p w:rsidR="00A406A4" w:rsidRDefault="008117E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0.0994</w:t>
            </w:r>
          </w:p>
        </w:tc>
      </w:tr>
      <w:tr w:rsidR="008117E7" w:rsidTr="008117E7">
        <w:tc>
          <w:tcPr>
            <w:tcW w:w="3402"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4.</w:t>
            </w:r>
            <w:r>
              <w:rPr>
                <w:rFonts w:asciiTheme="minorEastAsia" w:eastAsiaTheme="minorEastAsia" w:hAnsiTheme="minorEastAsia" w:cs="宋体" w:hint="eastAsia"/>
                <w:color w:val="000000" w:themeColor="text1"/>
                <w:kern w:val="0"/>
              </w:rPr>
              <w:t>期末基金资产净值</w:t>
            </w:r>
          </w:p>
        </w:tc>
        <w:tc>
          <w:tcPr>
            <w:tcW w:w="4962" w:type="dxa"/>
            <w:vAlign w:val="center"/>
          </w:tcPr>
          <w:p w:rsidR="00A406A4" w:rsidRDefault="008117E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526,415,896.65</w:t>
            </w:r>
          </w:p>
        </w:tc>
      </w:tr>
      <w:tr w:rsidR="008117E7" w:rsidTr="008117E7">
        <w:trPr>
          <w:trHeight w:val="158"/>
        </w:trPr>
        <w:tc>
          <w:tcPr>
            <w:tcW w:w="3402" w:type="dxa"/>
            <w:vAlign w:val="center"/>
          </w:tcPr>
          <w:p w:rsidR="00A406A4" w:rsidRDefault="008117E7">
            <w:pPr>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方正仿宋简体"/>
                <w:color w:val="000000" w:themeColor="text1"/>
                <w:kern w:val="0"/>
              </w:rPr>
              <w:t>5.</w:t>
            </w:r>
            <w:r>
              <w:rPr>
                <w:rFonts w:asciiTheme="minorEastAsia" w:eastAsiaTheme="minorEastAsia" w:hAnsiTheme="minorEastAsia" w:cs="宋体" w:hint="eastAsia"/>
                <w:color w:val="000000" w:themeColor="text1"/>
                <w:kern w:val="0"/>
              </w:rPr>
              <w:t>期末基金份额净值</w:t>
            </w:r>
          </w:p>
        </w:tc>
        <w:tc>
          <w:tcPr>
            <w:tcW w:w="4962" w:type="dxa"/>
            <w:vAlign w:val="center"/>
          </w:tcPr>
          <w:p w:rsidR="00A406A4" w:rsidRDefault="008117E7">
            <w:pPr>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1.426</w:t>
            </w:r>
          </w:p>
        </w:tc>
      </w:tr>
    </w:tbl>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注：本期已实现收益指基金本期利息收入、投资收益、其他收入(不含公允价值变动收益)扣除相关费用后的余额，本期利润为本期已实现收益加上本期公允价值变动收益。 </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 </w:t>
      </w:r>
      <w:r>
        <w:rPr>
          <w:rFonts w:asciiTheme="minorEastAsia" w:eastAsiaTheme="minorEastAsia" w:hAnsiTheme="minorEastAsia" w:hint="eastAsia"/>
          <w:b/>
          <w:bCs/>
          <w:color w:val="000000" w:themeColor="text1"/>
          <w:kern w:val="0"/>
          <w:sz w:val="24"/>
          <w:szCs w:val="24"/>
        </w:rPr>
        <w:t>基金净值表现</w:t>
      </w:r>
    </w:p>
    <w:p w:rsidR="00A406A4" w:rsidRDefault="008117E7">
      <w:pPr>
        <w:autoSpaceDE w:val="0"/>
        <w:autoSpaceDN w:val="0"/>
        <w:adjustRightInd w:val="0"/>
        <w:spacing w:line="360" w:lineRule="auto"/>
        <w:jc w:val="left"/>
        <w:rPr>
          <w:rFonts w:asciiTheme="minorEastAsia" w:eastAsiaTheme="minorEastAsia" w:hAnsiTheme="minorEastAsia" w:cs="宋体"/>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3.2.1 </w:t>
      </w:r>
      <w:r>
        <w:rPr>
          <w:rFonts w:asciiTheme="minorEastAsia" w:eastAsiaTheme="minorEastAsia" w:hAnsiTheme="minorEastAsia" w:cs="宋体" w:hint="eastAsia"/>
          <w:b/>
          <w:bCs/>
          <w:color w:val="000000" w:themeColor="text1"/>
          <w:kern w:val="0"/>
          <w:sz w:val="24"/>
          <w:szCs w:val="24"/>
        </w:rPr>
        <w:t>本报告期基金份额净值增长率及其与同期业绩比较基准收益率的比较</w:t>
      </w:r>
    </w:p>
    <w:tbl>
      <w:tblPr>
        <w:tblStyle w:val="af8"/>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A406A4">
        <w:tc>
          <w:tcPr>
            <w:tcW w:w="1395"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阶段</w:t>
            </w:r>
          </w:p>
        </w:tc>
        <w:tc>
          <w:tcPr>
            <w:tcW w:w="1092"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净值增长率①</w:t>
            </w:r>
          </w:p>
        </w:tc>
        <w:tc>
          <w:tcPr>
            <w:tcW w:w="1161"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净值增长率标准差②</w:t>
            </w:r>
          </w:p>
        </w:tc>
        <w:tc>
          <w:tcPr>
            <w:tcW w:w="1181"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业绩比较基准收益率③</w:t>
            </w:r>
          </w:p>
        </w:tc>
        <w:tc>
          <w:tcPr>
            <w:tcW w:w="1188"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业绩比较基准收益率标准差④</w:t>
            </w:r>
          </w:p>
        </w:tc>
        <w:tc>
          <w:tcPr>
            <w:tcW w:w="1199"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①</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③</w:t>
            </w:r>
          </w:p>
        </w:tc>
        <w:tc>
          <w:tcPr>
            <w:tcW w:w="1204"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Arial"/>
                <w:color w:val="000000" w:themeColor="text1"/>
                <w:kern w:val="0"/>
              </w:rPr>
            </w:pPr>
            <w:r>
              <w:rPr>
                <w:rFonts w:asciiTheme="minorEastAsia" w:eastAsiaTheme="minorEastAsia" w:hAnsiTheme="minorEastAsia" w:cs="Arial" w:hint="eastAsia"/>
                <w:color w:val="000000" w:themeColor="text1"/>
                <w:kern w:val="0"/>
              </w:rPr>
              <w:t>②</w:t>
            </w:r>
            <w:r>
              <w:rPr>
                <w:rFonts w:asciiTheme="minorEastAsia" w:eastAsiaTheme="minorEastAsia" w:hAnsiTheme="minorEastAsia" w:cs="Arial"/>
                <w:color w:val="000000" w:themeColor="text1"/>
                <w:kern w:val="0"/>
              </w:rPr>
              <w:t>-</w:t>
            </w:r>
            <w:r>
              <w:rPr>
                <w:rFonts w:asciiTheme="minorEastAsia" w:eastAsiaTheme="minorEastAsia" w:hAnsiTheme="minorEastAsia" w:cs="Arial" w:hint="eastAsia"/>
                <w:color w:val="000000" w:themeColor="text1"/>
                <w:kern w:val="0"/>
              </w:rPr>
              <w:t>④</w:t>
            </w:r>
          </w:p>
        </w:tc>
      </w:tr>
      <w:tr w:rsidR="00A406A4">
        <w:tc>
          <w:tcPr>
            <w:tcW w:w="1395" w:type="dxa"/>
            <w:vAlign w:val="center"/>
          </w:tcPr>
          <w:p w:rsidR="00A406A4" w:rsidRDefault="008117E7">
            <w:pPr>
              <w:jc w:val="left"/>
            </w:pPr>
            <w:r>
              <w:rPr>
                <w:rFonts w:asciiTheme="minorEastAsia" w:eastAsiaTheme="minorEastAsia" w:hAnsiTheme="minorEastAsia"/>
                <w:color w:val="000000" w:themeColor="text1"/>
                <w:kern w:val="0"/>
              </w:rPr>
              <w:t>过去三个月</w:t>
            </w:r>
          </w:p>
        </w:tc>
        <w:tc>
          <w:tcPr>
            <w:tcW w:w="1092" w:type="dxa"/>
            <w:vAlign w:val="center"/>
          </w:tcPr>
          <w:p w:rsidR="00A406A4" w:rsidRDefault="008117E7">
            <w:pPr>
              <w:jc w:val="center"/>
            </w:pPr>
            <w:r>
              <w:rPr>
                <w:rFonts w:asciiTheme="minorEastAsia" w:eastAsiaTheme="minorEastAsia" w:hAnsiTheme="minorEastAsia"/>
                <w:color w:val="000000" w:themeColor="text1"/>
                <w:kern w:val="0"/>
              </w:rPr>
              <w:t>7.62%</w:t>
            </w:r>
          </w:p>
        </w:tc>
        <w:tc>
          <w:tcPr>
            <w:tcW w:w="1161" w:type="dxa"/>
            <w:vAlign w:val="center"/>
          </w:tcPr>
          <w:p w:rsidR="00A406A4" w:rsidRDefault="008117E7">
            <w:pPr>
              <w:jc w:val="center"/>
            </w:pPr>
            <w:r>
              <w:rPr>
                <w:rFonts w:asciiTheme="minorEastAsia" w:eastAsiaTheme="minorEastAsia" w:hAnsiTheme="minorEastAsia"/>
                <w:color w:val="000000" w:themeColor="text1"/>
                <w:kern w:val="0"/>
              </w:rPr>
              <w:t>1.31%</w:t>
            </w:r>
          </w:p>
        </w:tc>
        <w:tc>
          <w:tcPr>
            <w:tcW w:w="1181" w:type="dxa"/>
            <w:vAlign w:val="center"/>
          </w:tcPr>
          <w:p w:rsidR="00A406A4" w:rsidRDefault="008117E7">
            <w:pPr>
              <w:jc w:val="center"/>
            </w:pPr>
            <w:r>
              <w:rPr>
                <w:rFonts w:asciiTheme="minorEastAsia" w:eastAsiaTheme="minorEastAsia" w:hAnsiTheme="minorEastAsia"/>
                <w:color w:val="000000" w:themeColor="text1"/>
                <w:kern w:val="0"/>
              </w:rPr>
              <w:t>5.23%</w:t>
            </w:r>
          </w:p>
        </w:tc>
        <w:tc>
          <w:tcPr>
            <w:tcW w:w="1188" w:type="dxa"/>
            <w:vAlign w:val="center"/>
          </w:tcPr>
          <w:p w:rsidR="00A406A4" w:rsidRDefault="00CB19C2">
            <w:pPr>
              <w:jc w:val="center"/>
            </w:pPr>
            <w:r>
              <w:rPr>
                <w:rFonts w:asciiTheme="minorEastAsia" w:eastAsiaTheme="minorEastAsia" w:hAnsiTheme="minorEastAsia"/>
                <w:color w:val="000000" w:themeColor="text1"/>
                <w:kern w:val="0"/>
              </w:rPr>
              <w:t>0.9</w:t>
            </w:r>
            <w:r>
              <w:rPr>
                <w:rFonts w:asciiTheme="minorEastAsia" w:eastAsiaTheme="minorEastAsia" w:hAnsiTheme="minorEastAsia" w:hint="eastAsia"/>
                <w:color w:val="000000" w:themeColor="text1"/>
                <w:kern w:val="0"/>
              </w:rPr>
              <w:t>4</w:t>
            </w:r>
            <w:r w:rsidR="008117E7">
              <w:rPr>
                <w:rFonts w:asciiTheme="minorEastAsia" w:eastAsiaTheme="minorEastAsia" w:hAnsiTheme="minorEastAsia"/>
                <w:color w:val="000000" w:themeColor="text1"/>
                <w:kern w:val="0"/>
              </w:rPr>
              <w:t>%</w:t>
            </w:r>
          </w:p>
        </w:tc>
        <w:tc>
          <w:tcPr>
            <w:tcW w:w="1199" w:type="dxa"/>
            <w:vAlign w:val="center"/>
          </w:tcPr>
          <w:p w:rsidR="00A406A4" w:rsidRDefault="008117E7">
            <w:pPr>
              <w:jc w:val="center"/>
            </w:pPr>
            <w:r>
              <w:rPr>
                <w:rFonts w:asciiTheme="minorEastAsia" w:eastAsiaTheme="minorEastAsia" w:hAnsiTheme="minorEastAsia"/>
                <w:color w:val="000000" w:themeColor="text1"/>
                <w:kern w:val="0"/>
              </w:rPr>
              <w:t>2.39%</w:t>
            </w:r>
          </w:p>
        </w:tc>
        <w:tc>
          <w:tcPr>
            <w:tcW w:w="1204" w:type="dxa"/>
            <w:vAlign w:val="center"/>
          </w:tcPr>
          <w:p w:rsidR="00A406A4" w:rsidRDefault="00CB19C2">
            <w:pPr>
              <w:jc w:val="center"/>
            </w:pPr>
            <w:r>
              <w:rPr>
                <w:rFonts w:asciiTheme="minorEastAsia" w:eastAsiaTheme="minorEastAsia" w:hAnsiTheme="minorEastAsia"/>
                <w:color w:val="000000" w:themeColor="text1"/>
                <w:kern w:val="0"/>
              </w:rPr>
              <w:t>0.3</w:t>
            </w:r>
            <w:r>
              <w:rPr>
                <w:rFonts w:asciiTheme="minorEastAsia" w:eastAsiaTheme="minorEastAsia" w:hAnsiTheme="minorEastAsia" w:hint="eastAsia"/>
                <w:color w:val="000000" w:themeColor="text1"/>
                <w:kern w:val="0"/>
              </w:rPr>
              <w:t>7</w:t>
            </w:r>
            <w:r w:rsidR="008117E7">
              <w:rPr>
                <w:rFonts w:asciiTheme="minorEastAsia" w:eastAsiaTheme="minorEastAsia" w:hAnsiTheme="minorEastAsia"/>
                <w:color w:val="000000" w:themeColor="text1"/>
                <w:kern w:val="0"/>
              </w:rPr>
              <w:t>%</w:t>
            </w:r>
          </w:p>
        </w:tc>
      </w:tr>
    </w:tbl>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3.2.2</w:t>
      </w:r>
      <w:r>
        <w:rPr>
          <w:rStyle w:val="af2"/>
          <w:rFonts w:hint="eastAsia"/>
          <w:color w:val="000000" w:themeColor="text1"/>
          <w:sz w:val="24"/>
          <w:szCs w:val="24"/>
          <w:shd w:val="clear" w:color="auto" w:fill="FFFFFF"/>
        </w:rPr>
        <w:t>自基金合同生效以来</w:t>
      </w:r>
      <w:r>
        <w:rPr>
          <w:rFonts w:asciiTheme="minorEastAsia" w:eastAsiaTheme="minorEastAsia" w:hAnsiTheme="minorEastAsia" w:hint="eastAsia"/>
          <w:b/>
          <w:bCs/>
          <w:color w:val="000000" w:themeColor="text1"/>
          <w:kern w:val="0"/>
          <w:sz w:val="24"/>
          <w:szCs w:val="24"/>
        </w:rPr>
        <w:t>基金累计净值增长率变动及其与同期业绩比较基准收益率变动的比较</w:t>
      </w:r>
    </w:p>
    <w:p w:rsidR="00A406A4" w:rsidRDefault="008117E7">
      <w:pPr>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上投摩根医疗健康股票型证券投资基金</w:t>
      </w:r>
    </w:p>
    <w:p w:rsidR="00A406A4" w:rsidRDefault="008117E7">
      <w:pPr>
        <w:pStyle w:val="a9"/>
        <w:snapToGrid w:val="0"/>
        <w:spacing w:line="36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累计净值增长率与业绩比较基准收益率历史走势对比图</w:t>
      </w:r>
    </w:p>
    <w:p w:rsidR="00A406A4" w:rsidRDefault="008117E7">
      <w:pPr>
        <w:pStyle w:val="a9"/>
        <w:snapToGrid w:val="0"/>
        <w:spacing w:line="360" w:lineRule="auto"/>
        <w:ind w:firstLine="48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2015年10月21日</w:t>
      </w:r>
      <w:r>
        <w:rPr>
          <w:rFonts w:asciiTheme="minorEastAsia" w:eastAsiaTheme="minorEastAsia" w:hAnsiTheme="minorEastAsia" w:hint="eastAsia"/>
          <w:color w:val="000000" w:themeColor="text1"/>
        </w:rPr>
        <w:t>至2019年12月31日)</w:t>
      </w:r>
    </w:p>
    <w:p w:rsidR="00A406A4" w:rsidRDefault="008117E7">
      <w:pPr>
        <w:pStyle w:val="a9"/>
        <w:snapToGrid w:val="0"/>
        <w:spacing w:before="120" w:line="36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noProof/>
          <w:color w:val="000000" w:themeColor="text1"/>
          <w:sz w:val="24"/>
          <w:szCs w:val="24"/>
        </w:rPr>
        <w:lastRenderedPageBreak/>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注：本基金合同生效日为2015年10月21日，图示时间段为2015年10月21日至2019年12月31日。</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本基金建仓期自2015年10月21日至2016年4月20日，建仓期结束时资产配置比例符合本基金基金合同规定。</w:t>
      </w:r>
    </w:p>
    <w:p w:rsidR="00A406A4" w:rsidRDefault="00A406A4">
      <w:pPr>
        <w:tabs>
          <w:tab w:val="left" w:pos="1800"/>
        </w:tabs>
        <w:spacing w:line="360" w:lineRule="auto"/>
        <w:rPr>
          <w:rFonts w:asciiTheme="minorEastAsia" w:eastAsiaTheme="minorEastAsia" w:hAnsiTheme="minorEastAsia"/>
          <w:color w:val="000000" w:themeColor="text1"/>
          <w:sz w:val="24"/>
          <w:szCs w:val="24"/>
        </w:rPr>
      </w:pPr>
    </w:p>
    <w:p w:rsidR="00A406A4" w:rsidRDefault="008117E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4  </w:t>
      </w:r>
      <w:r>
        <w:rPr>
          <w:rFonts w:asciiTheme="minorEastAsia" w:eastAsiaTheme="minorEastAsia" w:hAnsiTheme="minorEastAsia" w:hint="eastAsia"/>
          <w:color w:val="000000" w:themeColor="text1"/>
          <w:kern w:val="0"/>
          <w:sz w:val="24"/>
          <w:szCs w:val="24"/>
        </w:rPr>
        <w:t>管理人报告</w:t>
      </w: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4.1 </w:t>
      </w:r>
      <w:r>
        <w:rPr>
          <w:rFonts w:asciiTheme="minorEastAsia" w:eastAsiaTheme="minorEastAsia" w:hAnsiTheme="minorEastAsia" w:hint="eastAsia"/>
          <w:b/>
          <w:bCs/>
          <w:color w:val="000000" w:themeColor="text1"/>
          <w:kern w:val="0"/>
          <w:sz w:val="24"/>
          <w:szCs w:val="24"/>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A406A4">
        <w:trPr>
          <w:cantSplit/>
          <w:trHeight w:val="292"/>
        </w:trPr>
        <w:tc>
          <w:tcPr>
            <w:tcW w:w="851" w:type="dxa"/>
            <w:vMerge w:val="restart"/>
            <w:vAlign w:val="center"/>
          </w:tcPr>
          <w:p w:rsidR="00A406A4" w:rsidRDefault="008117E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姓名</w:t>
            </w:r>
          </w:p>
        </w:tc>
        <w:tc>
          <w:tcPr>
            <w:tcW w:w="850" w:type="dxa"/>
            <w:vMerge w:val="restart"/>
            <w:vAlign w:val="center"/>
          </w:tcPr>
          <w:p w:rsidR="00A406A4" w:rsidRDefault="008117E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职务</w:t>
            </w:r>
          </w:p>
        </w:tc>
        <w:tc>
          <w:tcPr>
            <w:tcW w:w="3119" w:type="dxa"/>
            <w:gridSpan w:val="2"/>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任本基金的基金经理期限</w:t>
            </w:r>
          </w:p>
        </w:tc>
        <w:tc>
          <w:tcPr>
            <w:tcW w:w="1417" w:type="dxa"/>
            <w:vMerge w:val="restart"/>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证券从业年限</w:t>
            </w:r>
          </w:p>
        </w:tc>
        <w:tc>
          <w:tcPr>
            <w:tcW w:w="2694" w:type="dxa"/>
            <w:vMerge w:val="restart"/>
            <w:vAlign w:val="center"/>
          </w:tcPr>
          <w:p w:rsidR="00A406A4" w:rsidRDefault="008117E7">
            <w:pPr>
              <w:widowControl/>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说明</w:t>
            </w:r>
          </w:p>
        </w:tc>
      </w:tr>
      <w:tr w:rsidR="00A406A4">
        <w:trPr>
          <w:cantSplit/>
        </w:trPr>
        <w:tc>
          <w:tcPr>
            <w:tcW w:w="851" w:type="dxa"/>
            <w:vMerge/>
            <w:vAlign w:val="center"/>
          </w:tcPr>
          <w:p w:rsidR="00A406A4" w:rsidRDefault="00A406A4">
            <w:pPr>
              <w:widowControl/>
              <w:spacing w:line="360" w:lineRule="auto"/>
              <w:jc w:val="left"/>
              <w:rPr>
                <w:rFonts w:asciiTheme="minorEastAsia" w:eastAsiaTheme="minorEastAsia" w:hAnsiTheme="minorEastAsia"/>
                <w:color w:val="000000" w:themeColor="text1"/>
                <w:kern w:val="0"/>
              </w:rPr>
            </w:pPr>
          </w:p>
        </w:tc>
        <w:tc>
          <w:tcPr>
            <w:tcW w:w="850" w:type="dxa"/>
            <w:vMerge/>
            <w:vAlign w:val="center"/>
          </w:tcPr>
          <w:p w:rsidR="00A406A4" w:rsidRDefault="00A406A4">
            <w:pPr>
              <w:widowControl/>
              <w:spacing w:line="360" w:lineRule="auto"/>
              <w:jc w:val="left"/>
              <w:rPr>
                <w:rFonts w:asciiTheme="minorEastAsia" w:eastAsiaTheme="minorEastAsia" w:hAnsiTheme="minorEastAsia"/>
                <w:color w:val="000000" w:themeColor="text1"/>
                <w:kern w:val="0"/>
              </w:rPr>
            </w:pPr>
          </w:p>
        </w:tc>
        <w:tc>
          <w:tcPr>
            <w:tcW w:w="1560"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任职日期</w:t>
            </w:r>
          </w:p>
        </w:tc>
        <w:tc>
          <w:tcPr>
            <w:tcW w:w="1559"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离任日期</w:t>
            </w:r>
          </w:p>
        </w:tc>
        <w:tc>
          <w:tcPr>
            <w:tcW w:w="1417" w:type="dxa"/>
            <w:vMerge/>
            <w:vAlign w:val="center"/>
          </w:tcPr>
          <w:p w:rsidR="00A406A4" w:rsidRDefault="00A406A4">
            <w:pPr>
              <w:widowControl/>
              <w:spacing w:line="360" w:lineRule="auto"/>
              <w:jc w:val="left"/>
              <w:rPr>
                <w:rFonts w:asciiTheme="minorEastAsia" w:eastAsiaTheme="minorEastAsia" w:hAnsiTheme="minorEastAsia"/>
                <w:color w:val="000000" w:themeColor="text1"/>
                <w:kern w:val="0"/>
              </w:rPr>
            </w:pPr>
          </w:p>
        </w:tc>
        <w:tc>
          <w:tcPr>
            <w:tcW w:w="2694" w:type="dxa"/>
            <w:vMerge/>
            <w:vAlign w:val="center"/>
          </w:tcPr>
          <w:p w:rsidR="00A406A4" w:rsidRDefault="00A406A4">
            <w:pPr>
              <w:widowControl/>
              <w:spacing w:line="360" w:lineRule="auto"/>
              <w:jc w:val="left"/>
              <w:rPr>
                <w:rFonts w:asciiTheme="minorEastAsia" w:eastAsiaTheme="minorEastAsia" w:hAnsiTheme="minorEastAsia"/>
                <w:color w:val="000000" w:themeColor="text1"/>
                <w:kern w:val="0"/>
              </w:rPr>
            </w:pPr>
          </w:p>
        </w:tc>
      </w:tr>
      <w:tr w:rsidR="00A406A4">
        <w:tc>
          <w:tcPr>
            <w:tcW w:w="851" w:type="dxa"/>
            <w:vAlign w:val="center"/>
          </w:tcPr>
          <w:p w:rsidR="00A406A4" w:rsidRDefault="008117E7">
            <w:pPr>
              <w:jc w:val="center"/>
            </w:pPr>
            <w:r>
              <w:rPr>
                <w:rFonts w:asciiTheme="minorEastAsia" w:eastAsiaTheme="minorEastAsia" w:hAnsiTheme="minorEastAsia"/>
                <w:color w:val="000000" w:themeColor="text1"/>
              </w:rPr>
              <w:t>方钰涵</w:t>
            </w:r>
          </w:p>
        </w:tc>
        <w:tc>
          <w:tcPr>
            <w:tcW w:w="850" w:type="dxa"/>
            <w:vAlign w:val="center"/>
          </w:tcPr>
          <w:p w:rsidR="00A406A4" w:rsidRDefault="008117E7">
            <w:pPr>
              <w:jc w:val="center"/>
            </w:pPr>
            <w:r>
              <w:rPr>
                <w:rFonts w:asciiTheme="minorEastAsia" w:eastAsiaTheme="minorEastAsia" w:hAnsiTheme="minorEastAsia"/>
                <w:color w:val="000000" w:themeColor="text1"/>
              </w:rPr>
              <w:t>本基金基金经理</w:t>
            </w:r>
          </w:p>
        </w:tc>
        <w:tc>
          <w:tcPr>
            <w:tcW w:w="1560" w:type="dxa"/>
            <w:vAlign w:val="center"/>
          </w:tcPr>
          <w:p w:rsidR="00A406A4" w:rsidRDefault="008117E7">
            <w:pPr>
              <w:jc w:val="center"/>
            </w:pPr>
            <w:r>
              <w:rPr>
                <w:rFonts w:asciiTheme="minorEastAsia" w:eastAsiaTheme="minorEastAsia" w:hAnsiTheme="minorEastAsia"/>
                <w:color w:val="000000" w:themeColor="text1"/>
              </w:rPr>
              <w:t>2019-08-16</w:t>
            </w:r>
          </w:p>
        </w:tc>
        <w:tc>
          <w:tcPr>
            <w:tcW w:w="1559" w:type="dxa"/>
            <w:vAlign w:val="center"/>
          </w:tcPr>
          <w:p w:rsidR="00A406A4" w:rsidRDefault="008117E7">
            <w:pPr>
              <w:jc w:val="center"/>
            </w:pPr>
            <w:r>
              <w:rPr>
                <w:rFonts w:asciiTheme="minorEastAsia" w:eastAsiaTheme="minorEastAsia" w:hAnsiTheme="minorEastAsia"/>
                <w:color w:val="000000" w:themeColor="text1"/>
              </w:rPr>
              <w:t>-</w:t>
            </w:r>
          </w:p>
        </w:tc>
        <w:tc>
          <w:tcPr>
            <w:tcW w:w="1417" w:type="dxa"/>
            <w:vAlign w:val="center"/>
          </w:tcPr>
          <w:p w:rsidR="00A406A4" w:rsidRDefault="008117E7">
            <w:pPr>
              <w:jc w:val="center"/>
            </w:pPr>
            <w:r>
              <w:rPr>
                <w:rFonts w:asciiTheme="minorEastAsia" w:eastAsiaTheme="minorEastAsia" w:hAnsiTheme="minorEastAsia"/>
                <w:color w:val="000000" w:themeColor="text1"/>
              </w:rPr>
              <w:t>7年</w:t>
            </w:r>
          </w:p>
        </w:tc>
        <w:tc>
          <w:tcPr>
            <w:tcW w:w="2694" w:type="dxa"/>
            <w:vAlign w:val="center"/>
          </w:tcPr>
          <w:p w:rsidR="00A406A4" w:rsidRDefault="008117E7">
            <w:r>
              <w:rPr>
                <w:rFonts w:asciiTheme="minorEastAsia" w:eastAsiaTheme="minorEastAsia" w:hAnsiTheme="minorEastAsia"/>
                <w:color w:val="000000" w:themeColor="text1"/>
              </w:rPr>
              <w:t>方钰涵女士，2013年3月至2014年8月在兴业证券资产管理有限公司担任研究员；自2014年9月至2015年6月在国泰基金管理有限公司担任研究员；自2015年6月起加入上投摩根基金管理有限公司，先后担任行业专家、基金经理；自2018年8月起担任上投摩根中国生物医药混合型证券投资基金（QDII）（由上投摩根</w:t>
            </w:r>
            <w:r>
              <w:rPr>
                <w:rFonts w:asciiTheme="minorEastAsia" w:eastAsiaTheme="minorEastAsia" w:hAnsiTheme="minorEastAsia"/>
                <w:color w:val="000000" w:themeColor="text1"/>
              </w:rPr>
              <w:lastRenderedPageBreak/>
              <w:t>智慧生活灵活配置混合型证券投资基金转型而来）基金经理，自2019年8月起同时担任上投摩根医疗健康股票型证券投资基金基金经理。</w:t>
            </w:r>
          </w:p>
        </w:tc>
      </w:tr>
    </w:tbl>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lastRenderedPageBreak/>
        <w:t>注：1. 任职日期和离任日期均指根据公司决定确定的聘任日期和解聘日期。</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2. 证券从业的含义遵从行业协会《证券业从业人员资格管理办法》的相关规定。</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4.2 </w:t>
      </w:r>
      <w:r>
        <w:rPr>
          <w:rFonts w:asciiTheme="minorEastAsia" w:eastAsiaTheme="minorEastAsia" w:hAnsiTheme="minorEastAsia" w:hint="eastAsia"/>
          <w:b/>
          <w:bCs/>
          <w:color w:val="000000" w:themeColor="text1"/>
          <w:kern w:val="0"/>
          <w:sz w:val="24"/>
          <w:szCs w:val="24"/>
        </w:rPr>
        <w:t>管理人对报告期内本基金运作遵规守信情况的说明</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医疗健康股票型证券投资基金基金合同》的规定。基金经理对个股和投资组合的比例遵循了投资决策委员会的授权限制，基金投资比例符合基金合同和法律法规的要求。</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4.3 </w:t>
      </w:r>
      <w:r>
        <w:rPr>
          <w:rFonts w:asciiTheme="minorEastAsia" w:eastAsiaTheme="minorEastAsia" w:hAnsiTheme="minorEastAsia" w:hint="eastAsia"/>
          <w:b/>
          <w:bCs/>
          <w:color w:val="000000" w:themeColor="text1"/>
          <w:kern w:val="0"/>
          <w:sz w:val="24"/>
          <w:szCs w:val="24"/>
        </w:rPr>
        <w:t>公平交易专项说明</w:t>
      </w: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4.3.1 </w:t>
      </w:r>
      <w:r>
        <w:rPr>
          <w:rFonts w:asciiTheme="minorEastAsia" w:eastAsiaTheme="minorEastAsia" w:hAnsiTheme="minorEastAsia" w:hint="eastAsia"/>
          <w:color w:val="000000" w:themeColor="text1"/>
          <w:sz w:val="24"/>
          <w:szCs w:val="24"/>
        </w:rPr>
        <w:t>公平交易制度的执行情况</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报告期内，通过对不同投资组合之间的收益率差异比较、对同向交易和反向交易的交易时机和交易价差监控分析，未发现整体公平交易执行出现异常的情况。</w:t>
      </w: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 xml:space="preserve">4.3.2 </w:t>
      </w:r>
      <w:r>
        <w:rPr>
          <w:rFonts w:asciiTheme="minorEastAsia" w:eastAsiaTheme="minorEastAsia" w:hAnsiTheme="minorEastAsia" w:hint="eastAsia"/>
          <w:color w:val="000000" w:themeColor="text1"/>
          <w:sz w:val="24"/>
          <w:szCs w:val="24"/>
        </w:rPr>
        <w:t>异常交易行为的专项说明</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报告期内，通过对交易价格、交易时间、交易方向等的分析，未发现有可能导致不公平</w:t>
      </w:r>
      <w:r>
        <w:rPr>
          <w:rFonts w:asciiTheme="minorEastAsia" w:eastAsiaTheme="minorEastAsia" w:hAnsiTheme="minorEastAsia" w:hint="eastAsia"/>
          <w:color w:val="000000" w:themeColor="text1"/>
        </w:rPr>
        <w:lastRenderedPageBreak/>
        <w:t>交易和利益输送的异常交易行为。</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所有投资组合参与的交易所公开竞价同日反向交易成交较少的单边交易量超过该证券当日成交量的5%的情形：无。</w:t>
      </w:r>
    </w:p>
    <w:p w:rsidR="00A406A4" w:rsidRDefault="00A406A4">
      <w:pPr>
        <w:spacing w:line="360" w:lineRule="auto"/>
        <w:ind w:firstLineChars="200" w:firstLine="480"/>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4.4 </w:t>
      </w:r>
      <w:r>
        <w:rPr>
          <w:rFonts w:asciiTheme="minorEastAsia" w:eastAsiaTheme="minorEastAsia" w:hAnsiTheme="minorEastAsia" w:hint="eastAsia"/>
          <w:b/>
          <w:bCs/>
          <w:color w:val="000000" w:themeColor="text1"/>
          <w:kern w:val="0"/>
          <w:sz w:val="24"/>
          <w:szCs w:val="24"/>
        </w:rPr>
        <w:t>报告期内基金的投资策略和业绩表现说明</w:t>
      </w: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4.4.1</w:t>
      </w:r>
      <w:r>
        <w:rPr>
          <w:rFonts w:asciiTheme="minorEastAsia" w:eastAsiaTheme="minorEastAsia" w:hAnsiTheme="minorEastAsia" w:cs="宋体" w:hint="eastAsia"/>
          <w:color w:val="000000" w:themeColor="text1"/>
          <w:sz w:val="24"/>
          <w:szCs w:val="24"/>
        </w:rPr>
        <w:t>报告期内基金投资策略和运作分析</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2019年第四季度，在医药板块今年取得相当可观的收益的情况下出现了一定幅度的调整，我们认为这是价格围绕价值上下波动的正常表现，长期来看，医药行业基本面依然向好。</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11月，国家创新药医保谈判落下帷幕，我们看到国家支持国产创新的坚定态度。近年来，国家一方面不断在加速临床审批，另一方面以动态调整的形式给予支持。世界上几乎没有哪一个大国可以做到像中国今天这样可以全民保障临床用药。</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展望未来，我们仍然认为医药行业在供给侧改革、研发商业化、消费渗透的过程中孕育着结构性机会。我们看好细分领域占有更大市场份额、并能持续不断地推陈出新带来中长期投资价值的行业龙头。此外，随着2018年香港市场允许未盈利生物科技公司上市，2019年科创板开板，超过20家生物医药类科创公司上市交易，预期更为丰富的投资标选择也将夯实投资组合的质量。</w:t>
      </w: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cs="宋体"/>
          <w:color w:val="000000" w:themeColor="text1"/>
          <w:sz w:val="24"/>
          <w:szCs w:val="24"/>
        </w:rPr>
        <w:t>4.4.2</w:t>
      </w:r>
      <w:r>
        <w:rPr>
          <w:rFonts w:asciiTheme="minorEastAsia" w:eastAsiaTheme="minorEastAsia" w:hAnsiTheme="minorEastAsia" w:cs="宋体" w:hint="eastAsia"/>
          <w:color w:val="000000" w:themeColor="text1"/>
          <w:sz w:val="24"/>
          <w:szCs w:val="24"/>
        </w:rPr>
        <w:t>报告期内基金的业绩表现</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本报告期上投摩根医疗健康股票份额净值增长率为:7.62%，同期业绩比较基准收益率为:5.23%。</w:t>
      </w:r>
    </w:p>
    <w:p w:rsidR="00A406A4" w:rsidRDefault="00A406A4">
      <w:pPr>
        <w:spacing w:line="360" w:lineRule="auto"/>
        <w:ind w:firstLineChars="200" w:firstLine="480"/>
        <w:rPr>
          <w:rFonts w:asciiTheme="minorEastAsia" w:eastAsiaTheme="minorEastAsia" w:hAnsiTheme="minorEastAsia"/>
          <w:color w:val="000000" w:themeColor="text1"/>
          <w:sz w:val="24"/>
          <w:szCs w:val="24"/>
        </w:rPr>
      </w:pP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b/>
          <w:color w:val="000000" w:themeColor="text1"/>
          <w:kern w:val="0"/>
          <w:sz w:val="24"/>
          <w:szCs w:val="24"/>
        </w:rPr>
        <w:t>4</w:t>
      </w:r>
      <w:r>
        <w:rPr>
          <w:rFonts w:asciiTheme="minorEastAsia" w:eastAsiaTheme="minorEastAsia" w:hAnsiTheme="minorEastAsia" w:hint="eastAsia"/>
          <w:b/>
          <w:color w:val="000000" w:themeColor="text1"/>
          <w:kern w:val="0"/>
          <w:sz w:val="24"/>
          <w:szCs w:val="24"/>
        </w:rPr>
        <w:t>.5报告期内基金持有人数或基金资产净值预警说明</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kern w:val="0"/>
        </w:rPr>
        <w:t>无。</w:t>
      </w:r>
    </w:p>
    <w:p w:rsidR="00A406A4" w:rsidRDefault="008117E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§5</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投资组合报告</w:t>
      </w: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5.1 </w:t>
      </w:r>
      <w:r>
        <w:rPr>
          <w:rFonts w:asciiTheme="minorEastAsia" w:eastAsiaTheme="minorEastAsia" w:hAnsiTheme="minorEastAsia" w:hint="eastAsia"/>
          <w:b/>
          <w:bCs/>
          <w:color w:val="000000" w:themeColor="text1"/>
          <w:kern w:val="0"/>
          <w:sz w:val="24"/>
          <w:szCs w:val="24"/>
        </w:rPr>
        <w:t>报告期末基金资产组合情况</w:t>
      </w:r>
    </w:p>
    <w:tbl>
      <w:tblPr>
        <w:tblStyle w:val="af8"/>
        <w:tblW w:w="8897" w:type="dxa"/>
        <w:jc w:val="center"/>
        <w:tblLayout w:type="fixed"/>
        <w:tblLook w:val="04A0" w:firstRow="1" w:lastRow="0" w:firstColumn="1" w:lastColumn="0" w:noHBand="0" w:noVBand="1"/>
      </w:tblPr>
      <w:tblGrid>
        <w:gridCol w:w="720"/>
        <w:gridCol w:w="3357"/>
        <w:gridCol w:w="2977"/>
        <w:gridCol w:w="1843"/>
      </w:tblGrid>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序号</w:t>
            </w:r>
          </w:p>
        </w:tc>
        <w:tc>
          <w:tcPr>
            <w:tcW w:w="3357"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项目</w:t>
            </w:r>
          </w:p>
        </w:tc>
        <w:tc>
          <w:tcPr>
            <w:tcW w:w="2977"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金额(元)</w:t>
            </w:r>
          </w:p>
        </w:tc>
        <w:tc>
          <w:tcPr>
            <w:tcW w:w="1843"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占基金总资产的比例(</w:t>
            </w:r>
            <w:r>
              <w:rPr>
                <w:rFonts w:asciiTheme="minorEastAsia" w:eastAsiaTheme="minorEastAsia" w:hAnsiTheme="minorEastAsia"/>
                <w:color w:val="000000" w:themeColor="text1"/>
                <w:kern w:val="0"/>
              </w:rPr>
              <w:t>%</w:t>
            </w:r>
            <w:r>
              <w:rPr>
                <w:rFonts w:asciiTheme="minorEastAsia" w:eastAsiaTheme="minorEastAsia" w:hAnsiTheme="minorEastAsia" w:hint="eastAsia"/>
                <w:color w:val="000000" w:themeColor="text1"/>
                <w:kern w:val="0"/>
              </w:rPr>
              <w:t>)</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权益投资</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435,609,342.00</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81.25</w:t>
            </w:r>
          </w:p>
        </w:tc>
      </w:tr>
      <w:tr w:rsidR="00A406A4">
        <w:trPr>
          <w:jc w:val="center"/>
        </w:trPr>
        <w:tc>
          <w:tcPr>
            <w:tcW w:w="720" w:type="dxa"/>
            <w:vAlign w:val="center"/>
          </w:tcPr>
          <w:p w:rsidR="00A406A4" w:rsidRDefault="00A406A4">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其中：股票</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435,609,342.00</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81.25</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lastRenderedPageBreak/>
              <w:t>2</w:t>
            </w: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固定收益投资</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vAlign w:val="center"/>
          </w:tcPr>
          <w:p w:rsidR="00A406A4" w:rsidRDefault="00A406A4">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其中：债券</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vAlign w:val="center"/>
          </w:tcPr>
          <w:p w:rsidR="00A406A4" w:rsidRDefault="00A406A4">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406A4" w:rsidRDefault="008117E7">
            <w:pPr>
              <w:autoSpaceDE w:val="0"/>
              <w:autoSpaceDN w:val="0"/>
              <w:adjustRightInd w:val="0"/>
              <w:spacing w:before="29" w:line="360" w:lineRule="auto"/>
              <w:ind w:left="17" w:firstLineChars="250" w:firstLine="525"/>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资产支持证券</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w:t>
            </w:r>
          </w:p>
        </w:tc>
        <w:tc>
          <w:tcPr>
            <w:tcW w:w="3357" w:type="dxa"/>
          </w:tcPr>
          <w:p w:rsidR="00A406A4" w:rsidRDefault="008117E7">
            <w:pPr>
              <w:spacing w:before="29" w:line="360" w:lineRule="auto"/>
              <w:ind w:leftChars="50" w:left="10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贵金属投资</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w:t>
            </w:r>
          </w:p>
        </w:tc>
        <w:tc>
          <w:tcPr>
            <w:tcW w:w="3357" w:type="dxa"/>
            <w:vAlign w:val="center"/>
          </w:tcPr>
          <w:p w:rsidR="00A406A4" w:rsidRDefault="008117E7">
            <w:pPr>
              <w:spacing w:before="29" w:line="360" w:lineRule="auto"/>
              <w:ind w:left="17"/>
              <w:jc w:val="lef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金融衍生品投资</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5</w:t>
            </w: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买入返售金融资产</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vAlign w:val="center"/>
          </w:tcPr>
          <w:p w:rsidR="00A406A4" w:rsidRDefault="00A406A4">
            <w:pPr>
              <w:spacing w:before="29" w:line="360" w:lineRule="auto"/>
              <w:ind w:left="17"/>
              <w:jc w:val="center"/>
              <w:rPr>
                <w:rFonts w:asciiTheme="minorEastAsia" w:eastAsiaTheme="minorEastAsia" w:hAnsiTheme="minorEastAsia"/>
                <w:color w:val="000000" w:themeColor="text1"/>
                <w:kern w:val="0"/>
              </w:rPr>
            </w:pP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其中：买断式回购的买入返售金融资产</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6</w:t>
            </w:r>
          </w:p>
        </w:tc>
        <w:tc>
          <w:tcPr>
            <w:tcW w:w="3357" w:type="dxa"/>
            <w:vAlign w:val="center"/>
          </w:tcPr>
          <w:p w:rsidR="00A406A4" w:rsidRDefault="008117E7">
            <w:pPr>
              <w:spacing w:before="29" w:line="360" w:lineRule="auto"/>
              <w:ind w:left="17"/>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银行存款和结算备付金合计</w:t>
            </w:r>
          </w:p>
        </w:tc>
        <w:tc>
          <w:tcPr>
            <w:tcW w:w="2977"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97,949,247.84</w:t>
            </w:r>
          </w:p>
        </w:tc>
        <w:tc>
          <w:tcPr>
            <w:tcW w:w="1843" w:type="dxa"/>
            <w:vAlign w:val="center"/>
          </w:tcPr>
          <w:p w:rsidR="00A406A4" w:rsidRDefault="008117E7">
            <w:pPr>
              <w:spacing w:before="29" w:line="360" w:lineRule="auto"/>
              <w:ind w:left="17"/>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18.27</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7</w:t>
            </w:r>
          </w:p>
        </w:tc>
        <w:tc>
          <w:tcPr>
            <w:tcW w:w="3357" w:type="dxa"/>
            <w:vAlign w:val="center"/>
          </w:tcPr>
          <w:p w:rsidR="00A406A4" w:rsidRDefault="008117E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其他各项资产</w:t>
            </w:r>
          </w:p>
        </w:tc>
        <w:tc>
          <w:tcPr>
            <w:tcW w:w="2977" w:type="dxa"/>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2,546,574.66</w:t>
            </w:r>
          </w:p>
        </w:tc>
        <w:tc>
          <w:tcPr>
            <w:tcW w:w="1843" w:type="dxa"/>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0.48</w:t>
            </w:r>
          </w:p>
        </w:tc>
      </w:tr>
      <w:tr w:rsidR="00A406A4">
        <w:trPr>
          <w:jc w:val="center"/>
        </w:trPr>
        <w:tc>
          <w:tcPr>
            <w:tcW w:w="720" w:type="dxa"/>
            <w:vAlign w:val="center"/>
          </w:tcPr>
          <w:p w:rsidR="00A406A4" w:rsidRDefault="008117E7">
            <w:pPr>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8</w:t>
            </w:r>
          </w:p>
        </w:tc>
        <w:tc>
          <w:tcPr>
            <w:tcW w:w="3357" w:type="dxa"/>
            <w:vAlign w:val="center"/>
          </w:tcPr>
          <w:p w:rsidR="00A406A4" w:rsidRDefault="008117E7">
            <w:pPr>
              <w:jc w:val="left"/>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2977" w:type="dxa"/>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536,105,164.50</w:t>
            </w:r>
          </w:p>
        </w:tc>
        <w:tc>
          <w:tcPr>
            <w:tcW w:w="1843" w:type="dxa"/>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100.00</w:t>
            </w:r>
          </w:p>
        </w:tc>
      </w:tr>
    </w:tbl>
    <w:p w:rsidR="00A406A4" w:rsidRDefault="00A406A4">
      <w:pPr>
        <w:autoSpaceDE w:val="0"/>
        <w:autoSpaceDN w:val="0"/>
        <w:adjustRightInd w:val="0"/>
        <w:spacing w:line="360" w:lineRule="auto"/>
        <w:jc w:val="left"/>
        <w:rPr>
          <w:rFonts w:asciiTheme="minorEastAsia" w:eastAsiaTheme="minorEastAsia" w:hAnsiTheme="minorEastAsia" w:cs="宋体"/>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5.2 </w:t>
      </w:r>
      <w:r>
        <w:rPr>
          <w:rFonts w:asciiTheme="minorEastAsia" w:eastAsiaTheme="minorEastAsia" w:hAnsiTheme="minorEastAsia" w:hint="eastAsia"/>
          <w:b/>
          <w:bCs/>
          <w:color w:val="000000" w:themeColor="text1"/>
          <w:kern w:val="0"/>
          <w:sz w:val="24"/>
          <w:szCs w:val="24"/>
        </w:rPr>
        <w:t>报告期末按行业分类的股票投资组合</w:t>
      </w:r>
    </w:p>
    <w:p w:rsidR="00A406A4" w:rsidRDefault="008117E7">
      <w:pPr>
        <w:rPr>
          <w:b/>
        </w:rPr>
      </w:pPr>
      <w:r>
        <w:rPr>
          <w:rFonts w:eastAsiaTheme="minorEastAsia" w:hint="eastAsia"/>
          <w:b/>
          <w:color w:val="000000" w:themeColor="text1"/>
          <w:kern w:val="0"/>
        </w:rPr>
        <w:t>5.2.1</w:t>
      </w:r>
      <w:r>
        <w:rPr>
          <w:rFonts w:eastAsiaTheme="minorEastAsia" w:hint="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A406A4">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占基金资产净值比例（％）</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A406A4" w:rsidRDefault="00A406A4">
            <w:pPr>
              <w:jc w:val="right"/>
              <w:rPr>
                <w:rFonts w:asciiTheme="minorEastAsia" w:eastAsiaTheme="minorEastAsia" w:hAnsiTheme="minorEastAsia" w:cs="宋体"/>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p w:rsidR="00A406A4" w:rsidRDefault="00A406A4">
            <w:pPr>
              <w:jc w:val="right"/>
              <w:rPr>
                <w:rFonts w:asciiTheme="minorEastAsia" w:eastAsiaTheme="minorEastAsia" w:hAnsiTheme="minorEastAsia" w:cs="宋体"/>
                <w:color w:val="000000" w:themeColor="text1"/>
                <w:kern w:val="0"/>
              </w:rPr>
            </w:pP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304,819,814.25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57.90</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7,688,138.00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1.46</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8,456,976.92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1.61</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13,397,428.70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2.55</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6,551,550.00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1.24</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42,235,914.56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8.02</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lastRenderedPageBreak/>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13,915,288.80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2.64</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38,544,230.77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7.32</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adjustRightInd w:val="0"/>
              <w:snapToGrid w:val="0"/>
              <w:spacing w:line="400" w:lineRule="exact"/>
              <w:jc w:val="center"/>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w:t>
            </w:r>
          </w:p>
        </w:tc>
      </w:tr>
      <w:tr w:rsidR="00A406A4">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A406A4">
            <w:pPr>
              <w:adjustRightInd w:val="0"/>
              <w:snapToGrid w:val="0"/>
              <w:spacing w:line="400" w:lineRule="exact"/>
              <w:jc w:val="center"/>
              <w:rPr>
                <w:rFonts w:asciiTheme="minorEastAsia" w:eastAsiaTheme="minorEastAsia" w:hAnsiTheme="minorEastAsia" w:cs="宋体"/>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406A4" w:rsidRDefault="008117E7">
            <w:pPr>
              <w:adjustRightInd w:val="0"/>
              <w:snapToGrid w:val="0"/>
              <w:spacing w:line="400" w:lineRule="exac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435,609,342.00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406A4" w:rsidRDefault="008117E7">
            <w:pPr>
              <w:jc w:val="right"/>
              <w:rPr>
                <w:rFonts w:asciiTheme="minorEastAsia" w:eastAsiaTheme="minorEastAsia" w:hAnsiTheme="minorEastAsia" w:cs="宋体"/>
                <w:color w:val="000000" w:themeColor="text1"/>
                <w:kern w:val="0"/>
              </w:rPr>
            </w:pPr>
            <w:r>
              <w:rPr>
                <w:rFonts w:asciiTheme="minorEastAsia" w:eastAsiaTheme="minorEastAsia" w:hAnsiTheme="minorEastAsia" w:cs="宋体"/>
                <w:color w:val="000000" w:themeColor="text1"/>
                <w:kern w:val="0"/>
              </w:rPr>
              <w:t>82.75</w:t>
            </w:r>
          </w:p>
        </w:tc>
      </w:tr>
    </w:tbl>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5.3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报告期末按公允价值占基金资产净值比例大小排序的前十名股票投资明细</w:t>
      </w:r>
    </w:p>
    <w:tbl>
      <w:tblPr>
        <w:tblStyle w:val="af8"/>
        <w:tblW w:w="8528" w:type="dxa"/>
        <w:tblLayout w:type="fixed"/>
        <w:tblLook w:val="04A0" w:firstRow="1" w:lastRow="0" w:firstColumn="1" w:lastColumn="0" w:noHBand="0" w:noVBand="1"/>
      </w:tblPr>
      <w:tblGrid>
        <w:gridCol w:w="817"/>
        <w:gridCol w:w="1276"/>
        <w:gridCol w:w="1701"/>
        <w:gridCol w:w="1276"/>
        <w:gridCol w:w="1842"/>
        <w:gridCol w:w="1616"/>
      </w:tblGrid>
      <w:tr w:rsidR="00A406A4">
        <w:tc>
          <w:tcPr>
            <w:tcW w:w="817" w:type="dxa"/>
            <w:vAlign w:val="center"/>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序号</w:t>
            </w:r>
          </w:p>
        </w:tc>
        <w:tc>
          <w:tcPr>
            <w:tcW w:w="1276" w:type="dxa"/>
            <w:vAlign w:val="center"/>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股票代码</w:t>
            </w:r>
          </w:p>
        </w:tc>
        <w:tc>
          <w:tcPr>
            <w:tcW w:w="1701" w:type="dxa"/>
            <w:vAlign w:val="center"/>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股票名称</w:t>
            </w:r>
          </w:p>
        </w:tc>
        <w:tc>
          <w:tcPr>
            <w:tcW w:w="1276" w:type="dxa"/>
            <w:vAlign w:val="center"/>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数量(股)</w:t>
            </w:r>
          </w:p>
        </w:tc>
        <w:tc>
          <w:tcPr>
            <w:tcW w:w="1842"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公允价值</w:t>
            </w:r>
            <w:r>
              <w:rPr>
                <w:rFonts w:asciiTheme="minorEastAsia" w:eastAsiaTheme="minorEastAsia" w:hAnsiTheme="minorEastAsia" w:cs="宋体"/>
                <w:color w:val="000000" w:themeColor="text1"/>
                <w:kern w:val="0"/>
              </w:rPr>
              <w:t>(</w:t>
            </w:r>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color w:val="000000" w:themeColor="text1"/>
                <w:kern w:val="0"/>
              </w:rPr>
              <w:t>)</w:t>
            </w:r>
          </w:p>
        </w:tc>
        <w:tc>
          <w:tcPr>
            <w:tcW w:w="1616" w:type="dxa"/>
            <w:vAlign w:val="center"/>
          </w:tcPr>
          <w:p w:rsidR="00A406A4" w:rsidRDefault="008117E7">
            <w:pPr>
              <w:spacing w:before="29" w:line="360" w:lineRule="auto"/>
              <w:ind w:left="17"/>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占基金资产净值比例(％)</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1</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300760</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迈瑞医疗</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236,544.00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43,027,353.60</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8.17</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2</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603259</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药明康德</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458,488.00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42,235,914.56</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8.02</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3</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603707</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健友股份</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778,572.00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32,295,166.56</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6.13</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4</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600276</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恒瑞医药</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365,346.00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31,975,081.92</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6.07</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5</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002821</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凯莱英</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229,846.00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29,765,057.00</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5.65</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6</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000661</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长春高新</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48,202.00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21,546,294.00</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4.09</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7</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300015</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爱尔眼科</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500,702.00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19,807,771.12</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3.76</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8</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600161</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天坛生物</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688,205.00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19,228,447.70</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3.65</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9</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688016</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心脉医疗</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122,536.00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18,007,890.56</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3.42</w:t>
            </w:r>
          </w:p>
        </w:tc>
      </w:tr>
      <w:tr w:rsidR="00A406A4">
        <w:tc>
          <w:tcPr>
            <w:tcW w:w="817" w:type="dxa"/>
            <w:vAlign w:val="center"/>
          </w:tcPr>
          <w:p w:rsidR="00A406A4" w:rsidRDefault="008117E7">
            <w:pPr>
              <w:jc w:val="center"/>
            </w:pPr>
            <w:r>
              <w:rPr>
                <w:rFonts w:asciiTheme="minorEastAsia" w:eastAsiaTheme="minorEastAsia" w:hAnsiTheme="minorEastAsia" w:cs="宋体"/>
                <w:color w:val="000000" w:themeColor="text1"/>
                <w:kern w:val="0"/>
              </w:rPr>
              <w:t>10</w:t>
            </w:r>
          </w:p>
        </w:tc>
        <w:tc>
          <w:tcPr>
            <w:tcW w:w="1276" w:type="dxa"/>
            <w:vAlign w:val="center"/>
          </w:tcPr>
          <w:p w:rsidR="00A406A4" w:rsidRDefault="008117E7">
            <w:pPr>
              <w:jc w:val="center"/>
            </w:pPr>
            <w:r>
              <w:rPr>
                <w:rFonts w:asciiTheme="minorEastAsia" w:eastAsiaTheme="minorEastAsia" w:hAnsiTheme="minorEastAsia" w:cs="宋体"/>
                <w:color w:val="000000" w:themeColor="text1"/>
                <w:kern w:val="0"/>
              </w:rPr>
              <w:t>300482</w:t>
            </w:r>
          </w:p>
        </w:tc>
        <w:tc>
          <w:tcPr>
            <w:tcW w:w="1701" w:type="dxa"/>
            <w:vAlign w:val="center"/>
          </w:tcPr>
          <w:p w:rsidR="00A406A4" w:rsidRDefault="008117E7">
            <w:pPr>
              <w:jc w:val="center"/>
            </w:pPr>
            <w:r>
              <w:rPr>
                <w:rFonts w:asciiTheme="minorEastAsia" w:eastAsiaTheme="minorEastAsia" w:hAnsiTheme="minorEastAsia" w:cs="宋体"/>
                <w:color w:val="000000" w:themeColor="text1"/>
                <w:kern w:val="0"/>
              </w:rPr>
              <w:t>万孚生物</w:t>
            </w:r>
          </w:p>
        </w:tc>
        <w:tc>
          <w:tcPr>
            <w:tcW w:w="1276" w:type="dxa"/>
            <w:vAlign w:val="center"/>
          </w:tcPr>
          <w:p w:rsidR="00A406A4" w:rsidRDefault="008117E7">
            <w:pPr>
              <w:jc w:val="right"/>
            </w:pPr>
            <w:r>
              <w:rPr>
                <w:rFonts w:asciiTheme="minorEastAsia" w:eastAsiaTheme="minorEastAsia" w:hAnsiTheme="minorEastAsia" w:cs="宋体"/>
                <w:color w:val="000000" w:themeColor="text1"/>
                <w:kern w:val="0"/>
              </w:rPr>
              <w:t>321,502.00</w:t>
            </w:r>
          </w:p>
        </w:tc>
        <w:tc>
          <w:tcPr>
            <w:tcW w:w="1842" w:type="dxa"/>
            <w:vAlign w:val="center"/>
          </w:tcPr>
          <w:p w:rsidR="00A406A4" w:rsidRDefault="008117E7">
            <w:pPr>
              <w:jc w:val="right"/>
            </w:pPr>
            <w:r>
              <w:rPr>
                <w:rFonts w:asciiTheme="minorEastAsia" w:eastAsiaTheme="minorEastAsia" w:hAnsiTheme="minorEastAsia" w:cs="宋体"/>
                <w:color w:val="000000" w:themeColor="text1"/>
                <w:kern w:val="0"/>
              </w:rPr>
              <w:t>16,644,158.54</w:t>
            </w:r>
          </w:p>
        </w:tc>
        <w:tc>
          <w:tcPr>
            <w:tcW w:w="1616" w:type="dxa"/>
            <w:vAlign w:val="center"/>
          </w:tcPr>
          <w:p w:rsidR="00A406A4" w:rsidRDefault="008117E7">
            <w:pPr>
              <w:jc w:val="right"/>
            </w:pPr>
            <w:r>
              <w:rPr>
                <w:rFonts w:asciiTheme="minorEastAsia" w:eastAsiaTheme="minorEastAsia" w:hAnsiTheme="minorEastAsia" w:cs="宋体"/>
                <w:color w:val="000000" w:themeColor="text1"/>
                <w:kern w:val="0"/>
              </w:rPr>
              <w:t>3.16</w:t>
            </w:r>
          </w:p>
        </w:tc>
      </w:tr>
    </w:tbl>
    <w:p w:rsidR="00A406A4" w:rsidRDefault="00A406A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5.4 </w:t>
      </w:r>
      <w:r>
        <w:rPr>
          <w:rFonts w:asciiTheme="minorEastAsia" w:eastAsiaTheme="minorEastAsia" w:hAnsiTheme="minorEastAsia" w:hint="eastAsia"/>
          <w:b/>
          <w:bCs/>
          <w:color w:val="000000" w:themeColor="text1"/>
          <w:kern w:val="0"/>
          <w:sz w:val="24"/>
          <w:szCs w:val="24"/>
        </w:rPr>
        <w:t>报告期末按债券品种分类的债券投资组合</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5.5 </w:t>
      </w:r>
      <w:r>
        <w:rPr>
          <w:rFonts w:asciiTheme="minorEastAsia" w:eastAsiaTheme="minorEastAsia" w:hAnsiTheme="minorEastAsia" w:hint="eastAsia"/>
          <w:b/>
          <w:bCs/>
          <w:color w:val="000000" w:themeColor="text1"/>
          <w:kern w:val="0"/>
          <w:sz w:val="24"/>
          <w:szCs w:val="24"/>
        </w:rPr>
        <w:t>报告期末按公允价值占基金资产净值比例大小排序的前五名债券投资明细</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本基金本报告期末未持有债券。</w:t>
      </w:r>
    </w:p>
    <w:p w:rsidR="00A406A4" w:rsidRDefault="00A406A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 xml:space="preserve">5.6 </w:t>
      </w:r>
      <w:r>
        <w:rPr>
          <w:rFonts w:asciiTheme="minorEastAsia" w:eastAsiaTheme="minorEastAsia" w:hAnsiTheme="minorEastAsia" w:hint="eastAsia"/>
          <w:b/>
          <w:bCs/>
          <w:color w:val="000000" w:themeColor="text1"/>
          <w:kern w:val="0"/>
          <w:sz w:val="24"/>
          <w:szCs w:val="24"/>
        </w:rPr>
        <w:t>报告期末按公允价值占基金资产净值比例大小排序的前十名资产支持证券投资明细</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本基金本报告期末未持有资产支持证券。</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5.7 报告期末按公允价值占基金资产净值比例大小排序的前五名贵金属投资明细</w:t>
      </w:r>
    </w:p>
    <w:p w:rsidR="00A406A4" w:rsidRDefault="008117E7">
      <w:pPr>
        <w:widowControl/>
        <w:spacing w:line="360" w:lineRule="auto"/>
        <w:jc w:val="left"/>
        <w:rPr>
          <w:rFonts w:ascii="宋体" w:hAnsi="宋体"/>
          <w:color w:val="000000" w:themeColor="text1"/>
        </w:rPr>
      </w:pPr>
      <w:r>
        <w:rPr>
          <w:rFonts w:ascii="宋体" w:hAnsi="宋体"/>
          <w:color w:val="000000" w:themeColor="text1"/>
        </w:rPr>
        <w:t>本基金本报告期末未持有贵金属。</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5.8</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报告期末按公允价值占基金资产净值比例大小排序的前五名权证投资明细</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本基金本报告期末未持有权证。</w:t>
      </w:r>
    </w:p>
    <w:p w:rsidR="00A406A4" w:rsidRDefault="00A406A4">
      <w:pPr>
        <w:autoSpaceDE w:val="0"/>
        <w:autoSpaceDN w:val="0"/>
        <w:adjustRightInd w:val="0"/>
        <w:spacing w:line="360" w:lineRule="auto"/>
        <w:jc w:val="left"/>
        <w:rPr>
          <w:rFonts w:asciiTheme="minorEastAsia" w:eastAsiaTheme="minorEastAsia" w:hAnsiTheme="minorEastAsia"/>
          <w:color w:val="000000" w:themeColor="text1"/>
          <w:kern w:val="0"/>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5.9 报告期末本基金投资的股指期货交易情况说明</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本基金本报告期末未持有股指期货。</w:t>
      </w:r>
    </w:p>
    <w:p w:rsidR="00A406A4" w:rsidRDefault="00A406A4">
      <w:pPr>
        <w:adjustRightInd w:val="0"/>
        <w:snapToGrid w:val="0"/>
        <w:spacing w:line="360" w:lineRule="exact"/>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5.10报告期末本基金投资的国债期货交易情况说明</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本基金本报告期末未持有国债期货。</w:t>
      </w: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b/>
          <w:bCs/>
          <w:color w:val="000000" w:themeColor="text1"/>
          <w:kern w:val="0"/>
          <w:sz w:val="24"/>
          <w:szCs w:val="24"/>
        </w:rPr>
        <w:t>5.</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投资组合报告附注</w:t>
      </w: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w:t>
      </w:r>
      <w:r>
        <w:rPr>
          <w:rFonts w:asciiTheme="minorEastAsia" w:eastAsiaTheme="minorEastAsia" w:hAnsiTheme="minorEastAsia"/>
          <w:color w:val="000000" w:themeColor="text1"/>
          <w:sz w:val="24"/>
          <w:szCs w:val="24"/>
        </w:rPr>
        <w:t>报告期内本基金投资的前十名证券的发行主体本期没有出现被监管部门立案调查，或在报告编制日前一年内受到公开谴责、处罚的情形。</w:t>
      </w:r>
    </w:p>
    <w:p w:rsidR="00A406A4" w:rsidRDefault="008117E7">
      <w:pPr>
        <w:spacing w:line="360" w:lineRule="auto"/>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11</w:t>
      </w:r>
      <w:r>
        <w:rPr>
          <w:rFonts w:asciiTheme="minorEastAsia" w:eastAsiaTheme="minorEastAsia" w:hAnsiTheme="minorEastAsia"/>
          <w:color w:val="000000" w:themeColor="text1"/>
          <w:sz w:val="24"/>
          <w:szCs w:val="24"/>
        </w:rPr>
        <w:t>.</w:t>
      </w:r>
      <w:r>
        <w:rPr>
          <w:rFonts w:asciiTheme="minorEastAsia" w:eastAsiaTheme="minorEastAsia" w:hAnsiTheme="minorEastAsia" w:hint="eastAsia"/>
          <w:color w:val="000000" w:themeColor="text1"/>
          <w:sz w:val="24"/>
          <w:szCs w:val="24"/>
        </w:rPr>
        <w:t>2</w:t>
      </w:r>
      <w:r>
        <w:rPr>
          <w:rFonts w:asciiTheme="minorEastAsia" w:eastAsiaTheme="minorEastAsia" w:hAnsiTheme="minorEastAsia"/>
          <w:color w:val="000000" w:themeColor="text1"/>
          <w:sz w:val="24"/>
          <w:szCs w:val="24"/>
        </w:rPr>
        <w:t>报告期内本基金投资的前十名股票中没有在基金合同规定备选股票库之外的股票。</w:t>
      </w: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其他资产构成</w:t>
      </w:r>
    </w:p>
    <w:tbl>
      <w:tblPr>
        <w:tblStyle w:val="af8"/>
        <w:tblW w:w="8513" w:type="dxa"/>
        <w:tblInd w:w="15" w:type="dxa"/>
        <w:tblLayout w:type="fixed"/>
        <w:tblLook w:val="04A0" w:firstRow="1" w:lastRow="0" w:firstColumn="1" w:lastColumn="0" w:noHBand="0" w:noVBand="1"/>
      </w:tblPr>
      <w:tblGrid>
        <w:gridCol w:w="1235"/>
        <w:gridCol w:w="2470"/>
        <w:gridCol w:w="4808"/>
      </w:tblGrid>
      <w:tr w:rsidR="00A406A4">
        <w:tc>
          <w:tcPr>
            <w:tcW w:w="1235"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序号</w:t>
            </w:r>
          </w:p>
        </w:tc>
        <w:tc>
          <w:tcPr>
            <w:tcW w:w="2470"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名称</w:t>
            </w:r>
          </w:p>
        </w:tc>
        <w:tc>
          <w:tcPr>
            <w:tcW w:w="4808" w:type="dxa"/>
            <w:vAlign w:val="center"/>
          </w:tcPr>
          <w:p w:rsidR="00A406A4" w:rsidRDefault="008117E7">
            <w:pPr>
              <w:autoSpaceDE w:val="0"/>
              <w:autoSpaceDN w:val="0"/>
              <w:adjustRightInd w:val="0"/>
              <w:spacing w:before="29" w:line="360" w:lineRule="auto"/>
              <w:ind w:left="17"/>
              <w:jc w:val="center"/>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金额(元)</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存出保证金</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192,056.99</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应收证券清算款</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3</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应收股利</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4</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应收利息</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22,344.44</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5</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应收申购款</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2,332,173.23</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6</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其他应收款</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7</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待摊费用</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8</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其他</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w:t>
            </w:r>
          </w:p>
        </w:tc>
      </w:tr>
      <w:tr w:rsidR="00A406A4">
        <w:tc>
          <w:tcPr>
            <w:tcW w:w="1235" w:type="dxa"/>
            <w:vAlign w:val="center"/>
          </w:tcPr>
          <w:p w:rsidR="00A406A4" w:rsidRDefault="008117E7">
            <w:pPr>
              <w:autoSpaceDE w:val="0"/>
              <w:autoSpaceDN w:val="0"/>
              <w:adjustRightInd w:val="0"/>
              <w:spacing w:before="29" w:line="360" w:lineRule="auto"/>
              <w:ind w:left="15"/>
              <w:jc w:val="center"/>
              <w:rPr>
                <w:rFonts w:asciiTheme="minorEastAsia" w:eastAsiaTheme="minorEastAsia" w:hAnsiTheme="minorEastAsia"/>
                <w:color w:val="000000" w:themeColor="text1"/>
                <w:kern w:val="0"/>
              </w:rPr>
            </w:pPr>
            <w:r>
              <w:rPr>
                <w:rFonts w:asciiTheme="minorEastAsia" w:eastAsiaTheme="minorEastAsia" w:hAnsiTheme="minorEastAsia" w:hint="eastAsia"/>
                <w:color w:val="000000" w:themeColor="text1"/>
                <w:kern w:val="0"/>
              </w:rPr>
              <w:t>9</w:t>
            </w:r>
          </w:p>
        </w:tc>
        <w:tc>
          <w:tcPr>
            <w:tcW w:w="2470" w:type="dxa"/>
            <w:vAlign w:val="center"/>
          </w:tcPr>
          <w:p w:rsidR="00A406A4" w:rsidRDefault="008117E7">
            <w:pPr>
              <w:autoSpaceDE w:val="0"/>
              <w:autoSpaceDN w:val="0"/>
              <w:adjustRightInd w:val="0"/>
              <w:spacing w:before="29" w:line="360" w:lineRule="auto"/>
              <w:ind w:left="15"/>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合计</w:t>
            </w:r>
          </w:p>
        </w:tc>
        <w:tc>
          <w:tcPr>
            <w:tcW w:w="4808" w:type="dxa"/>
            <w:vAlign w:val="center"/>
          </w:tcPr>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rPr>
            </w:pPr>
            <w:r>
              <w:rPr>
                <w:rFonts w:asciiTheme="minorEastAsia" w:eastAsiaTheme="minorEastAsia" w:hAnsiTheme="minorEastAsia"/>
                <w:color w:val="000000" w:themeColor="text1"/>
                <w:kern w:val="0"/>
              </w:rPr>
              <w:t>2,546,574.66</w:t>
            </w:r>
          </w:p>
        </w:tc>
      </w:tr>
    </w:tbl>
    <w:p w:rsidR="00A406A4" w:rsidRDefault="00A406A4">
      <w:pPr>
        <w:autoSpaceDE w:val="0"/>
        <w:autoSpaceDN w:val="0"/>
        <w:adjustRightInd w:val="0"/>
        <w:spacing w:line="360" w:lineRule="auto"/>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4报告期末持有的处于转股期的可转换债券明细</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本基金本报告期末未持有处于转股期的可转换债券。</w:t>
      </w:r>
    </w:p>
    <w:p w:rsidR="00A406A4" w:rsidRDefault="00A406A4">
      <w:pPr>
        <w:autoSpaceDE w:val="0"/>
        <w:autoSpaceDN w:val="0"/>
        <w:adjustRightInd w:val="0"/>
        <w:spacing w:line="360" w:lineRule="auto"/>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5报告期末前十名股票中存在流通受限情况的说明</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本基金本报告期末前十名股票中不存在流通受限情况。</w:t>
      </w:r>
    </w:p>
    <w:p w:rsidR="00A406A4" w:rsidRDefault="00A406A4">
      <w:pPr>
        <w:autoSpaceDE w:val="0"/>
        <w:autoSpaceDN w:val="0"/>
        <w:adjustRightInd w:val="0"/>
        <w:spacing w:line="360" w:lineRule="auto"/>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5</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11</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6投资组合报告附注的其他文字描述部分</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color w:val="000000" w:themeColor="text1"/>
        </w:rPr>
        <w:t>因四舍五入原因,投资组合报告中分项之和与合计可能存在尾差。</w:t>
      </w:r>
    </w:p>
    <w:p w:rsidR="00A406A4" w:rsidRDefault="008117E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w:t>
      </w:r>
      <w:r>
        <w:rPr>
          <w:rFonts w:asciiTheme="minorEastAsia" w:eastAsiaTheme="minorEastAsia" w:hAnsiTheme="minorEastAsia"/>
          <w:color w:val="000000" w:themeColor="text1"/>
          <w:kern w:val="0"/>
          <w:sz w:val="24"/>
          <w:szCs w:val="24"/>
        </w:rPr>
        <w:t xml:space="preserve">6  </w:t>
      </w:r>
      <w:r>
        <w:rPr>
          <w:rFonts w:asciiTheme="minorEastAsia" w:eastAsiaTheme="minorEastAsia" w:hAnsiTheme="minorEastAsia" w:hint="eastAsia"/>
          <w:color w:val="000000" w:themeColor="text1"/>
          <w:kern w:val="0"/>
          <w:sz w:val="24"/>
          <w:szCs w:val="24"/>
        </w:rPr>
        <w:t>开放式基金份额变动</w:t>
      </w:r>
    </w:p>
    <w:p w:rsidR="00A406A4" w:rsidRDefault="008117E7">
      <w:pPr>
        <w:autoSpaceDE w:val="0"/>
        <w:autoSpaceDN w:val="0"/>
        <w:adjustRightInd w:val="0"/>
        <w:spacing w:before="29" w:line="360" w:lineRule="auto"/>
        <w:ind w:left="15"/>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s="宋体" w:hint="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A406A4">
        <w:tc>
          <w:tcPr>
            <w:tcW w:w="4609"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331,147,042.23</w:t>
            </w:r>
          </w:p>
        </w:tc>
      </w:tr>
      <w:tr w:rsidR="00A406A4">
        <w:tc>
          <w:tcPr>
            <w:tcW w:w="4609"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200,730,298.28</w:t>
            </w:r>
          </w:p>
        </w:tc>
      </w:tr>
      <w:tr w:rsidR="00A406A4">
        <w:tc>
          <w:tcPr>
            <w:tcW w:w="4609"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减：</w:t>
            </w: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162,700,847.09</w:t>
            </w:r>
          </w:p>
        </w:tc>
      </w:tr>
      <w:tr w:rsidR="00A406A4">
        <w:tc>
          <w:tcPr>
            <w:tcW w:w="4609"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color w:val="000000" w:themeColor="text1"/>
                <w:kern w:val="0"/>
              </w:rPr>
              <w:t>报告期</w:t>
            </w:r>
            <w:r>
              <w:rPr>
                <w:rFonts w:asciiTheme="minorEastAsia" w:eastAsiaTheme="minorEastAsia" w:hAnsiTheme="minorEastAsia" w:cs="宋体" w:hint="eastAsia"/>
                <w:color w:val="000000" w:themeColor="text1"/>
                <w:kern w:val="0"/>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color w:val="000000" w:themeColor="text1"/>
              </w:rPr>
              <w:t>-</w:t>
            </w:r>
          </w:p>
        </w:tc>
      </w:tr>
      <w:tr w:rsidR="00A406A4">
        <w:tc>
          <w:tcPr>
            <w:tcW w:w="4609"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rPr>
                <w:rFonts w:asciiTheme="minorEastAsia" w:eastAsiaTheme="minorEastAsia" w:hAnsiTheme="minorEastAsia"/>
                <w:color w:val="000000" w:themeColor="text1"/>
                <w:kern w:val="0"/>
              </w:rPr>
            </w:pPr>
            <w:r>
              <w:rPr>
                <w:rFonts w:asciiTheme="minorEastAsia" w:eastAsiaTheme="minorEastAsia" w:hAnsiTheme="minorEastAsia" w:cs="宋体" w:hint="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A406A4" w:rsidRDefault="008117E7">
            <w:pPr>
              <w:autoSpaceDE w:val="0"/>
              <w:autoSpaceDN w:val="0"/>
              <w:adjustRightInd w:val="0"/>
              <w:spacing w:before="29" w:line="360" w:lineRule="auto"/>
              <w:ind w:left="17"/>
              <w:jc w:val="right"/>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369,176,493.42</w:t>
            </w:r>
          </w:p>
        </w:tc>
      </w:tr>
    </w:tbl>
    <w:p w:rsidR="00A406A4" w:rsidRDefault="008117E7">
      <w:pPr>
        <w:pStyle w:val="1"/>
        <w:tabs>
          <w:tab w:val="center" w:pos="4156"/>
          <w:tab w:val="right" w:pos="8312"/>
        </w:tabs>
        <w:spacing w:beforeLines="100" w:before="312" w:afterLines="100" w:after="312" w:line="360" w:lineRule="auto"/>
        <w:jc w:val="center"/>
        <w:rPr>
          <w:rFonts w:ascii="方正仿宋简体"/>
          <w:color w:val="000000" w:themeColor="text1"/>
          <w:sz w:val="24"/>
          <w:szCs w:val="24"/>
        </w:rPr>
      </w:pPr>
      <w:r>
        <w:rPr>
          <w:rFonts w:asciiTheme="minorEastAsia" w:eastAsiaTheme="minorEastAsia" w:hAnsiTheme="minorEastAsia" w:cs="Arial" w:hint="eastAsia"/>
          <w:color w:val="000000" w:themeColor="text1"/>
          <w:kern w:val="0"/>
          <w:sz w:val="24"/>
          <w:szCs w:val="24"/>
        </w:rPr>
        <w:t xml:space="preserve">§7  </w:t>
      </w:r>
      <w:r>
        <w:rPr>
          <w:rFonts w:ascii="方正仿宋简体" w:hint="eastAsia"/>
          <w:color w:val="000000" w:themeColor="text1"/>
          <w:sz w:val="24"/>
          <w:szCs w:val="24"/>
        </w:rPr>
        <w:t>基金管理人运用固有资金投资本基金情况</w:t>
      </w:r>
    </w:p>
    <w:p w:rsidR="00A406A4" w:rsidRDefault="008117E7">
      <w:pPr>
        <w:spacing w:line="360" w:lineRule="auto"/>
        <w:jc w:val="left"/>
        <w:rPr>
          <w:color w:val="000000" w:themeColor="text1"/>
          <w:sz w:val="24"/>
          <w:szCs w:val="24"/>
        </w:rPr>
      </w:pPr>
      <w:r>
        <w:rPr>
          <w:b/>
          <w:color w:val="000000" w:themeColor="text1"/>
          <w:sz w:val="24"/>
        </w:rPr>
        <w:t xml:space="preserve">7.1 </w:t>
      </w:r>
      <w:r>
        <w:rPr>
          <w:rFonts w:hint="eastAsia"/>
          <w:b/>
          <w:color w:val="000000" w:themeColor="text1"/>
          <w:sz w:val="24"/>
        </w:rPr>
        <w:t>基金管理人持有本基金份额变动情况</w:t>
      </w:r>
    </w:p>
    <w:p w:rsidR="00A406A4" w:rsidRDefault="008117E7">
      <w:pPr>
        <w:autoSpaceDE w:val="0"/>
        <w:autoSpaceDN w:val="0"/>
        <w:adjustRightInd w:val="0"/>
        <w:spacing w:line="360" w:lineRule="auto"/>
        <w:jc w:val="left"/>
        <w:rPr>
          <w:rFonts w:asciiTheme="minorEastAsia" w:eastAsiaTheme="minorEastAsia" w:hAnsiTheme="minorEastAsia"/>
          <w:color w:val="000000" w:themeColor="text1"/>
        </w:rPr>
      </w:pPr>
      <w:r>
        <w:rPr>
          <w:rFonts w:asciiTheme="minorEastAsia" w:eastAsiaTheme="minorEastAsia" w:hAnsiTheme="minorEastAsia" w:cs="宋体"/>
          <w:color w:val="000000" w:themeColor="text1"/>
          <w:kern w:val="0"/>
        </w:rPr>
        <w:t>无。</w:t>
      </w:r>
    </w:p>
    <w:p w:rsidR="00A406A4" w:rsidRDefault="00A406A4">
      <w:pPr>
        <w:autoSpaceDE w:val="0"/>
        <w:autoSpaceDN w:val="0"/>
        <w:adjustRightInd w:val="0"/>
        <w:spacing w:line="360" w:lineRule="auto"/>
        <w:jc w:val="left"/>
        <w:rPr>
          <w:rFonts w:asciiTheme="minorEastAsia" w:eastAsiaTheme="minorEastAsia" w:hAnsiTheme="minorEastAsia" w:cs="宋体"/>
          <w:color w:val="000000" w:themeColor="text1"/>
          <w:kern w:val="0"/>
          <w:sz w:val="24"/>
        </w:rPr>
      </w:pPr>
    </w:p>
    <w:p w:rsidR="00A406A4" w:rsidRDefault="008117E7">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Pr>
          <w:rFonts w:asciiTheme="minorEastAsia" w:eastAsiaTheme="minorEastAsia" w:hAnsiTheme="minorEastAsia" w:hint="eastAsia"/>
          <w:color w:val="000000" w:themeColor="text1"/>
          <w:kern w:val="0"/>
          <w:sz w:val="24"/>
          <w:szCs w:val="24"/>
        </w:rPr>
        <w:t>§8</w:t>
      </w:r>
      <w:r>
        <w:rPr>
          <w:rFonts w:asciiTheme="minorEastAsia" w:eastAsiaTheme="minorEastAsia" w:hAnsiTheme="minorEastAsia"/>
          <w:color w:val="000000" w:themeColor="text1"/>
          <w:kern w:val="0"/>
          <w:sz w:val="24"/>
          <w:szCs w:val="24"/>
        </w:rPr>
        <w:t xml:space="preserve">  </w:t>
      </w:r>
      <w:r>
        <w:rPr>
          <w:rFonts w:asciiTheme="minorEastAsia" w:eastAsiaTheme="minorEastAsia" w:hAnsiTheme="minorEastAsia" w:hint="eastAsia"/>
          <w:color w:val="000000" w:themeColor="text1"/>
          <w:kern w:val="0"/>
          <w:sz w:val="24"/>
          <w:szCs w:val="24"/>
        </w:rPr>
        <w:t>备查文件目录</w:t>
      </w: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1</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备查文件目录</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1、中国证监会批准上投摩根医疗健康股票型证券投资基金设立的文件；</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2、《上投摩根医疗健康股票型证券投资基金基金合同》；</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3、《上投摩根医疗健康股票型证券投资基金托管协议》；</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4、《上投摩根开放式基金业务规则》；</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5、 基金管理人业务资格批件、营业执照；</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6、基金托管人业务资格批件和营业执照。</w:t>
      </w:r>
    </w:p>
    <w:p w:rsidR="00A406A4" w:rsidRDefault="00A406A4">
      <w:pPr>
        <w:spacing w:line="360" w:lineRule="auto"/>
        <w:ind w:firstLineChars="200" w:firstLine="480"/>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lastRenderedPageBreak/>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2</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存放地点</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基金管理人或基金托管人处。</w:t>
      </w:r>
    </w:p>
    <w:p w:rsidR="00A406A4" w:rsidRDefault="00A406A4">
      <w:pPr>
        <w:spacing w:line="360" w:lineRule="auto"/>
        <w:ind w:firstLineChars="200" w:firstLine="480"/>
        <w:rPr>
          <w:rFonts w:asciiTheme="minorEastAsia" w:eastAsiaTheme="minorEastAsia" w:hAnsiTheme="minorEastAsia"/>
          <w:color w:val="000000" w:themeColor="text1"/>
          <w:sz w:val="24"/>
          <w:szCs w:val="24"/>
        </w:rPr>
      </w:pPr>
    </w:p>
    <w:p w:rsidR="00A406A4" w:rsidRDefault="008117E7">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Pr>
          <w:rFonts w:asciiTheme="minorEastAsia" w:eastAsiaTheme="minorEastAsia" w:hAnsiTheme="minorEastAsia" w:hint="eastAsia"/>
          <w:b/>
          <w:bCs/>
          <w:color w:val="000000" w:themeColor="text1"/>
          <w:kern w:val="0"/>
          <w:sz w:val="24"/>
          <w:szCs w:val="24"/>
        </w:rPr>
        <w:t>8</w:t>
      </w:r>
      <w:r>
        <w:rPr>
          <w:rFonts w:asciiTheme="minorEastAsia" w:eastAsiaTheme="minorEastAsia" w:hAnsiTheme="minorEastAsia"/>
          <w:b/>
          <w:bCs/>
          <w:color w:val="000000" w:themeColor="text1"/>
          <w:kern w:val="0"/>
          <w:sz w:val="24"/>
          <w:szCs w:val="24"/>
        </w:rPr>
        <w:t>.</w:t>
      </w:r>
      <w:r>
        <w:rPr>
          <w:rFonts w:asciiTheme="minorEastAsia" w:eastAsiaTheme="minorEastAsia" w:hAnsiTheme="minorEastAsia" w:hint="eastAsia"/>
          <w:b/>
          <w:bCs/>
          <w:color w:val="000000" w:themeColor="text1"/>
          <w:kern w:val="0"/>
          <w:sz w:val="24"/>
          <w:szCs w:val="24"/>
        </w:rPr>
        <w:t>3</w:t>
      </w:r>
      <w:r>
        <w:rPr>
          <w:rFonts w:asciiTheme="minorEastAsia" w:eastAsiaTheme="minorEastAsia" w:hAnsiTheme="minorEastAsia"/>
          <w:b/>
          <w:bCs/>
          <w:color w:val="000000" w:themeColor="text1"/>
          <w:kern w:val="0"/>
          <w:sz w:val="24"/>
          <w:szCs w:val="24"/>
        </w:rPr>
        <w:t xml:space="preserve"> </w:t>
      </w:r>
      <w:r>
        <w:rPr>
          <w:rFonts w:asciiTheme="minorEastAsia" w:eastAsiaTheme="minorEastAsia" w:hAnsiTheme="minorEastAsia" w:hint="eastAsia"/>
          <w:b/>
          <w:bCs/>
          <w:color w:val="000000" w:themeColor="text1"/>
          <w:kern w:val="0"/>
          <w:sz w:val="24"/>
          <w:szCs w:val="24"/>
        </w:rPr>
        <w:t>查阅方式</w:t>
      </w:r>
    </w:p>
    <w:p w:rsidR="00A406A4" w:rsidRDefault="008117E7">
      <w:pPr>
        <w:spacing w:line="360" w:lineRule="auto"/>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投资者可在营业时间免费查阅，也可按工本费购买复印件。</w:t>
      </w: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A406A4">
      <w:pPr>
        <w:spacing w:line="360" w:lineRule="auto"/>
        <w:ind w:left="840"/>
        <w:jc w:val="right"/>
        <w:rPr>
          <w:rFonts w:asciiTheme="minorEastAsia" w:eastAsiaTheme="minorEastAsia" w:hAnsiTheme="minorEastAsia"/>
          <w:color w:val="000000" w:themeColor="text1"/>
          <w:sz w:val="24"/>
          <w:szCs w:val="24"/>
        </w:rPr>
      </w:pPr>
    </w:p>
    <w:p w:rsidR="00A406A4" w:rsidRDefault="008117E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上投摩根基金管理有限公司</w:t>
      </w:r>
    </w:p>
    <w:p w:rsidR="00A406A4" w:rsidRDefault="008117E7">
      <w:pPr>
        <w:spacing w:line="360" w:lineRule="auto"/>
        <w:jc w:val="right"/>
        <w:rPr>
          <w:rFonts w:asciiTheme="minorEastAsia" w:eastAsiaTheme="minorEastAsia" w:hAnsiTheme="minorEastAsia"/>
          <w:b/>
          <w:bCs/>
          <w:color w:val="000000" w:themeColor="text1"/>
          <w:sz w:val="24"/>
          <w:szCs w:val="24"/>
        </w:rPr>
      </w:pPr>
      <w:r>
        <w:rPr>
          <w:rFonts w:asciiTheme="minorEastAsia" w:eastAsiaTheme="minorEastAsia" w:hAnsiTheme="minorEastAsia"/>
          <w:b/>
          <w:bCs/>
          <w:color w:val="000000" w:themeColor="text1"/>
          <w:sz w:val="24"/>
          <w:szCs w:val="24"/>
        </w:rPr>
        <w:t>二〇二〇年一月二十日</w:t>
      </w:r>
    </w:p>
    <w:p w:rsidR="00A406A4" w:rsidRDefault="00A406A4">
      <w:pPr>
        <w:spacing w:line="360" w:lineRule="auto"/>
        <w:ind w:left="840"/>
        <w:jc w:val="right"/>
        <w:rPr>
          <w:rFonts w:asciiTheme="minorEastAsia" w:eastAsiaTheme="minorEastAsia" w:hAnsiTheme="minorEastAsia"/>
          <w:b/>
          <w:bCs/>
          <w:color w:val="000000" w:themeColor="text1"/>
          <w:sz w:val="24"/>
          <w:szCs w:val="24"/>
        </w:rPr>
      </w:pPr>
    </w:p>
    <w:p w:rsidR="00A406A4" w:rsidRDefault="00A406A4">
      <w:pPr>
        <w:rPr>
          <w:rFonts w:asciiTheme="minorEastAsia" w:eastAsiaTheme="minorEastAsia" w:hAnsiTheme="minorEastAsia"/>
          <w:color w:val="000000" w:themeColor="text1"/>
          <w:sz w:val="24"/>
          <w:szCs w:val="24"/>
        </w:rPr>
      </w:pPr>
    </w:p>
    <w:sectPr w:rsidR="00A406A4">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E76" w:rsidRDefault="008117E7">
      <w:r>
        <w:separator/>
      </w:r>
    </w:p>
  </w:endnote>
  <w:endnote w:type="continuationSeparator" w:id="0">
    <w:p w:rsidR="00426E76" w:rsidRDefault="0081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A4" w:rsidRDefault="008117E7">
    <w:pPr>
      <w:pStyle w:val="ac"/>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124790" w:rsidRPr="00124790">
      <w:rPr>
        <w:noProof/>
        <w:lang w:val="zh-CN"/>
      </w:rPr>
      <w:t>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A4" w:rsidRDefault="008117E7">
    <w:pPr>
      <w:pStyle w:val="ac"/>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24790">
      <w:rPr>
        <w:rStyle w:val="af3"/>
        <w:noProof/>
      </w:rPr>
      <w:t>2</w:t>
    </w:r>
    <w:r>
      <w:rPr>
        <w:rStyle w:val="af3"/>
      </w:rPr>
      <w:fldChar w:fldCharType="end"/>
    </w:r>
  </w:p>
  <w:p w:rsidR="00A406A4" w:rsidRDefault="00A406A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E76" w:rsidRDefault="008117E7">
      <w:r>
        <w:separator/>
      </w:r>
    </w:p>
  </w:footnote>
  <w:footnote w:type="continuationSeparator" w:id="0">
    <w:p w:rsidR="00426E76" w:rsidRDefault="00811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A4" w:rsidRDefault="008117E7">
    <w:pPr>
      <w:pStyle w:val="ad"/>
      <w:pBdr>
        <w:bottom w:val="single" w:sz="6" w:space="0" w:color="auto"/>
      </w:pBdr>
      <w:jc w:val="right"/>
    </w:pPr>
    <w:r>
      <w:rPr>
        <w:rFonts w:hint="eastAsia"/>
      </w:rPr>
      <w:t>上投摩根医疗健康股票型证券投资基金</w:t>
    </w:r>
    <w:r>
      <w:rPr>
        <w:rFonts w:hint="eastAsia"/>
      </w:rPr>
      <w:t>2019</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24790"/>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B6FBC"/>
    <w:rsid w:val="003C2B36"/>
    <w:rsid w:val="003C2DCA"/>
    <w:rsid w:val="003E2240"/>
    <w:rsid w:val="003E62FB"/>
    <w:rsid w:val="003F39DF"/>
    <w:rsid w:val="003F63BE"/>
    <w:rsid w:val="004061AC"/>
    <w:rsid w:val="00406C52"/>
    <w:rsid w:val="004149AC"/>
    <w:rsid w:val="0042009D"/>
    <w:rsid w:val="00426E76"/>
    <w:rsid w:val="00427F58"/>
    <w:rsid w:val="00433805"/>
    <w:rsid w:val="00465285"/>
    <w:rsid w:val="00471408"/>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17E7"/>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06A4"/>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B19C2"/>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F5D41-6A63-44DC-B3EF-45D1D803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a6">
    <w:name w:val="Document Map"/>
    <w:basedOn w:val="a"/>
    <w:link w:val="Char1"/>
    <w:uiPriority w:val="99"/>
    <w:semiHidden/>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9">
    <w:name w:val="Plain Text"/>
    <w:basedOn w:val="a"/>
    <w:link w:val="Char4"/>
    <w:uiPriority w:val="99"/>
    <w:rPr>
      <w:rFonts w:ascii="宋体" w:hAnsi="Courier New" w:cs="宋体"/>
    </w:rPr>
  </w:style>
  <w:style w:type="paragraph" w:styleId="aa">
    <w:name w:val="Date"/>
    <w:basedOn w:val="a"/>
    <w:next w:val="a"/>
    <w:link w:val="Char5"/>
    <w:qFormat/>
    <w:rPr>
      <w:sz w:val="24"/>
      <w:szCs w:val="24"/>
    </w:rPr>
  </w:style>
  <w:style w:type="paragraph" w:styleId="20">
    <w:name w:val="Body Text Indent 2"/>
    <w:basedOn w:val="a"/>
    <w:link w:val="2Char0"/>
    <w:uiPriority w:val="99"/>
    <w:qFormat/>
    <w:pPr>
      <w:spacing w:line="560" w:lineRule="exact"/>
      <w:ind w:firstLineChars="200" w:firstLine="480"/>
    </w:pPr>
    <w:rPr>
      <w:rFonts w:ascii="宋体" w:hAnsi="宋体" w:cs="宋体"/>
      <w:color w:val="FF0000"/>
      <w:sz w:val="24"/>
      <w:szCs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uiPriority w:val="99"/>
    <w:pPr>
      <w:pBdr>
        <w:bottom w:val="single" w:sz="6" w:space="1" w:color="auto"/>
      </w:pBdr>
      <w:tabs>
        <w:tab w:val="center" w:pos="4153"/>
        <w:tab w:val="right" w:pos="8306"/>
      </w:tabs>
      <w:snapToGrid w:val="0"/>
      <w:jc w:val="center"/>
    </w:pPr>
    <w:rPr>
      <w:sz w:val="18"/>
      <w:szCs w:val="18"/>
    </w:rPr>
  </w:style>
  <w:style w:type="paragraph" w:styleId="ae">
    <w:name w:val="List"/>
    <w:basedOn w:val="a7"/>
    <w:uiPriority w:val="99"/>
    <w:pPr>
      <w:spacing w:after="220" w:line="220" w:lineRule="atLeast"/>
      <w:ind w:left="1440" w:hanging="360"/>
    </w:pPr>
  </w:style>
  <w:style w:type="paragraph" w:styleId="af">
    <w:name w:val="footnote text"/>
    <w:basedOn w:val="a"/>
    <w:link w:val="Char9"/>
    <w:pPr>
      <w:snapToGrid w:val="0"/>
      <w:jc w:val="left"/>
    </w:pPr>
    <w:rPr>
      <w:sz w:val="18"/>
      <w:szCs w:val="18"/>
    </w:rPr>
  </w:style>
  <w:style w:type="paragraph" w:styleId="30">
    <w:name w:val="Body Text Indent 3"/>
    <w:basedOn w:val="a"/>
    <w:link w:val="3Char0"/>
    <w:uiPriority w:val="99"/>
    <w:pPr>
      <w:spacing w:line="560" w:lineRule="exact"/>
      <w:ind w:firstLineChars="200" w:firstLine="420"/>
    </w:pPr>
    <w:rPr>
      <w:rFonts w:ascii="Arial" w:hAnsi="Arial" w:cs="Arial"/>
      <w:color w:val="FF0000"/>
    </w:rPr>
  </w:style>
  <w:style w:type="paragraph" w:styleId="af0">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0">
    <w:name w:val="index 1"/>
    <w:basedOn w:val="a"/>
    <w:next w:val="a"/>
    <w:uiPriority w:val="99"/>
    <w:semiHidden/>
    <w:qFormat/>
    <w:pPr>
      <w:jc w:val="right"/>
    </w:pPr>
    <w:rPr>
      <w:color w:val="008000"/>
    </w:rPr>
  </w:style>
  <w:style w:type="paragraph" w:styleId="af1">
    <w:name w:val="Title"/>
    <w:basedOn w:val="a"/>
    <w:next w:val="a"/>
    <w:link w:val="Chara"/>
    <w:uiPriority w:val="99"/>
    <w:qFormat/>
    <w:pPr>
      <w:spacing w:before="240" w:after="60"/>
      <w:jc w:val="center"/>
      <w:outlineLvl w:val="0"/>
    </w:pPr>
    <w:rPr>
      <w:rFonts w:ascii="Cambria" w:hAnsi="Cambria" w:cs="Cambria"/>
      <w:b/>
      <w:bCs/>
      <w:sz w:val="32"/>
      <w:szCs w:val="32"/>
    </w:rPr>
  </w:style>
  <w:style w:type="character" w:styleId="af2">
    <w:name w:val="Strong"/>
    <w:basedOn w:val="a1"/>
    <w:uiPriority w:val="22"/>
    <w:qFormat/>
    <w:rPr>
      <w:b/>
      <w:bCs/>
    </w:rPr>
  </w:style>
  <w:style w:type="character" w:styleId="af3">
    <w:name w:val="page number"/>
    <w:basedOn w:val="a1"/>
    <w:uiPriority w:val="99"/>
  </w:style>
  <w:style w:type="character" w:styleId="af4">
    <w:name w:val="FollowedHyperlink"/>
    <w:basedOn w:val="a1"/>
    <w:uiPriority w:val="99"/>
    <w:qFormat/>
    <w:rPr>
      <w:color w:val="800080"/>
      <w:u w:val="single"/>
    </w:rPr>
  </w:style>
  <w:style w:type="character" w:styleId="af5">
    <w:name w:val="Hyperlink"/>
    <w:basedOn w:val="a1"/>
    <w:uiPriority w:val="99"/>
    <w:rPr>
      <w:color w:val="0000FF"/>
      <w:u w:val="single"/>
    </w:rPr>
  </w:style>
  <w:style w:type="character" w:styleId="af6">
    <w:name w:val="annotation reference"/>
    <w:basedOn w:val="a1"/>
    <w:uiPriority w:val="99"/>
    <w:semiHidden/>
    <w:qFormat/>
    <w:rPr>
      <w:sz w:val="21"/>
      <w:szCs w:val="21"/>
    </w:rPr>
  </w:style>
  <w:style w:type="character" w:styleId="af7">
    <w:name w:val="footnote reference"/>
    <w:basedOn w:val="a1"/>
    <w:rPr>
      <w:vertAlign w:val="superscript"/>
    </w:rPr>
  </w:style>
  <w:style w:type="table" w:styleId="af8">
    <w:name w:val="Table Grid"/>
    <w:basedOn w:val="a2"/>
    <w:uiPriority w:val="99"/>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1"/>
    <w:link w:val="1"/>
    <w:uiPriority w:val="99"/>
    <w:rPr>
      <w:rFonts w:ascii="Times New Roman" w:eastAsia="宋体" w:hAnsi="Times New Roman" w:cs="Times New Roman"/>
      <w:b/>
      <w:bCs/>
      <w:kern w:val="44"/>
      <w:sz w:val="44"/>
      <w:szCs w:val="44"/>
    </w:rPr>
  </w:style>
  <w:style w:type="character" w:customStyle="1" w:styleId="2Char">
    <w:name w:val="标题 2 Char"/>
    <w:basedOn w:val="a1"/>
    <w:link w:val="2"/>
    <w:uiPriority w:val="99"/>
    <w:rPr>
      <w:rFonts w:ascii="Arial" w:eastAsia="宋体" w:hAnsi="Arial" w:cs="Arial"/>
      <w:b/>
      <w:bCs/>
      <w:sz w:val="24"/>
      <w:szCs w:val="24"/>
    </w:rPr>
  </w:style>
  <w:style w:type="character" w:customStyle="1" w:styleId="3Char">
    <w:name w:val="标题 3 Char"/>
    <w:basedOn w:val="a1"/>
    <w:link w:val="3"/>
    <w:uiPriority w:val="99"/>
    <w:rPr>
      <w:rFonts w:ascii="Times New Roman" w:eastAsia="宋体" w:hAnsi="Times New Roman" w:cs="Times New Roman"/>
      <w:b/>
      <w:bCs/>
      <w:sz w:val="32"/>
      <w:szCs w:val="32"/>
    </w:rPr>
  </w:style>
  <w:style w:type="character" w:customStyle="1" w:styleId="Char3">
    <w:name w:val="正文文本缩进 Char"/>
    <w:basedOn w:val="a1"/>
    <w:link w:val="a8"/>
    <w:uiPriority w:val="99"/>
    <w:rPr>
      <w:rFonts w:ascii="Arial Unicode MS" w:eastAsia="Arial Unicode MS" w:hAnsi="Arial Unicode MS" w:cs="Arial Unicode MS"/>
      <w:kern w:val="0"/>
      <w:sz w:val="24"/>
      <w:szCs w:val="24"/>
    </w:rPr>
  </w:style>
  <w:style w:type="character" w:customStyle="1" w:styleId="Char4">
    <w:name w:val="纯文本 Char"/>
    <w:basedOn w:val="a1"/>
    <w:link w:val="a9"/>
    <w:uiPriority w:val="99"/>
    <w:rPr>
      <w:rFonts w:ascii="宋体" w:eastAsia="宋体" w:hAnsi="Courier New" w:cs="宋体"/>
      <w:szCs w:val="21"/>
    </w:rPr>
  </w:style>
  <w:style w:type="character" w:customStyle="1" w:styleId="2Char0">
    <w:name w:val="正文文本缩进 2 Char"/>
    <w:basedOn w:val="a1"/>
    <w:link w:val="20"/>
    <w:uiPriority w:val="99"/>
    <w:rPr>
      <w:rFonts w:ascii="宋体" w:eastAsia="宋体" w:hAnsi="宋体" w:cs="宋体"/>
      <w:color w:val="FF0000"/>
      <w:sz w:val="24"/>
      <w:szCs w:val="24"/>
    </w:rPr>
  </w:style>
  <w:style w:type="character" w:customStyle="1" w:styleId="Char7">
    <w:name w:val="页脚 Char"/>
    <w:basedOn w:val="a1"/>
    <w:link w:val="ac"/>
    <w:uiPriority w:val="99"/>
    <w:rPr>
      <w:rFonts w:ascii="Times New Roman" w:eastAsia="宋体" w:hAnsi="Times New Roman" w:cs="Times New Roman"/>
      <w:sz w:val="18"/>
      <w:szCs w:val="18"/>
    </w:rPr>
  </w:style>
  <w:style w:type="character" w:customStyle="1" w:styleId="3Char0">
    <w:name w:val="正文文本缩进 3 Char"/>
    <w:basedOn w:val="a1"/>
    <w:link w:val="30"/>
    <w:uiPriority w:val="99"/>
    <w:rPr>
      <w:rFonts w:ascii="Arial" w:eastAsia="宋体" w:hAnsi="Arial" w:cs="Arial"/>
      <w:color w:val="FF0000"/>
      <w:szCs w:val="21"/>
    </w:rPr>
  </w:style>
  <w:style w:type="character" w:customStyle="1" w:styleId="Char8">
    <w:name w:val="页眉 Char"/>
    <w:basedOn w:val="a1"/>
    <w:link w:val="ad"/>
    <w:uiPriority w:val="99"/>
    <w:rPr>
      <w:rFonts w:ascii="Times New Roman" w:eastAsia="宋体" w:hAnsi="Times New Roman" w:cs="Times New Roman"/>
      <w:sz w:val="18"/>
      <w:szCs w:val="18"/>
    </w:rPr>
  </w:style>
  <w:style w:type="character" w:customStyle="1" w:styleId="Char2">
    <w:name w:val="正文文本 Char"/>
    <w:basedOn w:val="a1"/>
    <w:link w:val="a7"/>
    <w:uiPriority w:val="99"/>
    <w:qFormat/>
    <w:rPr>
      <w:rFonts w:ascii="Times New Roman" w:eastAsia="宋体" w:hAnsi="Times New Roman" w:cs="Times New Roman"/>
      <w:szCs w:val="21"/>
    </w:rPr>
  </w:style>
  <w:style w:type="character" w:customStyle="1" w:styleId="Char5">
    <w:name w:val="日期 Char"/>
    <w:basedOn w:val="a1"/>
    <w:link w:val="aa"/>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Char6">
    <w:name w:val="批注框文本 Char"/>
    <w:basedOn w:val="a1"/>
    <w:link w:val="ab"/>
    <w:uiPriority w:val="99"/>
    <w:semiHidden/>
    <w:qFormat/>
    <w:rPr>
      <w:rFonts w:ascii="Times New Roman" w:eastAsia="宋体" w:hAnsi="Times New Roman" w:cs="Times New Roman"/>
      <w:sz w:val="18"/>
      <w:szCs w:val="18"/>
    </w:rPr>
  </w:style>
  <w:style w:type="character" w:customStyle="1" w:styleId="Char0">
    <w:name w:val="批注文字 Char"/>
    <w:basedOn w:val="a1"/>
    <w:link w:val="a5"/>
    <w:uiPriority w:val="99"/>
    <w:semiHidden/>
    <w:qFormat/>
    <w:rPr>
      <w:rFonts w:ascii="Times New Roman" w:eastAsia="宋体" w:hAnsi="Times New Roman" w:cs="Times New Roman"/>
      <w:szCs w:val="21"/>
    </w:rPr>
  </w:style>
  <w:style w:type="character" w:customStyle="1" w:styleId="Char">
    <w:name w:val="批注主题 Char"/>
    <w:basedOn w:val="Char0"/>
    <w:link w:val="a4"/>
    <w:uiPriority w:val="99"/>
    <w:semiHidden/>
    <w:qFormat/>
    <w:rPr>
      <w:rFonts w:ascii="Times New Roman" w:eastAsia="宋体" w:hAnsi="Times New Roman" w:cs="Times New Roman"/>
      <w:b/>
      <w:bCs/>
      <w:szCs w:val="21"/>
    </w:rPr>
  </w:style>
  <w:style w:type="paragraph" w:customStyle="1" w:styleId="Charb">
    <w:name w:val="Char"/>
    <w:basedOn w:val="a"/>
    <w:uiPriority w:val="99"/>
    <w:qFormat/>
  </w:style>
  <w:style w:type="character" w:customStyle="1" w:styleId="Char1">
    <w:name w:val="文档结构图 Char"/>
    <w:basedOn w:val="a1"/>
    <w:link w:val="a6"/>
    <w:uiPriority w:val="99"/>
    <w:semiHidden/>
    <w:rPr>
      <w:rFonts w:ascii="Times New Roman" w:eastAsia="宋体" w:hAnsi="Times New Roman" w:cs="Times New Roman"/>
      <w:szCs w:val="21"/>
      <w:shd w:val="clear" w:color="auto" w:fill="000080"/>
    </w:rPr>
  </w:style>
  <w:style w:type="paragraph" w:customStyle="1" w:styleId="af9">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Char9">
    <w:name w:val="脚注文本 Char"/>
    <w:basedOn w:val="a1"/>
    <w:link w:val="af"/>
    <w:rPr>
      <w:rFonts w:ascii="Times New Roman" w:eastAsia="宋体" w:hAnsi="Times New Roman" w:cs="Times New Roman"/>
      <w:sz w:val="18"/>
      <w:szCs w:val="18"/>
    </w:rPr>
  </w:style>
  <w:style w:type="paragraph" w:customStyle="1" w:styleId="Char10">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Chara">
    <w:name w:val="标题 Char"/>
    <w:basedOn w:val="a1"/>
    <w:link w:val="af1"/>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1">
    <w:name w:val="无间隔1"/>
    <w:link w:val="Charc"/>
    <w:uiPriority w:val="1"/>
    <w:qFormat/>
    <w:rPr>
      <w:rFonts w:ascii="Calibri" w:eastAsia="宋体" w:hAnsi="Calibri" w:cs="Calibri"/>
      <w:sz w:val="22"/>
      <w:szCs w:val="22"/>
    </w:rPr>
  </w:style>
  <w:style w:type="character" w:customStyle="1" w:styleId="Charc">
    <w:name w:val="无间隔 Char"/>
    <w:basedOn w:val="a1"/>
    <w:link w:val="11"/>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2">
    <w:name w:val="列出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4124D-D436-4737-B641-6C9DD8BF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931</Words>
  <Characters>5308</Characters>
  <Application>Microsoft Office Word</Application>
  <DocSecurity>0</DocSecurity>
  <Lines>44</Lines>
  <Paragraphs>12</Paragraphs>
  <ScaleCrop>false</ScaleCrop>
  <Company>Microsoft</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Ersong Zhu</cp:lastModifiedBy>
  <cp:revision>267</cp:revision>
  <dcterms:created xsi:type="dcterms:W3CDTF">2012-10-16T06:07:00Z</dcterms:created>
  <dcterms:modified xsi:type="dcterms:W3CDTF">2020-01-16T11:29:00Z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