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2A6F3C" w:rsidRDefault="002A6F3C">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2A6F3C" w:rsidRDefault="002A6F3C">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2A6F3C" w:rsidRDefault="002A6F3C">
      <w:pPr>
        <w:spacing w:line="360" w:lineRule="auto"/>
        <w:jc w:val="center"/>
        <w:rPr>
          <w:rFonts w:hint="eastAsia"/>
        </w:rPr>
      </w:pPr>
      <w:r>
        <w:rPr>
          <w:rFonts w:ascii="宋体" w:hAnsi="宋体" w:hint="eastAsia"/>
          <w:b/>
          <w:bCs/>
          <w:color w:val="000000" w:themeColor="text1"/>
          <w:sz w:val="48"/>
          <w:szCs w:val="30"/>
        </w:rPr>
        <w:t>摩根医疗健康股票型证券投资基金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2A6F3C" w:rsidRDefault="002A6F3C">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2A6F3C" w:rsidRDefault="002A6F3C">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A6F3C" w:rsidRDefault="002A6F3C">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2A6F3C" w:rsidRDefault="002A6F3C">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2A6F3C" w:rsidRDefault="002A6F3C">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2A6F3C" w:rsidRDefault="002A6F3C">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2A6F3C" w:rsidRDefault="002A6F3C">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2A6F3C" w:rsidRDefault="002A6F3C">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537961341"/>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2A6F3C" w:rsidRDefault="002A6F3C">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szCs w:val="24"/>
                <w:lang w:eastAsia="zh-Hans"/>
              </w:rPr>
              <w:t>摩根医疗健康股</w:t>
            </w:r>
            <w:r>
              <w:rPr>
                <w:rFonts w:ascii="宋体" w:hAnsi="宋体" w:hint="eastAsia"/>
                <w:szCs w:val="24"/>
                <w:lang w:eastAsia="zh-Hans"/>
              </w:rPr>
              <w:t>票</w:t>
            </w:r>
            <w:r>
              <w:rPr>
                <w:rFonts w:ascii="宋体" w:hAnsi="宋体" w:hint="eastAsia"/>
                <w:lang w:eastAsia="zh-Hans"/>
              </w:rPr>
              <w:t xml:space="preserve"> </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00176</w:t>
            </w:r>
            <w:r>
              <w:rPr>
                <w:rFonts w:ascii="宋体" w:hAnsi="宋体" w:hint="eastAsia"/>
                <w:lang w:eastAsia="zh-Hans"/>
              </w:rPr>
              <w:t>6</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契约型开放</w:t>
            </w:r>
            <w:r>
              <w:rPr>
                <w:rFonts w:ascii="宋体" w:hAnsi="宋体" w:hint="eastAsia"/>
                <w:lang w:eastAsia="zh-Hans"/>
              </w:rPr>
              <w:t>式</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2015</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21</w:t>
            </w:r>
            <w:r>
              <w:rPr>
                <w:rFonts w:ascii="宋体" w:hAnsi="宋体" w:hint="eastAsia"/>
                <w:lang w:eastAsia="zh-Hans"/>
              </w:rPr>
              <w:t>日</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277,398,034.1</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通过积极主动的管理和严格的风险控制，重点投资于健康产业相关的优质上市公司，力争实现基金资产的长期稳健增值</w:t>
            </w:r>
            <w:r>
              <w:rPr>
                <w:rFonts w:ascii="宋体" w:hAnsi="宋体" w:hint="eastAsia"/>
                <w:lang w:eastAsia="zh-Hans"/>
              </w:rPr>
              <w:t>。</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通过系统和深入的基本面研究，专注于医疗健康产业投资，对行业发展进行密切跟踪，根据市场不同阶段充分把握各个子行业轮动带来的投资机会。在具体操作上，本基金将主要采用“自下而上”的方法，在备选行业内部通过定量与定性相结合的分析方法，综合分析上市公司的业绩质量、成长性和估值水平等，精选具有良好成长性、估值合理的个股。</w:t>
            </w:r>
            <w:r>
              <w:rPr>
                <w:rFonts w:ascii="宋体" w:hAnsi="宋体" w:hint="eastAsia"/>
                <w:lang w:eastAsia="zh-Hans"/>
              </w:rPr>
              <w:br/>
              <w:t>3</w:t>
            </w:r>
            <w:r>
              <w:rPr>
                <w:rFonts w:ascii="宋体" w:hAnsi="宋体" w:hint="eastAsia"/>
                <w:lang w:eastAsia="zh-Hans"/>
              </w:rPr>
              <w:t>、行业配置策略</w:t>
            </w:r>
            <w:r>
              <w:rPr>
                <w:rFonts w:ascii="宋体" w:hAnsi="宋体" w:hint="eastAsia"/>
                <w:lang w:eastAsia="zh-Hans"/>
              </w:rPr>
              <w:br/>
            </w:r>
            <w:r>
              <w:rPr>
                <w:rFonts w:ascii="宋体" w:hAnsi="宋体" w:hint="eastAsia"/>
                <w:lang w:eastAsia="zh-Hans"/>
              </w:rPr>
              <w:t>由于医疗健康主题涉及多个行业及其子行业，我们将从行业生命周期、行业景气度、行业竞争格局等多角度，综合评估各个行业的投资价值，对基金资产在行业间分配进行安排。</w:t>
            </w:r>
            <w:r>
              <w:rPr>
                <w:rFonts w:ascii="宋体" w:hAnsi="宋体" w:hint="eastAsia"/>
                <w:lang w:eastAsia="zh-Hans"/>
              </w:rPr>
              <w:br/>
              <w:t>4</w:t>
            </w:r>
            <w:r>
              <w:rPr>
                <w:rFonts w:ascii="宋体" w:hAnsi="宋体" w:hint="eastAsia"/>
                <w:lang w:eastAsia="zh-Hans"/>
              </w:rPr>
              <w:t>、其他投资策略：包括固定收益类投资策略、可转换债券投资策略、中小</w:t>
            </w:r>
            <w:r>
              <w:rPr>
                <w:rFonts w:ascii="宋体" w:hAnsi="宋体" w:hint="eastAsia"/>
                <w:lang w:eastAsia="zh-Hans"/>
              </w:rPr>
              <w:t>企业私募债投资策略、股指期货投资策略、资产支持证券投资策略、股票期权投资策略、存托凭证投资策略</w:t>
            </w:r>
            <w:r>
              <w:rPr>
                <w:rFonts w:ascii="宋体" w:hAnsi="宋体" w:hint="eastAsia"/>
                <w:lang w:eastAsia="zh-Hans"/>
              </w:rPr>
              <w:t>。</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申银万国医药生物行业指数收益率</w:t>
            </w:r>
            <w:r>
              <w:rPr>
                <w:rFonts w:ascii="宋体" w:hAnsi="宋体" w:hint="eastAsia"/>
                <w:lang w:eastAsia="zh-Hans"/>
              </w:rPr>
              <w:t>*85%+</w:t>
            </w:r>
            <w:r>
              <w:rPr>
                <w:rFonts w:ascii="宋体" w:hAnsi="宋体" w:hint="eastAsia"/>
                <w:lang w:eastAsia="zh-Hans"/>
              </w:rPr>
              <w:t>中债总指数收益率</w:t>
            </w:r>
            <w:r>
              <w:rPr>
                <w:rFonts w:ascii="宋体" w:hAnsi="宋体" w:hint="eastAsia"/>
                <w:lang w:eastAsia="zh-Hans"/>
              </w:rPr>
              <w:t>*15</w:t>
            </w:r>
            <w:r>
              <w:rPr>
                <w:rFonts w:ascii="宋体" w:hAnsi="宋体" w:hint="eastAsia"/>
                <w:lang w:eastAsia="zh-Hans"/>
              </w:rPr>
              <w:t>%</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本基金属于股票型基金产品，预期风险和收益水平高于混合型基金、债券型基金和货币市场基金，属于较高风险收益水平的基金产品。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53796134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53796134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lang w:eastAsia="zh-Hans"/>
              </w:rPr>
              <w:t>摩根医疗健康股票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lang w:eastAsia="zh-Hans"/>
              </w:rPr>
              <w:t>摩根医疗健康股票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153796134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lang w:eastAsia="zh-Hans"/>
              </w:rPr>
              <w:t>00176</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lang w:eastAsia="zh-Hans"/>
              </w:rPr>
              <w:t>01493</w:t>
            </w:r>
            <w:r>
              <w:rPr>
                <w:rFonts w:ascii="宋体" w:hAnsi="宋体" w:hint="eastAsia"/>
                <w:lang w:eastAsia="zh-Hans"/>
              </w:rPr>
              <w:t>2</w:t>
            </w:r>
            <w:r>
              <w:rPr>
                <w:rFonts w:ascii="宋体" w:hAnsi="宋体" w:hint="eastAsia"/>
                <w:kern w:val="0"/>
                <w:sz w:val="20"/>
                <w:lang w:eastAsia="zh-Hans"/>
              </w:rPr>
              <w:t xml:space="preserve"> </w:t>
            </w:r>
          </w:p>
        </w:tc>
      </w:tr>
      <w:bookmarkEnd w:id="32"/>
      <w:bookmarkEnd w:id="33"/>
      <w:tr w:rsidR="00000000">
        <w:trPr>
          <w:divId w:val="153796134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A6F3C" w:rsidRDefault="002A6F3C">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lang w:eastAsia="zh-Hans"/>
              </w:rPr>
              <w:t>260,252,676.2</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lang w:eastAsia="zh-Hans"/>
              </w:rPr>
              <w:t>17,145,357.8</w:t>
            </w:r>
            <w:r>
              <w:rPr>
                <w:rFonts w:ascii="宋体" w:hAnsi="宋体" w:hint="eastAsia"/>
                <w:lang w:eastAsia="zh-Hans"/>
              </w:rPr>
              <w:t>8</w:t>
            </w:r>
            <w:r>
              <w:rPr>
                <w:rFonts w:hint="eastAsia"/>
              </w:rPr>
              <w:t>份</w:t>
            </w:r>
            <w:r>
              <w:rPr>
                <w:rFonts w:ascii="宋体" w:hAnsi="宋体" w:hint="eastAsia"/>
                <w:lang w:eastAsia="zh-Hans"/>
              </w:rPr>
              <w:t xml:space="preserve"> </w:t>
            </w:r>
          </w:p>
        </w:tc>
      </w:tr>
    </w:tbl>
    <w:p w:rsidR="002A6F3C" w:rsidRDefault="002A6F3C">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2A6F3C" w:rsidRDefault="002A6F3C">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2A6F3C" w:rsidRDefault="002A6F3C">
      <w:pPr>
        <w:jc w:val="right"/>
        <w:divId w:val="1856768683"/>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85676868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2A6F3C" w:rsidRDefault="002A6F3C">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2A6F3C" w:rsidRDefault="002A6F3C">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85676868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6F3C" w:rsidRDefault="002A6F3C">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2A6F3C" w:rsidRDefault="002A6F3C">
            <w:pPr>
              <w:jc w:val="center"/>
              <w:rPr>
                <w:rFonts w:hint="eastAsia"/>
              </w:rPr>
            </w:pPr>
            <w:r>
              <w:rPr>
                <w:rFonts w:ascii="宋体" w:hAnsi="宋体" w:hint="eastAsia"/>
                <w:szCs w:val="24"/>
                <w:lang w:eastAsia="zh-Hans"/>
              </w:rPr>
              <w:t>摩根医疗健康股票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2A6F3C" w:rsidRDefault="002A6F3C">
            <w:pPr>
              <w:jc w:val="center"/>
            </w:pPr>
            <w:r>
              <w:rPr>
                <w:rFonts w:ascii="宋体" w:hAnsi="宋体" w:hint="eastAsia"/>
                <w:szCs w:val="24"/>
                <w:lang w:eastAsia="zh-Hans"/>
              </w:rPr>
              <w:t>摩根医疗健康股票</w:t>
            </w:r>
            <w:r>
              <w:rPr>
                <w:rFonts w:ascii="宋体" w:hAnsi="宋体" w:hint="eastAsia"/>
                <w:szCs w:val="24"/>
                <w:lang w:eastAsia="zh-Hans"/>
              </w:rPr>
              <w:t>C</w:t>
            </w:r>
          </w:p>
        </w:tc>
      </w:tr>
      <w:tr w:rsidR="00000000">
        <w:trPr>
          <w:divId w:val="18567686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rPr>
                <w:rFonts w:hint="eastAsia"/>
              </w:rPr>
            </w:pPr>
            <w:r>
              <w:rPr>
                <w:rFonts w:ascii="宋体" w:hAnsi="宋体" w:hint="eastAsia"/>
                <w:szCs w:val="24"/>
                <w:lang w:eastAsia="zh-Hans"/>
              </w:rPr>
              <w:t>12,701,725.4</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pPr>
            <w:r>
              <w:rPr>
                <w:rFonts w:ascii="宋体" w:hAnsi="宋体" w:hint="eastAsia"/>
                <w:szCs w:val="24"/>
                <w:lang w:eastAsia="zh-Hans"/>
              </w:rPr>
              <w:t>369,031.1</w:t>
            </w:r>
            <w:r>
              <w:rPr>
                <w:rFonts w:ascii="宋体" w:hAnsi="宋体" w:hint="eastAsia"/>
                <w:szCs w:val="24"/>
                <w:lang w:eastAsia="zh-Hans"/>
              </w:rPr>
              <w:t>4</w:t>
            </w:r>
          </w:p>
        </w:tc>
      </w:tr>
      <w:tr w:rsidR="00000000">
        <w:trPr>
          <w:divId w:val="18567686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rPr>
                <w:rFonts w:hint="eastAsia"/>
              </w:rPr>
            </w:pPr>
            <w:r>
              <w:rPr>
                <w:rFonts w:ascii="宋体" w:hAnsi="宋体" w:hint="eastAsia"/>
                <w:szCs w:val="24"/>
                <w:lang w:eastAsia="zh-Hans"/>
              </w:rPr>
              <w:t>19,954,365.0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pPr>
            <w:r>
              <w:rPr>
                <w:rFonts w:ascii="宋体" w:hAnsi="宋体" w:hint="eastAsia"/>
                <w:szCs w:val="24"/>
                <w:lang w:eastAsia="zh-Hans"/>
              </w:rPr>
              <w:t>2,127,585.9</w:t>
            </w:r>
            <w:r>
              <w:rPr>
                <w:rFonts w:ascii="宋体" w:hAnsi="宋体" w:hint="eastAsia"/>
                <w:szCs w:val="24"/>
                <w:lang w:eastAsia="zh-Hans"/>
              </w:rPr>
              <w:t>6</w:t>
            </w:r>
          </w:p>
        </w:tc>
      </w:tr>
      <w:tr w:rsidR="00000000">
        <w:trPr>
          <w:divId w:val="18567686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rPr>
                <w:rFonts w:hint="eastAsia"/>
              </w:rPr>
            </w:pPr>
            <w:r>
              <w:rPr>
                <w:rFonts w:ascii="宋体" w:hAnsi="宋体" w:hint="eastAsia"/>
                <w:szCs w:val="24"/>
                <w:lang w:eastAsia="zh-Hans"/>
              </w:rPr>
              <w:t>0.073</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pPr>
            <w:r>
              <w:rPr>
                <w:rFonts w:ascii="宋体" w:hAnsi="宋体" w:hint="eastAsia"/>
                <w:szCs w:val="24"/>
                <w:lang w:eastAsia="zh-Hans"/>
              </w:rPr>
              <w:t>0.297</w:t>
            </w:r>
            <w:r>
              <w:rPr>
                <w:rFonts w:ascii="宋体" w:hAnsi="宋体" w:hint="eastAsia"/>
                <w:szCs w:val="24"/>
                <w:lang w:eastAsia="zh-Hans"/>
              </w:rPr>
              <w:t>8</w:t>
            </w:r>
          </w:p>
        </w:tc>
      </w:tr>
      <w:tr w:rsidR="00000000">
        <w:trPr>
          <w:divId w:val="18567686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rPr>
                <w:rFonts w:hint="eastAsia"/>
              </w:rPr>
            </w:pPr>
            <w:r>
              <w:rPr>
                <w:rFonts w:ascii="宋体" w:hAnsi="宋体" w:hint="eastAsia"/>
                <w:szCs w:val="24"/>
                <w:lang w:eastAsia="zh-Hans"/>
              </w:rPr>
              <w:t>415,634,791.6</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pPr>
            <w:r>
              <w:rPr>
                <w:rFonts w:ascii="宋体" w:hAnsi="宋体" w:hint="eastAsia"/>
                <w:szCs w:val="24"/>
                <w:lang w:eastAsia="zh-Hans"/>
              </w:rPr>
              <w:t>26,627,279.4</w:t>
            </w:r>
            <w:r>
              <w:rPr>
                <w:rFonts w:ascii="宋体" w:hAnsi="宋体" w:hint="eastAsia"/>
                <w:szCs w:val="24"/>
                <w:lang w:eastAsia="zh-Hans"/>
              </w:rPr>
              <w:t>3</w:t>
            </w:r>
          </w:p>
        </w:tc>
      </w:tr>
      <w:tr w:rsidR="00000000">
        <w:trPr>
          <w:divId w:val="18567686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rPr>
                <w:rFonts w:hint="eastAsia"/>
              </w:rPr>
            </w:pPr>
            <w:r>
              <w:rPr>
                <w:rFonts w:ascii="宋体" w:hAnsi="宋体" w:hint="eastAsia"/>
                <w:szCs w:val="24"/>
                <w:lang w:eastAsia="zh-Hans"/>
              </w:rPr>
              <w:t>1.597</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A6F3C" w:rsidRDefault="002A6F3C">
            <w:pPr>
              <w:jc w:val="right"/>
            </w:pPr>
            <w:r>
              <w:rPr>
                <w:rFonts w:ascii="宋体" w:hAnsi="宋体" w:hint="eastAsia"/>
                <w:szCs w:val="24"/>
                <w:lang w:eastAsia="zh-Hans"/>
              </w:rPr>
              <w:t>1.553</w:t>
            </w:r>
            <w:r>
              <w:rPr>
                <w:rFonts w:ascii="宋体" w:hAnsi="宋体" w:hint="eastAsia"/>
                <w:szCs w:val="24"/>
                <w:lang w:eastAsia="zh-Hans"/>
              </w:rPr>
              <w:t>0</w:t>
            </w:r>
          </w:p>
        </w:tc>
      </w:tr>
    </w:tbl>
    <w:p w:rsidR="002A6F3C" w:rsidRDefault="002A6F3C">
      <w:pPr>
        <w:wordWrap w:val="0"/>
        <w:spacing w:line="360" w:lineRule="auto"/>
        <w:jc w:val="left"/>
        <w:divId w:val="1422986298"/>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2A6F3C" w:rsidRDefault="002A6F3C">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2A6F3C" w:rsidRDefault="002A6F3C">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2A6F3C" w:rsidRDefault="002A6F3C">
      <w:pPr>
        <w:spacing w:line="360" w:lineRule="auto"/>
        <w:jc w:val="center"/>
        <w:divId w:val="1672829313"/>
        <w:rPr>
          <w:rFonts w:hint="eastAsia"/>
        </w:rPr>
      </w:pPr>
      <w:r>
        <w:rPr>
          <w:rFonts w:ascii="宋体" w:hAnsi="宋体" w:hint="eastAsia"/>
        </w:rPr>
        <w:t>摩根医疗健康股票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67282931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②－④</w:t>
            </w:r>
            <w:r>
              <w:rPr>
                <w:rFonts w:ascii="宋体" w:hAnsi="宋体" w:hint="eastAsia"/>
              </w:rPr>
              <w:t xml:space="preserve"> </w:t>
            </w:r>
          </w:p>
        </w:tc>
      </w:tr>
      <w:tr w:rsidR="00000000">
        <w:trPr>
          <w:divId w:val="16728293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5.1</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-7.9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13.0</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r>
      <w:tr w:rsidR="00000000">
        <w:trPr>
          <w:divId w:val="16728293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8.9</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-8.6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17.6</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0.5</w:t>
            </w:r>
            <w:r>
              <w:rPr>
                <w:rFonts w:ascii="宋体" w:hAnsi="宋体" w:hint="eastAsia"/>
              </w:rPr>
              <w:t>4</w:t>
            </w:r>
            <w:r>
              <w:rPr>
                <w:rFonts w:ascii="宋体" w:hAnsi="宋体" w:hint="eastAsia"/>
              </w:rPr>
              <w:t xml:space="preserve">% </w:t>
            </w:r>
          </w:p>
        </w:tc>
      </w:tr>
      <w:tr w:rsidR="00000000">
        <w:trPr>
          <w:divId w:val="16728293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8.5</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-5.6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14.1</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0.5</w:t>
            </w:r>
            <w:r>
              <w:rPr>
                <w:rFonts w:ascii="宋体" w:hAnsi="宋体" w:hint="eastAsia"/>
              </w:rPr>
              <w:t>7</w:t>
            </w:r>
            <w:r>
              <w:rPr>
                <w:rFonts w:ascii="宋体" w:hAnsi="宋体" w:hint="eastAsia"/>
              </w:rPr>
              <w:t xml:space="preserve">% </w:t>
            </w:r>
          </w:p>
        </w:tc>
      </w:tr>
      <w:tr w:rsidR="00000000">
        <w:trPr>
          <w:divId w:val="16728293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3.8</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16.1</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0.1</w:t>
            </w:r>
            <w:r>
              <w:rPr>
                <w:rFonts w:ascii="宋体" w:hAnsi="宋体" w:hint="eastAsia"/>
              </w:rPr>
              <w:t>9</w:t>
            </w:r>
            <w:r>
              <w:rPr>
                <w:rFonts w:ascii="宋体" w:hAnsi="宋体" w:hint="eastAsia"/>
              </w:rPr>
              <w:t xml:space="preserve">% </w:t>
            </w:r>
          </w:p>
        </w:tc>
      </w:tr>
      <w:tr w:rsidR="00000000">
        <w:trPr>
          <w:divId w:val="16728293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-46.6</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1.5</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-37.1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-9.4</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0.2</w:t>
            </w:r>
            <w:r>
              <w:rPr>
                <w:rFonts w:ascii="宋体" w:hAnsi="宋体" w:hint="eastAsia"/>
              </w:rPr>
              <w:t>0</w:t>
            </w:r>
            <w:r>
              <w:rPr>
                <w:rFonts w:ascii="宋体" w:hAnsi="宋体" w:hint="eastAsia"/>
              </w:rPr>
              <w:t xml:space="preserve">% </w:t>
            </w:r>
          </w:p>
        </w:tc>
      </w:tr>
      <w:tr w:rsidR="00000000">
        <w:trPr>
          <w:divId w:val="16728293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40.5</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3.4</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37.1</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r>
      <w:tr w:rsidR="00000000">
        <w:trPr>
          <w:divId w:val="16728293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95.2</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96.3</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r>
      <w:tr w:rsidR="00000000">
        <w:trPr>
          <w:divId w:val="167282931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59.7</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1.5</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-6.9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66.6</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r>
    </w:tbl>
    <w:p w:rsidR="002A6F3C" w:rsidRDefault="002A6F3C">
      <w:pPr>
        <w:spacing w:line="360" w:lineRule="auto"/>
        <w:jc w:val="center"/>
        <w:divId w:val="1341353173"/>
      </w:pPr>
      <w:r>
        <w:rPr>
          <w:rFonts w:ascii="宋体" w:hAnsi="宋体" w:hint="eastAsia"/>
        </w:rPr>
        <w:t>摩根医疗健康股票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4135317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3413531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4.9</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-7.9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12.9</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0.6</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3413531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8.6</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-8.6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17.2</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0.5</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3413531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7.8</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-5.6</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13.4</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0.5</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3413531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1.9</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14.2</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0.1</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3413531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-29.0</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-22.5</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A6F3C" w:rsidRDefault="002A6F3C">
            <w:pPr>
              <w:spacing w:line="360" w:lineRule="auto"/>
              <w:jc w:val="right"/>
            </w:pPr>
            <w:r>
              <w:rPr>
                <w:rFonts w:ascii="宋体" w:hAnsi="宋体" w:hint="eastAsia"/>
              </w:rPr>
              <w:t>-6.5</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r>
    </w:tbl>
    <w:p w:rsidR="002A6F3C" w:rsidRDefault="002A6F3C">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2A6F3C" w:rsidRDefault="002A6F3C">
      <w:pPr>
        <w:spacing w:line="360" w:lineRule="auto"/>
        <w:jc w:val="left"/>
        <w:divId w:val="154436575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A6F3C" w:rsidRDefault="002A6F3C">
      <w:pPr>
        <w:spacing w:line="360" w:lineRule="auto"/>
        <w:jc w:val="left"/>
        <w:divId w:val="84424938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A6F3C" w:rsidRDefault="002A6F3C">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2015</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2A6F3C" w:rsidRDefault="002A6F3C">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2A6F3C" w:rsidRDefault="002A6F3C">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07087903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07087903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6F3C" w:rsidRDefault="002A6F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6F3C" w:rsidRDefault="002A6F3C">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6F3C" w:rsidRDefault="002A6F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6F3C" w:rsidRDefault="002A6F3C">
            <w:pPr>
              <w:widowControl/>
              <w:jc w:val="left"/>
            </w:pPr>
          </w:p>
        </w:tc>
      </w:tr>
      <w:tr w:rsidR="00000000">
        <w:trPr>
          <w:divId w:val="207087903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叶</w:t>
            </w:r>
            <w:r>
              <w:rPr>
                <w:rFonts w:ascii="宋体" w:hAnsi="宋体" w:hint="eastAsia"/>
                <w:szCs w:val="24"/>
                <w:lang w:eastAsia="zh-Hans"/>
              </w:rPr>
              <w:t>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left"/>
            </w:pPr>
            <w:r>
              <w:rPr>
                <w:rFonts w:ascii="宋体" w:hAnsi="宋体" w:hint="eastAsia"/>
                <w:szCs w:val="24"/>
                <w:lang w:eastAsia="zh-Hans"/>
              </w:rPr>
              <w:t>叶敏女士历任普华永道会计师事务所审计师、美国晨星公司证券分析师。</w:t>
            </w:r>
            <w:r>
              <w:rPr>
                <w:rFonts w:ascii="宋体" w:hAnsi="宋体" w:hint="eastAsia"/>
                <w:szCs w:val="24"/>
                <w:lang w:eastAsia="zh-Hans"/>
              </w:rPr>
              <w:t>2012</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月起加入摩根基金管理（中国）有限公司（原上投摩根基金管理有限公司），历任研究员、行业专家兼研究组长、研究部总监助理、研究部总监助理</w:t>
            </w:r>
            <w:r>
              <w:rPr>
                <w:rFonts w:ascii="宋体" w:hAnsi="宋体" w:hint="eastAsia"/>
                <w:szCs w:val="24"/>
                <w:lang w:eastAsia="zh-Hans"/>
              </w:rPr>
              <w:t>/</w:t>
            </w:r>
            <w:r>
              <w:rPr>
                <w:rFonts w:ascii="宋体" w:hAnsi="宋体" w:hint="eastAsia"/>
                <w:szCs w:val="24"/>
                <w:lang w:eastAsia="zh-Hans"/>
              </w:rPr>
              <w:t>基金经理助理，现任基金经理兼研究部副总监</w:t>
            </w:r>
            <w:r>
              <w:rPr>
                <w:rFonts w:ascii="宋体" w:hAnsi="宋体" w:hint="eastAsia"/>
                <w:szCs w:val="24"/>
                <w:lang w:eastAsia="zh-Hans"/>
              </w:rPr>
              <w:t>。</w:t>
            </w:r>
          </w:p>
        </w:tc>
      </w:tr>
    </w:tbl>
    <w:p w:rsidR="002A6F3C" w:rsidRDefault="002A6F3C">
      <w:pPr>
        <w:wordWrap w:val="0"/>
        <w:spacing w:line="360" w:lineRule="auto"/>
        <w:jc w:val="left"/>
        <w:divId w:val="146199467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2A6F3C" w:rsidRDefault="002A6F3C">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2A6F3C" w:rsidRDefault="002A6F3C">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2A6F3C" w:rsidRDefault="002A6F3C">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2A6F3C" w:rsidRDefault="002A6F3C">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2A6F3C" w:rsidRDefault="002A6F3C">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2A6F3C" w:rsidRDefault="002A6F3C">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2A6F3C" w:rsidRDefault="002A6F3C">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2A6F3C" w:rsidRDefault="002A6F3C">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2A6F3C" w:rsidRDefault="002A6F3C">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医药板块的股价表现与行业基本面走势呈现明显的背离。一方面，中国创新药的对外授权不断加速，交易的数量和规模、以及与海外大药企合作的深度都在不断刷新高度，但另一方面，医药指数却持续下跌，其背后主要的原因是以</w:t>
      </w:r>
      <w:r>
        <w:rPr>
          <w:rFonts w:ascii="宋体" w:hAnsi="宋体" w:cs="宋体" w:hint="eastAsia"/>
          <w:color w:val="000000"/>
          <w:kern w:val="0"/>
        </w:rPr>
        <w:t>AI</w:t>
      </w:r>
      <w:r>
        <w:rPr>
          <w:rFonts w:ascii="宋体" w:hAnsi="宋体" w:cs="宋体" w:hint="eastAsia"/>
          <w:color w:val="000000"/>
          <w:kern w:val="0"/>
        </w:rPr>
        <w:t>为核心的科技方向吸收了大部分的流动性，导致许多基本面扎实、有良好成长前景的非</w:t>
      </w:r>
      <w:r>
        <w:rPr>
          <w:rFonts w:ascii="宋体" w:hAnsi="宋体" w:cs="宋体" w:hint="eastAsia"/>
          <w:color w:val="000000"/>
          <w:kern w:val="0"/>
        </w:rPr>
        <w:t>AI</w:t>
      </w:r>
      <w:r>
        <w:rPr>
          <w:rFonts w:ascii="宋体" w:hAnsi="宋体" w:cs="宋体" w:hint="eastAsia"/>
          <w:color w:val="000000"/>
          <w:kern w:val="0"/>
        </w:rPr>
        <w:t>板块持续失血，医药（特别是创新药）也成为主要的资金流出板块之一。二季度申万医药生物指数下跌</w:t>
      </w:r>
      <w:r>
        <w:rPr>
          <w:rFonts w:ascii="宋体" w:hAnsi="宋体" w:cs="宋体" w:hint="eastAsia"/>
          <w:color w:val="000000"/>
          <w:kern w:val="0"/>
        </w:rPr>
        <w:t>9.45%</w:t>
      </w:r>
      <w:r>
        <w:rPr>
          <w:rFonts w:ascii="宋体" w:hAnsi="宋体" w:cs="宋体" w:hint="eastAsia"/>
          <w:color w:val="000000"/>
          <w:kern w:val="0"/>
        </w:rPr>
        <w:t>，恒生医疗保健指数下跌</w:t>
      </w:r>
      <w:r>
        <w:rPr>
          <w:rFonts w:ascii="宋体" w:hAnsi="宋体" w:cs="宋体" w:hint="eastAsia"/>
          <w:color w:val="000000"/>
          <w:kern w:val="0"/>
        </w:rPr>
        <w:t>14.4%</w:t>
      </w:r>
      <w:r>
        <w:rPr>
          <w:rFonts w:ascii="宋体" w:hAnsi="宋体" w:cs="宋体" w:hint="eastAsia"/>
          <w:color w:val="000000"/>
          <w:kern w:val="0"/>
        </w:rPr>
        <w:t>。这种极致的分化行情并不多见，对投资组合管理而言亦带来考验。面对这种极致的环境，我们更需要兼顾纪律性与灵活性，以跑赢基准并获取正收益。</w:t>
      </w:r>
      <w:r>
        <w:rPr>
          <w:rFonts w:ascii="宋体" w:hAnsi="宋体" w:cs="宋体" w:hint="eastAsia"/>
          <w:color w:val="000000"/>
          <w:kern w:val="0"/>
        </w:rPr>
        <w:br/>
      </w:r>
      <w:r>
        <w:rPr>
          <w:rFonts w:ascii="宋体" w:hAnsi="宋体" w:cs="宋体" w:hint="eastAsia"/>
          <w:color w:val="000000"/>
          <w:kern w:val="0"/>
        </w:rPr>
        <w:t xml:space="preserve">　　当我们冷静的分析行业数据，就会发现中国创新药产业的发展其实非常强劲。我国创新药分子对外授权的数量在</w:t>
      </w:r>
      <w:r>
        <w:rPr>
          <w:rFonts w:ascii="宋体" w:hAnsi="宋体" w:cs="宋体" w:hint="eastAsia"/>
          <w:color w:val="000000"/>
          <w:kern w:val="0"/>
        </w:rPr>
        <w:t>2025</w:t>
      </w:r>
      <w:r>
        <w:rPr>
          <w:rFonts w:ascii="宋体" w:hAnsi="宋体" w:cs="宋体" w:hint="eastAsia"/>
          <w:color w:val="000000"/>
          <w:kern w:val="0"/>
        </w:rPr>
        <w:t>年达到</w:t>
      </w:r>
      <w:r>
        <w:rPr>
          <w:rFonts w:ascii="宋体" w:hAnsi="宋体" w:cs="宋体" w:hint="eastAsia"/>
          <w:color w:val="000000"/>
          <w:kern w:val="0"/>
        </w:rPr>
        <w:t>186</w:t>
      </w:r>
      <w:r>
        <w:rPr>
          <w:rFonts w:ascii="宋体" w:hAnsi="宋体" w:cs="宋体" w:hint="eastAsia"/>
          <w:color w:val="000000"/>
          <w:kern w:val="0"/>
        </w:rPr>
        <w:t>笔，占全球授权数量的</w:t>
      </w:r>
      <w:r>
        <w:rPr>
          <w:rFonts w:ascii="宋体" w:hAnsi="宋体" w:cs="宋体" w:hint="eastAsia"/>
          <w:color w:val="000000"/>
          <w:kern w:val="0"/>
        </w:rPr>
        <w:t>39%</w:t>
      </w:r>
      <w:r>
        <w:rPr>
          <w:rFonts w:ascii="宋体" w:hAnsi="宋体" w:cs="宋体" w:hint="eastAsia"/>
          <w:color w:val="000000"/>
          <w:kern w:val="0"/>
        </w:rPr>
        <w:t>；</w:t>
      </w:r>
      <w:r>
        <w:rPr>
          <w:rFonts w:ascii="宋体" w:hAnsi="宋体" w:cs="宋体" w:hint="eastAsia"/>
          <w:color w:val="000000"/>
          <w:kern w:val="0"/>
        </w:rPr>
        <w:t>2026</w:t>
      </w:r>
      <w:r>
        <w:rPr>
          <w:rFonts w:ascii="宋体" w:hAnsi="宋体" w:cs="宋体" w:hint="eastAsia"/>
          <w:color w:val="000000"/>
          <w:kern w:val="0"/>
        </w:rPr>
        <w:t>年一季度，这个比例上升到</w:t>
      </w:r>
      <w:r>
        <w:rPr>
          <w:rFonts w:ascii="宋体" w:hAnsi="宋体" w:cs="宋体" w:hint="eastAsia"/>
          <w:color w:val="000000"/>
          <w:kern w:val="0"/>
        </w:rPr>
        <w:t>50%</w:t>
      </w:r>
      <w:r>
        <w:rPr>
          <w:rFonts w:ascii="宋体" w:hAnsi="宋体" w:cs="宋体" w:hint="eastAsia"/>
          <w:color w:val="000000"/>
          <w:kern w:val="0"/>
        </w:rPr>
        <w:t>，授权分子的数量也较去年同期同比增长了</w:t>
      </w:r>
      <w:r>
        <w:rPr>
          <w:rFonts w:ascii="宋体" w:hAnsi="宋体" w:cs="宋体" w:hint="eastAsia"/>
          <w:color w:val="000000"/>
          <w:kern w:val="0"/>
        </w:rPr>
        <w:t>36%</w:t>
      </w:r>
      <w:r>
        <w:rPr>
          <w:rFonts w:ascii="宋体" w:hAnsi="宋体" w:cs="宋体" w:hint="eastAsia"/>
          <w:color w:val="000000"/>
          <w:kern w:val="0"/>
        </w:rPr>
        <w:t>。从金额上看，</w:t>
      </w:r>
      <w:r>
        <w:rPr>
          <w:rFonts w:ascii="宋体" w:hAnsi="宋体" w:cs="宋体" w:hint="eastAsia"/>
          <w:color w:val="000000"/>
          <w:kern w:val="0"/>
        </w:rPr>
        <w:t>2025</w:t>
      </w:r>
      <w:r>
        <w:rPr>
          <w:rFonts w:ascii="宋体" w:hAnsi="宋体" w:cs="宋体" w:hint="eastAsia"/>
          <w:color w:val="000000"/>
          <w:kern w:val="0"/>
        </w:rPr>
        <w:t>年全年中国对外授权交易的总金额大约是</w:t>
      </w:r>
      <w:r>
        <w:rPr>
          <w:rFonts w:ascii="宋体" w:hAnsi="宋体" w:cs="宋体" w:hint="eastAsia"/>
          <w:color w:val="000000"/>
          <w:kern w:val="0"/>
        </w:rPr>
        <w:t>1400</w:t>
      </w:r>
      <w:r>
        <w:rPr>
          <w:rFonts w:ascii="宋体" w:hAnsi="宋体" w:cs="宋体" w:hint="eastAsia"/>
          <w:color w:val="000000"/>
          <w:kern w:val="0"/>
        </w:rPr>
        <w:t>亿美金，而仅仅在五年前的</w:t>
      </w:r>
      <w:r>
        <w:rPr>
          <w:rFonts w:ascii="宋体" w:hAnsi="宋体" w:cs="宋体" w:hint="eastAsia"/>
          <w:color w:val="000000"/>
          <w:kern w:val="0"/>
        </w:rPr>
        <w:t>2020</w:t>
      </w:r>
      <w:r>
        <w:rPr>
          <w:rFonts w:ascii="宋体" w:hAnsi="宋体" w:cs="宋体" w:hint="eastAsia"/>
          <w:color w:val="000000"/>
          <w:kern w:val="0"/>
        </w:rPr>
        <w:t>年，对外授权的总金额仅有</w:t>
      </w:r>
      <w:r>
        <w:rPr>
          <w:rFonts w:ascii="宋体" w:hAnsi="宋体" w:cs="宋体" w:hint="eastAsia"/>
          <w:color w:val="000000"/>
          <w:kern w:val="0"/>
        </w:rPr>
        <w:t>110</w:t>
      </w:r>
      <w:r>
        <w:rPr>
          <w:rFonts w:ascii="宋体" w:hAnsi="宋体" w:cs="宋体" w:hint="eastAsia"/>
          <w:color w:val="000000"/>
          <w:kern w:val="0"/>
        </w:rPr>
        <w:t>亿美金；短短</w:t>
      </w:r>
      <w:r>
        <w:rPr>
          <w:rFonts w:ascii="宋体" w:hAnsi="宋体" w:cs="宋体" w:hint="eastAsia"/>
          <w:color w:val="000000"/>
          <w:kern w:val="0"/>
        </w:rPr>
        <w:t>5</w:t>
      </w:r>
      <w:r>
        <w:rPr>
          <w:rFonts w:ascii="宋体" w:hAnsi="宋体" w:cs="宋体" w:hint="eastAsia"/>
          <w:color w:val="000000"/>
          <w:kern w:val="0"/>
        </w:rPr>
        <w:t>年里，授权金额增长了</w:t>
      </w:r>
      <w:r>
        <w:rPr>
          <w:rFonts w:ascii="宋体" w:hAnsi="宋体" w:cs="宋体" w:hint="eastAsia"/>
          <w:color w:val="000000"/>
          <w:kern w:val="0"/>
        </w:rPr>
        <w:t>12-13</w:t>
      </w:r>
      <w:r>
        <w:rPr>
          <w:rFonts w:ascii="宋体" w:hAnsi="宋体" w:cs="宋体" w:hint="eastAsia"/>
          <w:color w:val="000000"/>
          <w:kern w:val="0"/>
        </w:rPr>
        <w:t>倍，这个增长速度可谓相当惊人。这些授权金额的数字会随着相关分子临床试验的推进，逐步以里程碑付款和最终销售分成的形式体现在上市公司的报表利润上，将在未来三到五年里给不少上市公司带来丰厚的利润，而持续的盈利改善将是支撑股价长期上行的强大基础。因此，我们对医药，尤其是创新药行业的长期前景非常乐观，我们会聚焦于那些有能力将创新药品种带到欧美市场、实现海外获批和全球销售的公司，因为这些公司更能够通过药品的国际化，最大化实现药品的价值。</w:t>
      </w:r>
      <w:r>
        <w:rPr>
          <w:rFonts w:ascii="宋体" w:hAnsi="宋体" w:cs="宋体" w:hint="eastAsia"/>
          <w:color w:val="000000"/>
          <w:kern w:val="0"/>
        </w:rPr>
        <w:br/>
      </w:r>
      <w:r>
        <w:rPr>
          <w:rFonts w:ascii="宋体" w:hAnsi="宋体" w:cs="宋体" w:hint="eastAsia"/>
          <w:color w:val="000000"/>
          <w:kern w:val="0"/>
        </w:rPr>
        <w:t xml:space="preserve">　　从大的宏观背景看，随着中国工程师和科学家红利的爆发，创新药行业的崛起是必然的，并且将是一个能够持续三五年的产业趋势。伴随药企研发能力的提升、以及中国医院系统临床水平的提升，我国新药研发的分子构造效率优势和临床效率优势已越来越明显，中国也成为海外大型跨国药企寻找高性价比新药分子的重要产地。这与十年前消费电子产业链的转移是相似的。当中国公司的研发效率具备全球竞争力后，越来越多的新药在中国出现就不再是意外，尤其在双抗、抗体药物偶联物、小核酸、口服减肥药、分子降解剂等新方向上，中国公司的效率优势尤为明显。这从近两年</w:t>
      </w:r>
      <w:r>
        <w:rPr>
          <w:rFonts w:ascii="宋体" w:hAnsi="宋体" w:cs="宋体" w:hint="eastAsia"/>
          <w:color w:val="000000"/>
          <w:kern w:val="0"/>
        </w:rPr>
        <w:t>ASCO</w:t>
      </w:r>
      <w:r>
        <w:rPr>
          <w:rFonts w:ascii="宋体" w:hAnsi="宋体" w:cs="宋体" w:hint="eastAsia"/>
          <w:color w:val="000000"/>
          <w:kern w:val="0"/>
        </w:rPr>
        <w:t>、</w:t>
      </w:r>
      <w:r>
        <w:rPr>
          <w:rFonts w:ascii="宋体" w:hAnsi="宋体" w:cs="宋体" w:hint="eastAsia"/>
          <w:color w:val="000000"/>
          <w:kern w:val="0"/>
        </w:rPr>
        <w:t>ESMO</w:t>
      </w:r>
      <w:r>
        <w:rPr>
          <w:rFonts w:ascii="宋体" w:hAnsi="宋体" w:cs="宋体" w:hint="eastAsia"/>
          <w:color w:val="000000"/>
          <w:kern w:val="0"/>
        </w:rPr>
        <w:t>、</w:t>
      </w:r>
      <w:r>
        <w:rPr>
          <w:rFonts w:ascii="宋体" w:hAnsi="宋体" w:cs="宋体" w:hint="eastAsia"/>
          <w:color w:val="000000"/>
          <w:kern w:val="0"/>
        </w:rPr>
        <w:t>WCLC</w:t>
      </w:r>
      <w:r>
        <w:rPr>
          <w:rFonts w:ascii="宋体" w:hAnsi="宋体" w:cs="宋体" w:hint="eastAsia"/>
          <w:color w:val="000000"/>
          <w:kern w:val="0"/>
        </w:rPr>
        <w:t>、</w:t>
      </w:r>
      <w:r>
        <w:rPr>
          <w:rFonts w:ascii="宋体" w:hAnsi="宋体" w:cs="宋体" w:hint="eastAsia"/>
          <w:color w:val="000000"/>
          <w:kern w:val="0"/>
        </w:rPr>
        <w:t>AACR</w:t>
      </w:r>
      <w:r>
        <w:rPr>
          <w:rFonts w:ascii="宋体" w:hAnsi="宋体" w:cs="宋体" w:hint="eastAsia"/>
          <w:color w:val="000000"/>
          <w:kern w:val="0"/>
        </w:rPr>
        <w:t>等国际学术会议上中国创新药分子的报告占比快速上升也能看出，我国产业竞争优势在急速提升，我们也大量投资了这类具备全球竞争力的公司。</w:t>
      </w:r>
      <w:r>
        <w:rPr>
          <w:rFonts w:ascii="宋体" w:hAnsi="宋体" w:cs="宋体" w:hint="eastAsia"/>
          <w:color w:val="000000"/>
          <w:kern w:val="0"/>
        </w:rPr>
        <w:br/>
      </w:r>
      <w:r>
        <w:rPr>
          <w:rFonts w:ascii="宋体" w:hAnsi="宋体" w:cs="宋体" w:hint="eastAsia"/>
          <w:color w:val="000000"/>
          <w:kern w:val="0"/>
        </w:rPr>
        <w:t xml:space="preserve">　　诚然，新药研发的过程非常漫长，需要我们对竞争格局和企业内在能力有很好的把握。随着市场逐步成熟，我们认为未来创新药的投资收益将主要来自个股的</w:t>
      </w:r>
      <w:r>
        <w:rPr>
          <w:rFonts w:ascii="宋体" w:hAnsi="宋体" w:cs="宋体" w:hint="eastAsia"/>
          <w:color w:val="000000"/>
          <w:kern w:val="0"/>
        </w:rPr>
        <w:t>alpha</w:t>
      </w:r>
      <w:r>
        <w:rPr>
          <w:rFonts w:ascii="宋体" w:hAnsi="宋体" w:cs="宋体" w:hint="eastAsia"/>
          <w:color w:val="000000"/>
          <w:kern w:val="0"/>
        </w:rPr>
        <w:t>，而非行业性的</w:t>
      </w:r>
      <w:r>
        <w:rPr>
          <w:rFonts w:ascii="宋体" w:hAnsi="宋体" w:cs="宋体" w:hint="eastAsia"/>
          <w:color w:val="000000"/>
          <w:kern w:val="0"/>
        </w:rPr>
        <w:t>beta</w:t>
      </w:r>
      <w:r>
        <w:rPr>
          <w:rFonts w:ascii="宋体" w:hAnsi="宋体" w:cs="宋体" w:hint="eastAsia"/>
          <w:color w:val="000000"/>
          <w:kern w:val="0"/>
        </w:rPr>
        <w:t>，这与发达国家生物医药的投资方法也会更加接近，我们也会更加自下而上的去挖掘有潜力的新药分子，选择胜率和赔率都比较高的公司进行投资。一个创新药从默默无闻到成为重磅产品，其价值的提升是巨大的。我们相信中国创新药公司在未来几年内会涌现一些引领全球的重磅产品；我们的目标就是要寻找这类潜在的十倍股和百倍股，为持有人创造良好的投资收益</w:t>
      </w:r>
      <w:r>
        <w:rPr>
          <w:rFonts w:ascii="宋体" w:hAnsi="宋体" w:cs="宋体" w:hint="eastAsia"/>
          <w:color w:val="000000"/>
          <w:kern w:val="0"/>
        </w:rPr>
        <w:t>。</w:t>
      </w:r>
    </w:p>
    <w:p w:rsidR="002A6F3C" w:rsidRDefault="002A6F3C">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2A6F3C" w:rsidRDefault="002A6F3C">
      <w:pPr>
        <w:spacing w:line="360" w:lineRule="auto"/>
        <w:ind w:firstLineChars="200" w:firstLine="420"/>
        <w:rPr>
          <w:rFonts w:hint="eastAsia"/>
        </w:rPr>
      </w:pPr>
      <w:r>
        <w:rPr>
          <w:rFonts w:ascii="宋体" w:hAnsi="宋体" w:hint="eastAsia"/>
        </w:rPr>
        <w:t>本报告期摩根医疗健康股票</w:t>
      </w:r>
      <w:r>
        <w:rPr>
          <w:rFonts w:ascii="宋体" w:hAnsi="宋体" w:hint="eastAsia"/>
        </w:rPr>
        <w:t>A</w:t>
      </w:r>
      <w:r>
        <w:rPr>
          <w:rFonts w:ascii="宋体" w:hAnsi="宋体" w:hint="eastAsia"/>
        </w:rPr>
        <w:t>份额净值增长率为：</w:t>
      </w:r>
      <w:r>
        <w:rPr>
          <w:rFonts w:ascii="宋体" w:hAnsi="宋体" w:hint="eastAsia"/>
        </w:rPr>
        <w:t>5.13%</w:t>
      </w:r>
      <w:r>
        <w:rPr>
          <w:rFonts w:ascii="宋体" w:hAnsi="宋体" w:hint="eastAsia"/>
        </w:rPr>
        <w:t>，同期业绩比较基准收益率为：</w:t>
      </w:r>
      <w:r>
        <w:rPr>
          <w:rFonts w:ascii="宋体" w:hAnsi="宋体" w:hint="eastAsia"/>
        </w:rPr>
        <w:t>-7.95%</w:t>
      </w:r>
      <w:r>
        <w:rPr>
          <w:rFonts w:ascii="宋体" w:hAnsi="宋体" w:hint="eastAsia"/>
        </w:rPr>
        <w:t>；</w:t>
      </w:r>
      <w:r>
        <w:rPr>
          <w:rFonts w:ascii="宋体" w:hAnsi="宋体" w:hint="eastAsia"/>
        </w:rPr>
        <w:br/>
      </w:r>
      <w:r>
        <w:rPr>
          <w:rFonts w:ascii="宋体" w:hAnsi="宋体" w:hint="eastAsia"/>
        </w:rPr>
        <w:t xml:space="preserve">　　摩根医疗健康股票</w:t>
      </w:r>
      <w:r>
        <w:rPr>
          <w:rFonts w:ascii="宋体" w:hAnsi="宋体" w:hint="eastAsia"/>
        </w:rPr>
        <w:t>C</w:t>
      </w:r>
      <w:r>
        <w:rPr>
          <w:rFonts w:ascii="宋体" w:hAnsi="宋体" w:hint="eastAsia"/>
        </w:rPr>
        <w:t>份额净值增长率为：</w:t>
      </w:r>
      <w:r>
        <w:rPr>
          <w:rFonts w:ascii="宋体" w:hAnsi="宋体" w:hint="eastAsia"/>
        </w:rPr>
        <w:t>4.98%</w:t>
      </w:r>
      <w:r>
        <w:rPr>
          <w:rFonts w:ascii="宋体" w:hAnsi="宋体" w:hint="eastAsia"/>
        </w:rPr>
        <w:t>，同期业绩比较基准收益率为：</w:t>
      </w:r>
      <w:r>
        <w:rPr>
          <w:rFonts w:ascii="宋体" w:hAnsi="宋体" w:hint="eastAsia"/>
        </w:rPr>
        <w:t>-7.95%</w:t>
      </w:r>
      <w:r>
        <w:rPr>
          <w:rFonts w:ascii="宋体" w:hAnsi="宋体" w:hint="eastAsia"/>
        </w:rPr>
        <w:t>。</w:t>
      </w:r>
    </w:p>
    <w:p w:rsidR="002A6F3C" w:rsidRDefault="002A6F3C">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2A6F3C" w:rsidRDefault="002A6F3C">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2A6F3C" w:rsidRDefault="002A6F3C">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2A6F3C" w:rsidRDefault="002A6F3C">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6F3C" w:rsidRDefault="002A6F3C">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2A6F3C" w:rsidRDefault="002A6F3C">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2A6F3C" w:rsidRDefault="002A6F3C">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2A6F3C" w:rsidRDefault="002A6F3C">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380,047,095.9</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85.5</w:t>
            </w:r>
            <w:r>
              <w:rPr>
                <w:rFonts w:ascii="宋体" w:hAnsi="宋体" w:hint="eastAsia"/>
                <w:szCs w:val="24"/>
                <w:lang w:eastAsia="zh-Hans"/>
              </w:rPr>
              <w:t>6</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380,047,095.9</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85.5</w:t>
            </w:r>
            <w:r>
              <w:rPr>
                <w:rFonts w:ascii="宋体" w:hAnsi="宋体" w:hint="eastAsia"/>
                <w:szCs w:val="24"/>
                <w:lang w:eastAsia="zh-Hans"/>
              </w:rPr>
              <w:t>6</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62,795,250.7</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14.1</w:t>
            </w:r>
            <w:r>
              <w:rPr>
                <w:rFonts w:ascii="宋体" w:hAnsi="宋体" w:hint="eastAsia"/>
                <w:szCs w:val="24"/>
                <w:lang w:eastAsia="zh-Hans"/>
              </w:rPr>
              <w:t>4</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1,330,329.0</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0.3</w:t>
            </w:r>
            <w:r>
              <w:rPr>
                <w:rFonts w:ascii="宋体" w:hAnsi="宋体" w:hint="eastAsia"/>
                <w:szCs w:val="24"/>
                <w:lang w:eastAsia="zh-Hans"/>
              </w:rPr>
              <w:t>0</w:t>
            </w:r>
          </w:p>
        </w:tc>
      </w:tr>
      <w:tr w:rsidR="00000000">
        <w:trPr>
          <w:divId w:val="52921913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A6F3C" w:rsidRDefault="002A6F3C">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2A6F3C" w:rsidRDefault="002A6F3C">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444,172,675.6</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2A6F3C" w:rsidRDefault="002A6F3C">
            <w:pPr>
              <w:jc w:val="right"/>
            </w:pPr>
            <w:r>
              <w:rPr>
                <w:rFonts w:ascii="宋体" w:hAnsi="宋体" w:hint="eastAsia"/>
                <w:szCs w:val="24"/>
                <w:lang w:eastAsia="zh-Hans"/>
              </w:rPr>
              <w:t>100.0</w:t>
            </w:r>
            <w:r>
              <w:rPr>
                <w:rFonts w:ascii="宋体" w:hAnsi="宋体" w:hint="eastAsia"/>
                <w:szCs w:val="24"/>
                <w:lang w:eastAsia="zh-Hans"/>
              </w:rPr>
              <w:t>0</w:t>
            </w:r>
          </w:p>
        </w:tc>
      </w:tr>
    </w:tbl>
    <w:p w:rsidR="002A6F3C" w:rsidRDefault="002A6F3C">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2A6F3C" w:rsidRDefault="002A6F3C">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378578286"/>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2A6F3C" w:rsidRDefault="002A6F3C">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2A6F3C" w:rsidRDefault="002A6F3C">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2A6F3C" w:rsidRDefault="002A6F3C">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313,018,031.1</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70.7</w:t>
            </w:r>
            <w:r>
              <w:rPr>
                <w:rFonts w:ascii="宋体" w:hAnsi="宋体" w:hint="eastAsia"/>
                <w:szCs w:val="24"/>
                <w:lang w:eastAsia="zh-Hans"/>
              </w:rPr>
              <w:t>8</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15,746,884.0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3.5</w:t>
            </w:r>
            <w:r>
              <w:rPr>
                <w:rFonts w:ascii="宋体" w:hAnsi="宋体" w:hint="eastAsia"/>
                <w:szCs w:val="24"/>
                <w:lang w:eastAsia="zh-Hans"/>
              </w:rPr>
              <w:t>6</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51,282,180.8</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11.6</w:t>
            </w:r>
            <w:r>
              <w:rPr>
                <w:rFonts w:ascii="宋体" w:hAnsi="宋体" w:hint="eastAsia"/>
                <w:szCs w:val="24"/>
                <w:lang w:eastAsia="zh-Hans"/>
              </w:rPr>
              <w:t>0</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w:t>
            </w:r>
          </w:p>
        </w:tc>
      </w:tr>
      <w:tr w:rsidR="00000000">
        <w:trPr>
          <w:divId w:val="1378578286"/>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A6F3C" w:rsidRDefault="002A6F3C">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A6F3C" w:rsidRDefault="002A6F3C">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A6F3C" w:rsidRDefault="002A6F3C">
            <w:pPr>
              <w:jc w:val="right"/>
            </w:pPr>
            <w:r>
              <w:rPr>
                <w:rFonts w:ascii="宋体" w:hAnsi="宋体" w:hint="eastAsia"/>
                <w:szCs w:val="24"/>
                <w:lang w:eastAsia="zh-Hans"/>
              </w:rPr>
              <w:t>380,047,095.9</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A6F3C" w:rsidRDefault="002A6F3C">
            <w:pPr>
              <w:jc w:val="right"/>
            </w:pPr>
            <w:r>
              <w:rPr>
                <w:rFonts w:ascii="宋体" w:hAnsi="宋体" w:hint="eastAsia"/>
                <w:szCs w:val="24"/>
                <w:lang w:eastAsia="zh-Hans"/>
              </w:rPr>
              <w:t>85.9</w:t>
            </w:r>
            <w:r>
              <w:rPr>
                <w:rFonts w:ascii="宋体" w:hAnsi="宋体" w:hint="eastAsia"/>
                <w:szCs w:val="24"/>
                <w:lang w:eastAsia="zh-Hans"/>
              </w:rPr>
              <w:t>3</w:t>
            </w:r>
          </w:p>
        </w:tc>
      </w:tr>
    </w:tbl>
    <w:p w:rsidR="002A6F3C" w:rsidRDefault="002A6F3C">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2A6F3C" w:rsidRDefault="002A6F3C">
      <w:pPr>
        <w:spacing w:line="360" w:lineRule="auto"/>
        <w:ind w:firstLineChars="200" w:firstLine="420"/>
        <w:divId w:val="154791468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2A6F3C" w:rsidRDefault="002A6F3C">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2A6F3C" w:rsidRDefault="002A6F3C">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7138363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6F3C" w:rsidRDefault="002A6F3C">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6F3C" w:rsidRDefault="002A6F3C">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6F3C" w:rsidRDefault="002A6F3C">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6F3C" w:rsidRDefault="002A6F3C">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6F3C" w:rsidRDefault="002A6F3C">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A6F3C" w:rsidRDefault="002A6F3C">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00265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海思</w:t>
            </w:r>
            <w:r>
              <w:rPr>
                <w:rFonts w:ascii="宋体" w:hAnsi="宋体" w:hint="eastAsia"/>
                <w:szCs w:val="24"/>
                <w:lang w:eastAsia="zh-Hans"/>
              </w:rPr>
              <w:t>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706,37</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46,861,116.5</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10.6</w:t>
            </w:r>
            <w:r>
              <w:rPr>
                <w:rFonts w:ascii="宋体" w:hAnsi="宋体" w:hint="eastAsia"/>
                <w:szCs w:val="24"/>
                <w:lang w:eastAsia="zh-Hans"/>
              </w:rPr>
              <w:t>0</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68857</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艾力</w:t>
            </w:r>
            <w:r>
              <w:rPr>
                <w:rFonts w:ascii="宋体" w:hAnsi="宋体" w:hint="eastAsia"/>
                <w:szCs w:val="24"/>
                <w:lang w:eastAsia="zh-Hans"/>
              </w:rPr>
              <w:t>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412,79</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45,077,650.8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10.1</w:t>
            </w:r>
            <w:r>
              <w:rPr>
                <w:rFonts w:ascii="宋体" w:hAnsi="宋体" w:hint="eastAsia"/>
                <w:szCs w:val="24"/>
                <w:lang w:eastAsia="zh-Hans"/>
              </w:rPr>
              <w:t>9</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68826</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泽璟制</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383,82</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44,776,557.8</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10.1</w:t>
            </w:r>
            <w:r>
              <w:rPr>
                <w:rFonts w:ascii="宋体" w:hAnsi="宋体" w:hint="eastAsia"/>
                <w:szCs w:val="24"/>
                <w:lang w:eastAsia="zh-Hans"/>
              </w:rPr>
              <w:t>2</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60325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药明康</w:t>
            </w:r>
            <w:r>
              <w:rPr>
                <w:rFonts w:ascii="宋体" w:hAnsi="宋体" w:hint="eastAsia"/>
                <w:szCs w:val="24"/>
                <w:lang w:eastAsia="zh-Hans"/>
              </w:rPr>
              <w:t>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351,38</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43,750,448.3</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9.8</w:t>
            </w:r>
            <w:r>
              <w:rPr>
                <w:rFonts w:ascii="宋体" w:hAnsi="宋体" w:hint="eastAsia"/>
                <w:szCs w:val="24"/>
                <w:lang w:eastAsia="zh-Hans"/>
              </w:rPr>
              <w:t>9</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00242</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科伦药</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1,013,33</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39,033,548.6</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8.8</w:t>
            </w:r>
            <w:r>
              <w:rPr>
                <w:rFonts w:ascii="宋体" w:hAnsi="宋体" w:hint="eastAsia"/>
                <w:szCs w:val="24"/>
                <w:lang w:eastAsia="zh-Hans"/>
              </w:rPr>
              <w:t>3</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68838</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益方生</w:t>
            </w:r>
            <w:r>
              <w:rPr>
                <w:rFonts w:ascii="宋体" w:hAnsi="宋体" w:hint="eastAsia"/>
                <w:szCs w:val="24"/>
                <w:lang w:eastAsia="zh-Hans"/>
              </w:rPr>
              <w:t>物</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1,565,51</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28,179,288.0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6.3</w:t>
            </w:r>
            <w:r>
              <w:rPr>
                <w:rFonts w:ascii="宋体" w:hAnsi="宋体" w:hint="eastAsia"/>
                <w:szCs w:val="24"/>
                <w:lang w:eastAsia="zh-Hans"/>
              </w:rPr>
              <w:t>7</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60027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恒瑞医</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501,09</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26,077,087.8</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5.9</w:t>
            </w:r>
            <w:r>
              <w:rPr>
                <w:rFonts w:ascii="宋体" w:hAnsi="宋体" w:hint="eastAsia"/>
                <w:szCs w:val="24"/>
                <w:lang w:eastAsia="zh-Hans"/>
              </w:rPr>
              <w:t>0</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00243</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九安医</w:t>
            </w:r>
            <w:r>
              <w:rPr>
                <w:rFonts w:ascii="宋体" w:hAnsi="宋体" w:hint="eastAsia"/>
                <w:szCs w:val="24"/>
                <w:lang w:eastAsia="zh-Hans"/>
              </w:rPr>
              <w:t>疗</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320,80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22,674,144.0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5.1</w:t>
            </w:r>
            <w:r>
              <w:rPr>
                <w:rFonts w:ascii="宋体" w:hAnsi="宋体" w:hint="eastAsia"/>
                <w:szCs w:val="24"/>
                <w:lang w:eastAsia="zh-Hans"/>
              </w:rPr>
              <w:t>3</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68833</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荣昌生</w:t>
            </w:r>
            <w:r>
              <w:rPr>
                <w:rFonts w:ascii="宋体" w:hAnsi="宋体" w:hint="eastAsia"/>
                <w:szCs w:val="24"/>
                <w:lang w:eastAsia="zh-Hans"/>
              </w:rPr>
              <w:t>物</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148,36</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19,326,024.9</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4.3</w:t>
            </w:r>
            <w:r>
              <w:rPr>
                <w:rFonts w:ascii="宋体" w:hAnsi="宋体" w:hint="eastAsia"/>
                <w:szCs w:val="24"/>
                <w:lang w:eastAsia="zh-Hans"/>
              </w:rPr>
              <w:t>7</w:t>
            </w:r>
          </w:p>
        </w:tc>
      </w:tr>
      <w:tr w:rsidR="00000000">
        <w:trPr>
          <w:divId w:val="17138363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68823</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szCs w:val="24"/>
                <w:lang w:eastAsia="zh-Hans"/>
              </w:rPr>
              <w:t>百济神</w:t>
            </w:r>
            <w:r>
              <w:rPr>
                <w:rFonts w:ascii="宋体" w:hAnsi="宋体" w:hint="eastAsia"/>
                <w:szCs w:val="24"/>
                <w:lang w:eastAsia="zh-Hans"/>
              </w:rPr>
              <w:t>州</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73,37</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18,683,027.1</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4.2</w:t>
            </w:r>
            <w:r>
              <w:rPr>
                <w:rFonts w:ascii="宋体" w:hAnsi="宋体" w:hint="eastAsia"/>
                <w:szCs w:val="24"/>
                <w:lang w:eastAsia="zh-Hans"/>
              </w:rPr>
              <w:t>2</w:t>
            </w:r>
          </w:p>
        </w:tc>
      </w:tr>
    </w:tbl>
    <w:p w:rsidR="002A6F3C" w:rsidRDefault="002A6F3C">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2A6F3C" w:rsidRDefault="002A6F3C">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2A6F3C" w:rsidRDefault="002A6F3C">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2A6F3C" w:rsidRDefault="002A6F3C">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2A6F3C" w:rsidRDefault="002A6F3C">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2A6F3C" w:rsidRDefault="002A6F3C">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2A6F3C" w:rsidRDefault="002A6F3C">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2A6F3C" w:rsidRDefault="002A6F3C">
      <w:pPr>
        <w:spacing w:line="360" w:lineRule="auto"/>
        <w:ind w:firstLineChars="200" w:firstLine="420"/>
        <w:divId w:val="38923434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2A6F3C" w:rsidRDefault="002A6F3C">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2A6F3C" w:rsidRDefault="002A6F3C">
      <w:pPr>
        <w:spacing w:line="360" w:lineRule="auto"/>
        <w:ind w:firstLineChars="200" w:firstLine="420"/>
        <w:divId w:val="189550277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2A6F3C" w:rsidRDefault="002A6F3C">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2A6F3C" w:rsidRDefault="002A6F3C">
      <w:pPr>
        <w:spacing w:line="360" w:lineRule="auto"/>
        <w:ind w:firstLineChars="200" w:firstLine="420"/>
        <w:divId w:val="149522047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2A6F3C" w:rsidRDefault="002A6F3C">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2A6F3C" w:rsidRDefault="002A6F3C">
      <w:pPr>
        <w:spacing w:line="360" w:lineRule="auto"/>
        <w:ind w:firstLineChars="200" w:firstLine="420"/>
        <w:divId w:val="1961833894"/>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2A6F3C" w:rsidRDefault="002A6F3C">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2A6F3C" w:rsidRDefault="002A6F3C">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2A6F3C" w:rsidRDefault="002A6F3C">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2A6F3C" w:rsidRDefault="002A6F3C">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2A6F3C" w:rsidRDefault="002A6F3C">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2A6F3C" w:rsidRDefault="002A6F3C">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92904837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F3C" w:rsidRDefault="002A6F3C">
            <w:pPr>
              <w:jc w:val="center"/>
            </w:pPr>
            <w:r>
              <w:rPr>
                <w:rFonts w:ascii="宋体" w:hAnsi="宋体" w:hint="eastAsia"/>
              </w:rPr>
              <w:t>金额（元</w:t>
            </w:r>
            <w:r>
              <w:rPr>
                <w:rFonts w:ascii="宋体" w:hAnsi="宋体" w:hint="eastAsia"/>
              </w:rPr>
              <w:t>）</w:t>
            </w:r>
            <w:r>
              <w:t xml:space="preserve"> </w:t>
            </w:r>
          </w:p>
        </w:tc>
      </w:tr>
      <w:tr w:rsidR="00000000">
        <w:trPr>
          <w:divId w:val="92904837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rPr>
              <w:t>93,966.4</w:t>
            </w:r>
            <w:r>
              <w:rPr>
                <w:rFonts w:ascii="宋体" w:hAnsi="宋体" w:hint="eastAsia"/>
              </w:rPr>
              <w:t>9</w:t>
            </w:r>
          </w:p>
        </w:tc>
      </w:tr>
      <w:tr w:rsidR="00000000">
        <w:trPr>
          <w:divId w:val="92904837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rPr>
              <w:t>-</w:t>
            </w:r>
          </w:p>
        </w:tc>
      </w:tr>
      <w:tr w:rsidR="00000000">
        <w:trPr>
          <w:divId w:val="92904837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rPr>
              <w:t>-</w:t>
            </w:r>
          </w:p>
        </w:tc>
      </w:tr>
      <w:tr w:rsidR="00000000">
        <w:trPr>
          <w:divId w:val="92904837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rPr>
              <w:t>-</w:t>
            </w:r>
          </w:p>
        </w:tc>
      </w:tr>
      <w:tr w:rsidR="00000000">
        <w:trPr>
          <w:divId w:val="92904837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rPr>
              <w:t>1,236,362.5</w:t>
            </w:r>
            <w:r>
              <w:rPr>
                <w:rFonts w:ascii="宋体" w:hAnsi="宋体" w:hint="eastAsia"/>
              </w:rPr>
              <w:t>5</w:t>
            </w:r>
          </w:p>
        </w:tc>
      </w:tr>
      <w:tr w:rsidR="00000000">
        <w:trPr>
          <w:divId w:val="92904837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rPr>
              <w:t>-</w:t>
            </w:r>
          </w:p>
        </w:tc>
      </w:tr>
      <w:tr w:rsidR="00000000">
        <w:trPr>
          <w:divId w:val="92904837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rPr>
              <w:t>-</w:t>
            </w:r>
          </w:p>
        </w:tc>
      </w:tr>
      <w:tr w:rsidR="00000000">
        <w:trPr>
          <w:divId w:val="92904837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rPr>
              <w:t>1,330,329.0</w:t>
            </w:r>
            <w:r>
              <w:rPr>
                <w:rFonts w:ascii="宋体" w:hAnsi="宋体" w:hint="eastAsia"/>
              </w:rPr>
              <w:t>4</w:t>
            </w:r>
          </w:p>
        </w:tc>
      </w:tr>
    </w:tbl>
    <w:p w:rsidR="002A6F3C" w:rsidRDefault="002A6F3C">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2A6F3C" w:rsidRDefault="002A6F3C">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2A6F3C" w:rsidRDefault="002A6F3C">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2A6F3C" w:rsidRDefault="002A6F3C">
      <w:pPr>
        <w:spacing w:line="360" w:lineRule="auto"/>
        <w:ind w:firstLineChars="200" w:firstLine="420"/>
        <w:jc w:val="left"/>
        <w:divId w:val="792023430"/>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2A6F3C" w:rsidRDefault="002A6F3C">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2A6F3C" w:rsidRDefault="002A6F3C">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2A6F3C" w:rsidRDefault="002A6F3C">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2A6F3C" w:rsidRDefault="002A6F3C">
      <w:pPr>
        <w:wordWrap w:val="0"/>
        <w:spacing w:line="360" w:lineRule="auto"/>
        <w:jc w:val="right"/>
        <w:divId w:val="822312193"/>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divId w:val="822312193"/>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2A6F3C" w:rsidRDefault="002A6F3C">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6F3C" w:rsidRDefault="002A6F3C">
            <w:pPr>
              <w:ind w:right="3"/>
              <w:jc w:val="center"/>
            </w:pPr>
            <w:r>
              <w:rPr>
                <w:rFonts w:ascii="宋体" w:hAnsi="宋体" w:hint="eastAsia"/>
                <w:lang w:eastAsia="zh-Hans"/>
              </w:rPr>
              <w:t>摩根医疗健康股票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A6F3C" w:rsidRDefault="002A6F3C">
            <w:pPr>
              <w:ind w:right="3"/>
              <w:jc w:val="center"/>
            </w:pPr>
            <w:r>
              <w:rPr>
                <w:rFonts w:ascii="宋体" w:hAnsi="宋体" w:hint="eastAsia"/>
                <w:lang w:eastAsia="zh-Hans"/>
              </w:rPr>
              <w:t>摩根医疗健康股票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82231219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283,005,103.9</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3,462,553.6</w:t>
            </w:r>
            <w:r>
              <w:rPr>
                <w:rFonts w:ascii="宋体" w:hAnsi="宋体" w:hint="eastAsia"/>
              </w:rPr>
              <w:t>8</w:t>
            </w:r>
          </w:p>
        </w:tc>
      </w:tr>
      <w:tr w:rsidR="00000000">
        <w:trPr>
          <w:divId w:val="82231219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12,916,196.5</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16,036,164.7</w:t>
            </w:r>
            <w:r>
              <w:rPr>
                <w:rFonts w:ascii="宋体" w:hAnsi="宋体" w:hint="eastAsia"/>
              </w:rPr>
              <w:t>2</w:t>
            </w:r>
          </w:p>
        </w:tc>
      </w:tr>
      <w:tr w:rsidR="00000000">
        <w:trPr>
          <w:divId w:val="82231219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35,668,624.2</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2,353,360.5</w:t>
            </w:r>
            <w:r>
              <w:rPr>
                <w:rFonts w:ascii="宋体" w:hAnsi="宋体" w:hint="eastAsia"/>
              </w:rPr>
              <w:t>2</w:t>
            </w:r>
          </w:p>
        </w:tc>
      </w:tr>
      <w:tr w:rsidR="00000000">
        <w:trPr>
          <w:divId w:val="82231219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w:t>
            </w:r>
          </w:p>
        </w:tc>
      </w:tr>
      <w:tr w:rsidR="00000000">
        <w:trPr>
          <w:divId w:val="822312193"/>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260,252,676.2</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A6F3C" w:rsidRDefault="002A6F3C">
            <w:pPr>
              <w:jc w:val="right"/>
            </w:pPr>
            <w:r>
              <w:rPr>
                <w:rFonts w:ascii="宋体" w:hAnsi="宋体" w:hint="eastAsia"/>
              </w:rPr>
              <w:t>17,145,357.8</w:t>
            </w:r>
            <w:r>
              <w:rPr>
                <w:rFonts w:ascii="宋体" w:hAnsi="宋体" w:hint="eastAsia"/>
              </w:rPr>
              <w:t>8</w:t>
            </w:r>
          </w:p>
        </w:tc>
      </w:tr>
    </w:tbl>
    <w:p w:rsidR="002A6F3C" w:rsidRDefault="002A6F3C">
      <w:pPr>
        <w:spacing w:line="360" w:lineRule="auto"/>
        <w:jc w:val="left"/>
        <w:divId w:val="822312193"/>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2A6F3C" w:rsidRDefault="002A6F3C">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2A6F3C" w:rsidRDefault="002A6F3C">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2A6F3C" w:rsidRDefault="002A6F3C">
      <w:pPr>
        <w:wordWrap w:val="0"/>
        <w:spacing w:line="360" w:lineRule="auto"/>
        <w:jc w:val="right"/>
        <w:divId w:val="1462384516"/>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462384516"/>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jc w:val="center"/>
            </w:pPr>
            <w:r>
              <w:rPr>
                <w:rFonts w:ascii="宋体" w:hAnsi="宋体" w:hint="eastAsia"/>
                <w:lang w:eastAsia="zh-Hans"/>
              </w:rPr>
              <w:t>摩根医疗健康股票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A6F3C" w:rsidRDefault="002A6F3C">
            <w:pPr>
              <w:jc w:val="center"/>
            </w:pPr>
            <w:r>
              <w:rPr>
                <w:rFonts w:ascii="宋体" w:hAnsi="宋体" w:hint="eastAsia"/>
                <w:lang w:eastAsia="zh-Hans"/>
              </w:rPr>
              <w:t>摩根医疗健康股票</w:t>
            </w:r>
            <w:r>
              <w:rPr>
                <w:rFonts w:ascii="宋体" w:hAnsi="宋体" w:hint="eastAsia"/>
                <w:lang w:eastAsia="zh-Hans"/>
              </w:rPr>
              <w:t>C</w:t>
            </w:r>
            <w:r>
              <w:rPr>
                <w:rFonts w:ascii="宋体" w:hAnsi="宋体" w:hint="eastAsia"/>
                <w:color w:val="000000"/>
              </w:rPr>
              <w:t xml:space="preserve"> </w:t>
            </w:r>
          </w:p>
        </w:tc>
      </w:tr>
      <w:tr w:rsidR="00000000">
        <w:trPr>
          <w:divId w:val="14623845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rPr>
                <w:rFonts w:hint="eastAsia"/>
              </w:rPr>
            </w:pPr>
            <w:r>
              <w:rPr>
                <w:rFonts w:ascii="宋体" w:hAnsi="宋体" w:hint="eastAsia"/>
                <w:kern w:val="0"/>
                <w:szCs w:val="24"/>
                <w:lang w:eastAsia="zh-Hans"/>
              </w:rPr>
              <w:t>47,888.8</w:t>
            </w:r>
            <w:r>
              <w:rPr>
                <w:rFonts w:ascii="宋体" w:hAnsi="宋体" w:hint="eastAsia"/>
                <w:kern w:val="0"/>
                <w:szCs w:val="24"/>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kern w:val="0"/>
                <w:szCs w:val="24"/>
                <w:lang w:eastAsia="zh-Hans"/>
              </w:rPr>
              <w:t>-</w:t>
            </w:r>
          </w:p>
        </w:tc>
      </w:tr>
      <w:tr w:rsidR="00000000">
        <w:trPr>
          <w:divId w:val="14623845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szCs w:val="24"/>
                <w:lang w:eastAsia="zh-Hans"/>
              </w:rPr>
              <w:t>-</w:t>
            </w:r>
          </w:p>
        </w:tc>
      </w:tr>
      <w:tr w:rsidR="00000000">
        <w:trPr>
          <w:divId w:val="14623845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lang w:eastAsia="zh-Hans"/>
              </w:rPr>
              <w:t>-</w:t>
            </w:r>
          </w:p>
        </w:tc>
      </w:tr>
      <w:tr w:rsidR="00000000">
        <w:trPr>
          <w:divId w:val="14623845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rPr>
                <w:rFonts w:hint="eastAsia"/>
              </w:rPr>
            </w:pPr>
            <w:r>
              <w:rPr>
                <w:rFonts w:ascii="宋体" w:hAnsi="宋体" w:hint="eastAsia"/>
                <w:lang w:eastAsia="zh-Hans"/>
              </w:rPr>
              <w:t>47,888.8</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lang w:eastAsia="zh-Hans"/>
              </w:rPr>
              <w:t>-</w:t>
            </w:r>
          </w:p>
        </w:tc>
      </w:tr>
      <w:tr w:rsidR="00000000">
        <w:trPr>
          <w:divId w:val="146238451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rPr>
                <w:rFonts w:hint="eastAsia"/>
              </w:rPr>
            </w:pPr>
            <w:r>
              <w:rPr>
                <w:rFonts w:ascii="宋体" w:hAnsi="宋体" w:hint="eastAsia"/>
                <w:lang w:eastAsia="zh-Hans"/>
              </w:rPr>
              <w:t>0.0</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A6F3C" w:rsidRDefault="002A6F3C">
            <w:pPr>
              <w:jc w:val="right"/>
            </w:pPr>
            <w:r>
              <w:rPr>
                <w:rFonts w:ascii="宋体" w:hAnsi="宋体" w:hint="eastAsia"/>
                <w:lang w:eastAsia="zh-Hans"/>
              </w:rPr>
              <w:t>-</w:t>
            </w:r>
          </w:p>
        </w:tc>
      </w:tr>
    </w:tbl>
    <w:p w:rsidR="002A6F3C" w:rsidRDefault="002A6F3C">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2A6F3C" w:rsidRDefault="002A6F3C">
      <w:pPr>
        <w:spacing w:line="360" w:lineRule="auto"/>
        <w:ind w:firstLineChars="200" w:firstLine="420"/>
        <w:jc w:val="left"/>
        <w:divId w:val="1855414411"/>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2A6F3C" w:rsidRDefault="002A6F3C">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2A6F3C" w:rsidRDefault="002A6F3C">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2A6F3C" w:rsidRDefault="002A6F3C">
      <w:pPr>
        <w:spacing w:line="360" w:lineRule="auto"/>
        <w:ind w:firstLineChars="200" w:firstLine="420"/>
        <w:divId w:val="1685477375"/>
        <w:rPr>
          <w:rFonts w:ascii="宋体" w:hAnsi="宋体" w:hint="eastAsia"/>
          <w:szCs w:val="21"/>
          <w:lang w:eastAsia="zh-Hans"/>
        </w:rPr>
      </w:pPr>
      <w:r>
        <w:rPr>
          <w:rFonts w:ascii="宋体" w:hAnsi="宋体" w:hint="eastAsia"/>
          <w:szCs w:val="21"/>
          <w:lang w:eastAsia="zh-Hans"/>
        </w:rPr>
        <w:t>无。</w:t>
      </w:r>
    </w:p>
    <w:p w:rsidR="002A6F3C" w:rsidRDefault="002A6F3C">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2A6F3C" w:rsidRDefault="002A6F3C">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2A6F3C" w:rsidRDefault="002A6F3C">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摩根医疗健康股票型证券投资基金基金合同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摩根医疗健康股票型证券投资基金托管协议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2A6F3C" w:rsidRDefault="002A6F3C">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2A6F3C" w:rsidRDefault="002A6F3C">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2A6F3C" w:rsidRDefault="002A6F3C">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2A6F3C" w:rsidRDefault="002A6F3C">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2A6F3C" w:rsidRDefault="002A6F3C">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A6F3C" w:rsidRDefault="002A6F3C">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A6F3C" w:rsidRDefault="002A6F3C">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2A6F3C" w:rsidRDefault="002A6F3C">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2A6F3C">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F3C" w:rsidRDefault="002A6F3C">
      <w:pPr>
        <w:rPr>
          <w:szCs w:val="21"/>
        </w:rPr>
      </w:pPr>
      <w:r>
        <w:rPr>
          <w:szCs w:val="21"/>
        </w:rPr>
        <w:separator/>
      </w:r>
      <w:r>
        <w:rPr>
          <w:szCs w:val="21"/>
        </w:rPr>
        <w:t xml:space="preserve"> </w:t>
      </w:r>
    </w:p>
  </w:endnote>
  <w:endnote w:type="continuationSeparator" w:id="0">
    <w:p w:rsidR="002A6F3C" w:rsidRDefault="002A6F3C">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F3C" w:rsidRDefault="002A6F3C">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F3C" w:rsidRDefault="002A6F3C">
      <w:pPr>
        <w:rPr>
          <w:szCs w:val="21"/>
        </w:rPr>
      </w:pPr>
      <w:r>
        <w:rPr>
          <w:szCs w:val="21"/>
        </w:rPr>
        <w:separator/>
      </w:r>
      <w:r>
        <w:rPr>
          <w:szCs w:val="21"/>
        </w:rPr>
        <w:t xml:space="preserve"> </w:t>
      </w:r>
    </w:p>
  </w:footnote>
  <w:footnote w:type="continuationSeparator" w:id="0">
    <w:p w:rsidR="002A6F3C" w:rsidRDefault="002A6F3C">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F3C" w:rsidRDefault="002A6F3C">
    <w:pPr>
      <w:pStyle w:val="a8"/>
      <w:jc w:val="right"/>
    </w:pPr>
    <w:r>
      <w:rPr>
        <w:rFonts w:ascii="宋体" w:hAnsi="宋体" w:hint="eastAsia"/>
      </w:rPr>
      <w:t>摩根医疗健康股票型证券投资基金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514689876">
    <w:abstractNumId w:val="0"/>
  </w:num>
  <w:num w:numId="2" w16cid:durableId="8388099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71977"/>
    <w:rsid w:val="00071977"/>
    <w:rsid w:val="002A6F3C"/>
    <w:rsid w:val="009E3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1903">
      <w:marLeft w:val="0"/>
      <w:marRight w:val="0"/>
      <w:marTop w:val="0"/>
      <w:marBottom w:val="0"/>
      <w:divBdr>
        <w:top w:val="none" w:sz="0" w:space="0" w:color="auto"/>
        <w:left w:val="none" w:sz="0" w:space="0" w:color="auto"/>
        <w:bottom w:val="none" w:sz="0" w:space="0" w:color="auto"/>
        <w:right w:val="none" w:sz="0" w:space="0" w:color="auto"/>
      </w:divBdr>
      <w:divsChild>
        <w:div w:id="1378578286">
          <w:marLeft w:val="0"/>
          <w:marRight w:val="0"/>
          <w:marTop w:val="0"/>
          <w:marBottom w:val="0"/>
          <w:divBdr>
            <w:top w:val="none" w:sz="0" w:space="0" w:color="auto"/>
            <w:left w:val="none" w:sz="0" w:space="0" w:color="auto"/>
            <w:bottom w:val="none" w:sz="0" w:space="0" w:color="auto"/>
            <w:right w:val="none" w:sz="0" w:space="0" w:color="auto"/>
          </w:divBdr>
        </w:div>
      </w:divsChild>
    </w:div>
    <w:div w:id="171383637">
      <w:marLeft w:val="0"/>
      <w:marRight w:val="0"/>
      <w:marTop w:val="0"/>
      <w:marBottom w:val="0"/>
      <w:divBdr>
        <w:top w:val="none" w:sz="0" w:space="0" w:color="auto"/>
        <w:left w:val="none" w:sz="0" w:space="0" w:color="auto"/>
        <w:bottom w:val="none" w:sz="0" w:space="0" w:color="auto"/>
        <w:right w:val="none" w:sz="0" w:space="0" w:color="auto"/>
      </w:divBdr>
    </w:div>
    <w:div w:id="389234342">
      <w:marLeft w:val="0"/>
      <w:marRight w:val="0"/>
      <w:marTop w:val="0"/>
      <w:marBottom w:val="0"/>
      <w:divBdr>
        <w:top w:val="none" w:sz="0" w:space="0" w:color="auto"/>
        <w:left w:val="none" w:sz="0" w:space="0" w:color="auto"/>
        <w:bottom w:val="none" w:sz="0" w:space="0" w:color="auto"/>
        <w:right w:val="none" w:sz="0" w:space="0" w:color="auto"/>
      </w:divBdr>
    </w:div>
    <w:div w:id="792023430">
      <w:marLeft w:val="0"/>
      <w:marRight w:val="0"/>
      <w:marTop w:val="0"/>
      <w:marBottom w:val="0"/>
      <w:divBdr>
        <w:top w:val="none" w:sz="0" w:space="0" w:color="auto"/>
        <w:left w:val="none" w:sz="0" w:space="0" w:color="auto"/>
        <w:bottom w:val="none" w:sz="0" w:space="0" w:color="auto"/>
        <w:right w:val="none" w:sz="0" w:space="0" w:color="auto"/>
      </w:divBdr>
    </w:div>
    <w:div w:id="822312193">
      <w:marLeft w:val="0"/>
      <w:marRight w:val="0"/>
      <w:marTop w:val="0"/>
      <w:marBottom w:val="0"/>
      <w:divBdr>
        <w:top w:val="none" w:sz="0" w:space="0" w:color="auto"/>
        <w:left w:val="none" w:sz="0" w:space="0" w:color="auto"/>
        <w:bottom w:val="none" w:sz="0" w:space="0" w:color="auto"/>
        <w:right w:val="none" w:sz="0" w:space="0" w:color="auto"/>
      </w:divBdr>
    </w:div>
    <w:div w:id="844249385">
      <w:marLeft w:val="0"/>
      <w:marRight w:val="0"/>
      <w:marTop w:val="0"/>
      <w:marBottom w:val="0"/>
      <w:divBdr>
        <w:top w:val="none" w:sz="0" w:space="0" w:color="auto"/>
        <w:left w:val="none" w:sz="0" w:space="0" w:color="auto"/>
        <w:bottom w:val="none" w:sz="0" w:space="0" w:color="auto"/>
        <w:right w:val="none" w:sz="0" w:space="0" w:color="auto"/>
      </w:divBdr>
    </w:div>
    <w:div w:id="885263421">
      <w:marLeft w:val="0"/>
      <w:marRight w:val="0"/>
      <w:marTop w:val="0"/>
      <w:marBottom w:val="0"/>
      <w:divBdr>
        <w:top w:val="none" w:sz="0" w:space="0" w:color="auto"/>
        <w:left w:val="none" w:sz="0" w:space="0" w:color="auto"/>
        <w:bottom w:val="none" w:sz="0" w:space="0" w:color="auto"/>
        <w:right w:val="none" w:sz="0" w:space="0" w:color="auto"/>
      </w:divBdr>
      <w:divsChild>
        <w:div w:id="529219133">
          <w:marLeft w:val="0"/>
          <w:marRight w:val="0"/>
          <w:marTop w:val="0"/>
          <w:marBottom w:val="0"/>
          <w:divBdr>
            <w:top w:val="none" w:sz="0" w:space="0" w:color="auto"/>
            <w:left w:val="none" w:sz="0" w:space="0" w:color="auto"/>
            <w:bottom w:val="none" w:sz="0" w:space="0" w:color="auto"/>
            <w:right w:val="none" w:sz="0" w:space="0" w:color="auto"/>
          </w:divBdr>
        </w:div>
      </w:divsChild>
    </w:div>
    <w:div w:id="1160582750">
      <w:marLeft w:val="0"/>
      <w:marRight w:val="0"/>
      <w:marTop w:val="0"/>
      <w:marBottom w:val="0"/>
      <w:divBdr>
        <w:top w:val="none" w:sz="0" w:space="0" w:color="auto"/>
        <w:left w:val="none" w:sz="0" w:space="0" w:color="auto"/>
        <w:bottom w:val="none" w:sz="0" w:space="0" w:color="auto"/>
        <w:right w:val="none" w:sz="0" w:space="0" w:color="auto"/>
      </w:divBdr>
      <w:divsChild>
        <w:div w:id="929048374">
          <w:marLeft w:val="0"/>
          <w:marRight w:val="0"/>
          <w:marTop w:val="0"/>
          <w:marBottom w:val="0"/>
          <w:divBdr>
            <w:top w:val="none" w:sz="0" w:space="0" w:color="auto"/>
            <w:left w:val="none" w:sz="0" w:space="0" w:color="auto"/>
            <w:bottom w:val="none" w:sz="0" w:space="0" w:color="auto"/>
            <w:right w:val="none" w:sz="0" w:space="0" w:color="auto"/>
          </w:divBdr>
        </w:div>
      </w:divsChild>
    </w:div>
    <w:div w:id="1417438931">
      <w:marLeft w:val="0"/>
      <w:marRight w:val="0"/>
      <w:marTop w:val="0"/>
      <w:marBottom w:val="0"/>
      <w:divBdr>
        <w:top w:val="none" w:sz="0" w:space="0" w:color="auto"/>
        <w:left w:val="none" w:sz="0" w:space="0" w:color="auto"/>
        <w:bottom w:val="none" w:sz="0" w:space="0" w:color="auto"/>
        <w:right w:val="none" w:sz="0" w:space="0" w:color="auto"/>
      </w:divBdr>
      <w:divsChild>
        <w:div w:id="1672829313">
          <w:marLeft w:val="0"/>
          <w:marRight w:val="0"/>
          <w:marTop w:val="0"/>
          <w:marBottom w:val="0"/>
          <w:divBdr>
            <w:top w:val="none" w:sz="0" w:space="0" w:color="auto"/>
            <w:left w:val="none" w:sz="0" w:space="0" w:color="auto"/>
            <w:bottom w:val="none" w:sz="0" w:space="0" w:color="auto"/>
            <w:right w:val="none" w:sz="0" w:space="0" w:color="auto"/>
          </w:divBdr>
        </w:div>
        <w:div w:id="1341353173">
          <w:marLeft w:val="0"/>
          <w:marRight w:val="0"/>
          <w:marTop w:val="0"/>
          <w:marBottom w:val="0"/>
          <w:divBdr>
            <w:top w:val="none" w:sz="0" w:space="0" w:color="auto"/>
            <w:left w:val="none" w:sz="0" w:space="0" w:color="auto"/>
            <w:bottom w:val="none" w:sz="0" w:space="0" w:color="auto"/>
            <w:right w:val="none" w:sz="0" w:space="0" w:color="auto"/>
          </w:divBdr>
        </w:div>
      </w:divsChild>
    </w:div>
    <w:div w:id="1422986298">
      <w:marLeft w:val="0"/>
      <w:marRight w:val="0"/>
      <w:marTop w:val="0"/>
      <w:marBottom w:val="0"/>
      <w:divBdr>
        <w:top w:val="none" w:sz="0" w:space="0" w:color="auto"/>
        <w:left w:val="none" w:sz="0" w:space="0" w:color="auto"/>
        <w:bottom w:val="none" w:sz="0" w:space="0" w:color="auto"/>
        <w:right w:val="none" w:sz="0" w:space="0" w:color="auto"/>
      </w:divBdr>
      <w:divsChild>
        <w:div w:id="1856768683">
          <w:marLeft w:val="0"/>
          <w:marRight w:val="0"/>
          <w:marTop w:val="0"/>
          <w:marBottom w:val="0"/>
          <w:divBdr>
            <w:top w:val="none" w:sz="0" w:space="0" w:color="auto"/>
            <w:left w:val="none" w:sz="0" w:space="0" w:color="auto"/>
            <w:bottom w:val="none" w:sz="0" w:space="0" w:color="auto"/>
            <w:right w:val="none" w:sz="0" w:space="0" w:color="auto"/>
          </w:divBdr>
        </w:div>
      </w:divsChild>
    </w:div>
    <w:div w:id="1461994676">
      <w:marLeft w:val="0"/>
      <w:marRight w:val="0"/>
      <w:marTop w:val="0"/>
      <w:marBottom w:val="0"/>
      <w:divBdr>
        <w:top w:val="none" w:sz="0" w:space="0" w:color="auto"/>
        <w:left w:val="none" w:sz="0" w:space="0" w:color="auto"/>
        <w:bottom w:val="none" w:sz="0" w:space="0" w:color="auto"/>
        <w:right w:val="none" w:sz="0" w:space="0" w:color="auto"/>
      </w:divBdr>
      <w:divsChild>
        <w:div w:id="2070879033">
          <w:marLeft w:val="0"/>
          <w:marRight w:val="0"/>
          <w:marTop w:val="0"/>
          <w:marBottom w:val="0"/>
          <w:divBdr>
            <w:top w:val="none" w:sz="0" w:space="0" w:color="auto"/>
            <w:left w:val="none" w:sz="0" w:space="0" w:color="auto"/>
            <w:bottom w:val="none" w:sz="0" w:space="0" w:color="auto"/>
            <w:right w:val="none" w:sz="0" w:space="0" w:color="auto"/>
          </w:divBdr>
        </w:div>
      </w:divsChild>
    </w:div>
    <w:div w:id="1495220475">
      <w:marLeft w:val="0"/>
      <w:marRight w:val="0"/>
      <w:marTop w:val="0"/>
      <w:marBottom w:val="0"/>
      <w:divBdr>
        <w:top w:val="none" w:sz="0" w:space="0" w:color="auto"/>
        <w:left w:val="none" w:sz="0" w:space="0" w:color="auto"/>
        <w:bottom w:val="none" w:sz="0" w:space="0" w:color="auto"/>
        <w:right w:val="none" w:sz="0" w:space="0" w:color="auto"/>
      </w:divBdr>
    </w:div>
    <w:div w:id="1518230097">
      <w:marLeft w:val="0"/>
      <w:marRight w:val="0"/>
      <w:marTop w:val="0"/>
      <w:marBottom w:val="0"/>
      <w:divBdr>
        <w:top w:val="none" w:sz="0" w:space="0" w:color="auto"/>
        <w:left w:val="none" w:sz="0" w:space="0" w:color="auto"/>
        <w:bottom w:val="none" w:sz="0" w:space="0" w:color="auto"/>
        <w:right w:val="none" w:sz="0" w:space="0" w:color="auto"/>
      </w:divBdr>
      <w:divsChild>
        <w:div w:id="1462384516">
          <w:marLeft w:val="0"/>
          <w:marRight w:val="0"/>
          <w:marTop w:val="0"/>
          <w:marBottom w:val="0"/>
          <w:divBdr>
            <w:top w:val="none" w:sz="0" w:space="0" w:color="auto"/>
            <w:left w:val="none" w:sz="0" w:space="0" w:color="auto"/>
            <w:bottom w:val="none" w:sz="0" w:space="0" w:color="auto"/>
            <w:right w:val="none" w:sz="0" w:space="0" w:color="auto"/>
          </w:divBdr>
        </w:div>
      </w:divsChild>
    </w:div>
    <w:div w:id="1537961341">
      <w:marLeft w:val="0"/>
      <w:marRight w:val="0"/>
      <w:marTop w:val="0"/>
      <w:marBottom w:val="0"/>
      <w:divBdr>
        <w:top w:val="none" w:sz="0" w:space="0" w:color="auto"/>
        <w:left w:val="none" w:sz="0" w:space="0" w:color="auto"/>
        <w:bottom w:val="none" w:sz="0" w:space="0" w:color="auto"/>
        <w:right w:val="none" w:sz="0" w:space="0" w:color="auto"/>
      </w:divBdr>
    </w:div>
    <w:div w:id="1544365757">
      <w:marLeft w:val="0"/>
      <w:marRight w:val="0"/>
      <w:marTop w:val="0"/>
      <w:marBottom w:val="0"/>
      <w:divBdr>
        <w:top w:val="none" w:sz="0" w:space="0" w:color="auto"/>
        <w:left w:val="none" w:sz="0" w:space="0" w:color="auto"/>
        <w:bottom w:val="none" w:sz="0" w:space="0" w:color="auto"/>
        <w:right w:val="none" w:sz="0" w:space="0" w:color="auto"/>
      </w:divBdr>
    </w:div>
    <w:div w:id="1547914689">
      <w:marLeft w:val="0"/>
      <w:marRight w:val="0"/>
      <w:marTop w:val="0"/>
      <w:marBottom w:val="0"/>
      <w:divBdr>
        <w:top w:val="none" w:sz="0" w:space="0" w:color="auto"/>
        <w:left w:val="none" w:sz="0" w:space="0" w:color="auto"/>
        <w:bottom w:val="none" w:sz="0" w:space="0" w:color="auto"/>
        <w:right w:val="none" w:sz="0" w:space="0" w:color="auto"/>
      </w:divBdr>
    </w:div>
    <w:div w:id="1685477375">
      <w:marLeft w:val="0"/>
      <w:marRight w:val="0"/>
      <w:marTop w:val="0"/>
      <w:marBottom w:val="0"/>
      <w:divBdr>
        <w:top w:val="none" w:sz="0" w:space="0" w:color="auto"/>
        <w:left w:val="none" w:sz="0" w:space="0" w:color="auto"/>
        <w:bottom w:val="none" w:sz="0" w:space="0" w:color="auto"/>
        <w:right w:val="none" w:sz="0" w:space="0" w:color="auto"/>
      </w:divBdr>
    </w:div>
    <w:div w:id="1855414411">
      <w:marLeft w:val="0"/>
      <w:marRight w:val="0"/>
      <w:marTop w:val="0"/>
      <w:marBottom w:val="0"/>
      <w:divBdr>
        <w:top w:val="none" w:sz="0" w:space="0" w:color="auto"/>
        <w:left w:val="none" w:sz="0" w:space="0" w:color="auto"/>
        <w:bottom w:val="none" w:sz="0" w:space="0" w:color="auto"/>
        <w:right w:val="none" w:sz="0" w:space="0" w:color="auto"/>
      </w:divBdr>
    </w:div>
    <w:div w:id="1895502778">
      <w:marLeft w:val="0"/>
      <w:marRight w:val="0"/>
      <w:marTop w:val="0"/>
      <w:marBottom w:val="0"/>
      <w:divBdr>
        <w:top w:val="none" w:sz="0" w:space="0" w:color="auto"/>
        <w:left w:val="none" w:sz="0" w:space="0" w:color="auto"/>
        <w:bottom w:val="none" w:sz="0" w:space="0" w:color="auto"/>
        <w:right w:val="none" w:sz="0" w:space="0" w:color="auto"/>
      </w:divBdr>
    </w:div>
    <w:div w:id="196183389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1273</Words>
  <Characters>7258</Characters>
  <Application>Microsoft Office Word</Application>
  <DocSecurity>4</DocSecurity>
  <Lines>60</Lines>
  <Paragraphs>17</Paragraphs>
  <ScaleCrop>false</ScaleCrop>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