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bookmarkStart w:id="0" w:name="_GoBack"/>
      <w:bookmarkEnd w:id="0"/>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上投摩根文体休闲灵活配置混合型证券投资基金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2022</w:t>
      </w:r>
      <w:r w:rsidRPr="00FF6B9A">
        <w:rPr>
          <w:rFonts w:eastAsiaTheme="minorEastAsia"/>
          <w:b/>
          <w:color w:val="000000" w:themeColor="text1"/>
          <w:sz w:val="36"/>
          <w:szCs w:val="36"/>
        </w:rPr>
        <w:t>年第</w:t>
      </w:r>
      <w:r w:rsidRPr="00FF6B9A">
        <w:rPr>
          <w:rFonts w:eastAsiaTheme="minorEastAsia"/>
          <w:b/>
          <w:color w:val="000000" w:themeColor="text1"/>
          <w:sz w:val="36"/>
          <w:szCs w:val="36"/>
        </w:rPr>
        <w:t>1</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2022</w:t>
      </w:r>
      <w:r w:rsidRPr="00FF6B9A">
        <w:rPr>
          <w:rFonts w:eastAsiaTheme="minorEastAsia"/>
          <w:b/>
          <w:color w:val="000000" w:themeColor="text1"/>
          <w:sz w:val="36"/>
          <w:szCs w:val="36"/>
        </w:rPr>
        <w:t>年</w:t>
      </w:r>
      <w:r w:rsidRPr="00FF6B9A">
        <w:rPr>
          <w:rFonts w:eastAsiaTheme="minorEastAsia"/>
          <w:b/>
          <w:color w:val="000000" w:themeColor="text1"/>
          <w:sz w:val="36"/>
          <w:szCs w:val="36"/>
        </w:rPr>
        <w:t>3</w:t>
      </w:r>
      <w:r w:rsidRPr="00FF6B9A">
        <w:rPr>
          <w:rFonts w:eastAsiaTheme="minorEastAsia"/>
          <w:b/>
          <w:color w:val="000000" w:themeColor="text1"/>
          <w:sz w:val="36"/>
          <w:szCs w:val="36"/>
        </w:rPr>
        <w:t>月</w:t>
      </w:r>
      <w:r w:rsidRPr="00FF6B9A">
        <w:rPr>
          <w:rFonts w:eastAsiaTheme="minorEastAsia"/>
          <w:b/>
          <w:color w:val="000000" w:themeColor="text1"/>
          <w:sz w:val="36"/>
          <w:szCs w:val="36"/>
        </w:rPr>
        <w:t>31</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基金管理人：上投摩根基金管理有限公司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基金托管人：中国银行股份有限公司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报告送出日期：二〇二二年四月二十二日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E23821" w:rsidRDefault="00F778C4">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E23821" w:rsidRDefault="00F778C4">
      <w:pPr>
        <w:spacing w:line="360" w:lineRule="auto"/>
        <w:ind w:firstLineChars="200" w:firstLine="420"/>
        <w:rPr>
          <w:rFonts w:eastAsiaTheme="minorEastAsia"/>
          <w:color w:val="000000" w:themeColor="text1"/>
        </w:rPr>
      </w:pPr>
      <w:r>
        <w:rPr>
          <w:rFonts w:eastAsiaTheme="minorEastAsia"/>
          <w:color w:val="000000" w:themeColor="text1"/>
        </w:rPr>
        <w:t>基金托管人中国银行股份有限公司根据本基金合同规定，于</w:t>
      </w:r>
      <w:r>
        <w:rPr>
          <w:rFonts w:eastAsiaTheme="minorEastAsia"/>
          <w:color w:val="000000" w:themeColor="text1"/>
        </w:rPr>
        <w:t>2022</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w:t>
      </w:r>
      <w:r>
        <w:rPr>
          <w:rFonts w:eastAsiaTheme="minorEastAsia"/>
          <w:color w:val="000000" w:themeColor="text1"/>
        </w:rPr>
        <w:t>21</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E23821" w:rsidRDefault="00F778C4">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E23821" w:rsidRDefault="00F778C4">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E23821" w:rsidRDefault="00F778C4">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2022</w:t>
      </w:r>
      <w:r w:rsidRPr="00FF6B9A">
        <w:rPr>
          <w:rFonts w:eastAsiaTheme="minorEastAsia"/>
          <w:color w:val="000000" w:themeColor="text1"/>
        </w:rPr>
        <w:t>年</w:t>
      </w:r>
      <w:r w:rsidRPr="00FF6B9A">
        <w:rPr>
          <w:rFonts w:eastAsiaTheme="minorEastAsia"/>
          <w:color w:val="000000" w:themeColor="text1"/>
        </w:rPr>
        <w:t>1</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3</w:t>
      </w:r>
      <w:r w:rsidRPr="00FF6B9A">
        <w:rPr>
          <w:rFonts w:eastAsiaTheme="minorEastAsia"/>
          <w:color w:val="000000" w:themeColor="text1"/>
        </w:rPr>
        <w:t>月</w:t>
      </w:r>
      <w:r w:rsidRPr="00FF6B9A">
        <w:rPr>
          <w:rFonts w:eastAsiaTheme="minorEastAsia"/>
          <w:color w:val="000000" w:themeColor="text1"/>
        </w:rPr>
        <w:t>31</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上投摩根文体休闲混合</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001795</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001795</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2015</w:t>
            </w:r>
            <w:r w:rsidRPr="00FF6B9A">
              <w:rPr>
                <w:rFonts w:eastAsiaTheme="minorEastAsia"/>
                <w:color w:val="000000" w:themeColor="text1"/>
                <w:kern w:val="0"/>
              </w:rPr>
              <w:t>年</w:t>
            </w:r>
            <w:r w:rsidRPr="00FF6B9A">
              <w:rPr>
                <w:rFonts w:eastAsiaTheme="minorEastAsia"/>
                <w:color w:val="000000" w:themeColor="text1"/>
                <w:kern w:val="0"/>
              </w:rPr>
              <w:t>12</w:t>
            </w:r>
            <w:r w:rsidRPr="00FF6B9A">
              <w:rPr>
                <w:rFonts w:eastAsiaTheme="minorEastAsia"/>
                <w:color w:val="000000" w:themeColor="text1"/>
                <w:kern w:val="0"/>
              </w:rPr>
              <w:t>月</w:t>
            </w:r>
            <w:r w:rsidRPr="00FF6B9A">
              <w:rPr>
                <w:rFonts w:eastAsiaTheme="minorEastAsia"/>
                <w:color w:val="000000" w:themeColor="text1"/>
                <w:kern w:val="0"/>
              </w:rPr>
              <w:t>23</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19,652,701.07</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采用定量及定性研究方法，自上而下进行宏观产业分析，自下而上优选文体休闲主题上市公司，通过严格的风险控制，力争实现基金资产的长期增值。</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E23821" w:rsidRDefault="00F778C4">
            <w:pPr>
              <w:adjustRightInd w:val="0"/>
              <w:spacing w:before="29" w:line="360" w:lineRule="auto"/>
              <w:ind w:left="17"/>
              <w:rPr>
                <w:rFonts w:eastAsiaTheme="minorEastAsia"/>
                <w:color w:val="000000" w:themeColor="text1"/>
              </w:rPr>
            </w:pPr>
            <w:r>
              <w:rPr>
                <w:rFonts w:eastAsiaTheme="minorEastAsia"/>
                <w:color w:val="000000" w:themeColor="text1"/>
                <w:kern w:val="0"/>
              </w:rPr>
              <w:t>1</w:t>
            </w:r>
            <w:r>
              <w:rPr>
                <w:rFonts w:eastAsiaTheme="minorEastAsia"/>
                <w:color w:val="000000" w:themeColor="text1"/>
                <w:kern w:val="0"/>
              </w:rPr>
              <w:t>、资产配置策略</w:t>
            </w:r>
          </w:p>
          <w:p w:rsidR="00E23821" w:rsidRDefault="00F778C4">
            <w:pPr>
              <w:adjustRightInd w:val="0"/>
              <w:spacing w:before="29" w:line="360" w:lineRule="auto"/>
              <w:ind w:left="17"/>
              <w:rPr>
                <w:rFonts w:eastAsiaTheme="minorEastAsia"/>
                <w:color w:val="000000" w:themeColor="text1"/>
              </w:rPr>
            </w:pPr>
            <w:r>
              <w:rPr>
                <w:rFonts w:eastAsiaTheme="minorEastAsia"/>
                <w:color w:val="000000" w:themeColor="text1"/>
                <w:kern w:val="0"/>
              </w:rPr>
              <w:t>本基金将综合分析和持续跟踪基本面、政策面、市场面等多方面因素，对宏观经济、国家政策、资金面和市场情绪等影响证券市场的重要因素进行深入分析，确定合适的资</w:t>
            </w:r>
            <w:r>
              <w:rPr>
                <w:rFonts w:eastAsiaTheme="minorEastAsia"/>
                <w:color w:val="000000" w:themeColor="text1"/>
                <w:kern w:val="0"/>
              </w:rPr>
              <w:lastRenderedPageBreak/>
              <w:t>产配置比例。</w:t>
            </w:r>
          </w:p>
          <w:p w:rsidR="00E23821" w:rsidRDefault="00F778C4">
            <w:pPr>
              <w:adjustRightInd w:val="0"/>
              <w:spacing w:before="29" w:line="360" w:lineRule="auto"/>
              <w:ind w:left="17"/>
              <w:rPr>
                <w:rFonts w:eastAsiaTheme="minorEastAsia"/>
                <w:color w:val="000000" w:themeColor="text1"/>
              </w:rPr>
            </w:pPr>
            <w:r>
              <w:rPr>
                <w:rFonts w:eastAsiaTheme="minorEastAsia"/>
                <w:color w:val="000000" w:themeColor="text1"/>
                <w:kern w:val="0"/>
              </w:rPr>
              <w:t>2</w:t>
            </w:r>
            <w:r>
              <w:rPr>
                <w:rFonts w:eastAsiaTheme="minorEastAsia"/>
                <w:color w:val="000000" w:themeColor="text1"/>
                <w:kern w:val="0"/>
              </w:rPr>
              <w:t>、股票投资策略</w:t>
            </w:r>
          </w:p>
          <w:p w:rsidR="00E23821" w:rsidRDefault="00F778C4">
            <w:pPr>
              <w:adjustRightInd w:val="0"/>
              <w:spacing w:before="29" w:line="360" w:lineRule="auto"/>
              <w:ind w:left="17"/>
              <w:rPr>
                <w:rFonts w:eastAsiaTheme="minorEastAsia"/>
                <w:color w:val="000000" w:themeColor="text1"/>
              </w:rPr>
            </w:pPr>
            <w:r>
              <w:rPr>
                <w:rFonts w:eastAsiaTheme="minorEastAsia"/>
                <w:color w:val="000000" w:themeColor="text1"/>
                <w:kern w:val="0"/>
              </w:rPr>
              <w:t>根据本基金投资理念及投资目标，本基金在申银万国一级行业分类中选取了以下与文体休闲主题相关的行业，分别是：传媒、计算机、电子、休闲服务、房地产、纺织服装、轻工制造、商业贸易、通信、家用电器、交通运输、汽车、食品饮料、综合。我们将遵循自上而下的宏观产业分析逻辑，从行业生命周期、行业景气度、行业竞争格局等多角度，综合评估各个行业的投资价值，对基金资产在行业间分配进行安排。本基金将通过系统和深入的基本面研究，密切关注受益于国家文化体育产业政策扶持、满足城镇居民生活水平提高和消费升级需求的行业和公司，同时重点投资于创</w:t>
            </w:r>
            <w:r>
              <w:rPr>
                <w:rFonts w:eastAsiaTheme="minorEastAsia"/>
                <w:color w:val="000000" w:themeColor="text1"/>
                <w:kern w:val="0"/>
              </w:rPr>
              <w:t>新商业模式、引领新的生活方式和消费习惯的相关行业及公司。</w:t>
            </w:r>
          </w:p>
          <w:p w:rsidR="00E23821" w:rsidRDefault="00F778C4">
            <w:pPr>
              <w:adjustRightInd w:val="0"/>
              <w:spacing w:before="29" w:line="360" w:lineRule="auto"/>
              <w:ind w:left="17"/>
              <w:rPr>
                <w:rFonts w:eastAsiaTheme="minorEastAsia"/>
                <w:color w:val="000000" w:themeColor="text1"/>
              </w:rPr>
            </w:pPr>
            <w:r>
              <w:rPr>
                <w:rFonts w:eastAsiaTheme="minorEastAsia"/>
                <w:color w:val="000000" w:themeColor="text1"/>
                <w:kern w:val="0"/>
              </w:rPr>
              <w:t>3</w:t>
            </w:r>
            <w:r>
              <w:rPr>
                <w:rFonts w:eastAsiaTheme="minorEastAsia"/>
                <w:color w:val="000000" w:themeColor="text1"/>
                <w:kern w:val="0"/>
              </w:rPr>
              <w:t>、固定收益类投资策略</w:t>
            </w:r>
          </w:p>
          <w:p w:rsidR="00E23821" w:rsidRDefault="00F778C4">
            <w:pPr>
              <w:adjustRightInd w:val="0"/>
              <w:spacing w:before="29" w:line="360" w:lineRule="auto"/>
              <w:ind w:left="17"/>
              <w:rPr>
                <w:rFonts w:eastAsiaTheme="minorEastAsia"/>
                <w:color w:val="000000" w:themeColor="text1"/>
              </w:rPr>
            </w:pPr>
            <w:r>
              <w:rPr>
                <w:rFonts w:eastAsiaTheme="minorEastAsia"/>
                <w:color w:val="000000" w:themeColor="text1"/>
                <w:kern w:val="0"/>
              </w:rPr>
              <w:t>对于固定收益类资产的选择，本基金将以价值分析为主线，在综合研究的基础上实施积极主动的组合管理，自上而下进行组合构建，自下而上进行个券选择。</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4</w:t>
            </w:r>
            <w:r w:rsidRPr="00FF6B9A">
              <w:rPr>
                <w:rFonts w:eastAsiaTheme="minorEastAsia"/>
                <w:color w:val="000000" w:themeColor="text1"/>
                <w:kern w:val="0"/>
              </w:rPr>
              <w:t>、其他投资策略：包括可转换债券投资策略、中小企业私募债投资策略、股指期货投资策略、股票期权投资策略、资产支持证券投资策略、存托凭证投资策略。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中证</w:t>
            </w:r>
            <w:r w:rsidRPr="00FF6B9A">
              <w:rPr>
                <w:rFonts w:eastAsiaTheme="minorEastAsia"/>
                <w:color w:val="000000" w:themeColor="text1"/>
                <w:kern w:val="0"/>
              </w:rPr>
              <w:t>800</w:t>
            </w:r>
            <w:r w:rsidRPr="00FF6B9A">
              <w:rPr>
                <w:rFonts w:eastAsiaTheme="minorEastAsia"/>
                <w:color w:val="000000" w:themeColor="text1"/>
                <w:kern w:val="0"/>
              </w:rPr>
              <w:t>指数收益率</w:t>
            </w:r>
            <w:r w:rsidRPr="00FF6B9A">
              <w:rPr>
                <w:rFonts w:eastAsiaTheme="minorEastAsia"/>
                <w:color w:val="000000" w:themeColor="text1"/>
                <w:kern w:val="0"/>
              </w:rPr>
              <w:t>*60%+</w:t>
            </w:r>
            <w:r w:rsidRPr="00FF6B9A">
              <w:rPr>
                <w:rFonts w:eastAsiaTheme="minorEastAsia"/>
                <w:color w:val="000000" w:themeColor="text1"/>
                <w:kern w:val="0"/>
              </w:rPr>
              <w:t>中债总指数收益率</w:t>
            </w:r>
            <w:r w:rsidRPr="00FF6B9A">
              <w:rPr>
                <w:rFonts w:eastAsiaTheme="minorEastAsia"/>
                <w:color w:val="000000" w:themeColor="text1"/>
                <w:kern w:val="0"/>
              </w:rPr>
              <w:t>*40%</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E23821" w:rsidRDefault="00F778C4">
            <w:pPr>
              <w:adjustRightInd w:val="0"/>
              <w:spacing w:before="29" w:line="360" w:lineRule="auto"/>
              <w:ind w:left="17"/>
              <w:rPr>
                <w:rFonts w:eastAsiaTheme="minorEastAsia"/>
                <w:color w:val="000000" w:themeColor="text1"/>
              </w:rPr>
            </w:pPr>
            <w:r>
              <w:rPr>
                <w:rFonts w:eastAsiaTheme="minorEastAsia"/>
                <w:color w:val="000000" w:themeColor="text1"/>
                <w:kern w:val="0"/>
              </w:rPr>
              <w:t>本基金属于混合型基金产品，预期风险和收益水平高于债券型基金和货币市场基金，低于股票型基金，属于较高风险收益水平的基金产品。</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根据</w:t>
            </w:r>
            <w:r w:rsidRPr="00FF6B9A">
              <w:rPr>
                <w:rFonts w:eastAsiaTheme="minorEastAsia"/>
                <w:color w:val="000000" w:themeColor="text1"/>
                <w:kern w:val="0"/>
              </w:rPr>
              <w:t>2017</w:t>
            </w:r>
            <w:r w:rsidRPr="00FF6B9A">
              <w:rPr>
                <w:rFonts w:eastAsiaTheme="minorEastAsia"/>
                <w:color w:val="000000" w:themeColor="text1"/>
                <w:kern w:val="0"/>
              </w:rPr>
              <w:t>年</w:t>
            </w:r>
            <w:r w:rsidRPr="00FF6B9A">
              <w:rPr>
                <w:rFonts w:eastAsiaTheme="minorEastAsia"/>
                <w:color w:val="000000" w:themeColor="text1"/>
                <w:kern w:val="0"/>
              </w:rPr>
              <w:t>7</w:t>
            </w:r>
            <w:r w:rsidRPr="00FF6B9A">
              <w:rPr>
                <w:rFonts w:eastAsiaTheme="minorEastAsia"/>
                <w:color w:val="000000" w:themeColor="text1"/>
                <w:kern w:val="0"/>
              </w:rPr>
              <w:t>月</w:t>
            </w:r>
            <w:r w:rsidRPr="00FF6B9A">
              <w:rPr>
                <w:rFonts w:eastAsiaTheme="minorEastAsia"/>
                <w:color w:val="000000" w:themeColor="text1"/>
                <w:kern w:val="0"/>
              </w:rPr>
              <w:t>1</w:t>
            </w:r>
            <w:r w:rsidRPr="00FF6B9A">
              <w:rPr>
                <w:rFonts w:eastAsiaTheme="minorEastAsia"/>
                <w:color w:val="000000" w:themeColor="text1"/>
                <w:kern w:val="0"/>
              </w:rPr>
              <w:t>日施行的《证券期货投资者适当性管理办法》，基金管理人和相关销售机构已对本基金重新进行风险评级，风险评级行为不改变本基金的实质性风险收益特征，但由于风险等级分类标准的变化，本基金的风险</w:t>
            </w:r>
            <w:r w:rsidRPr="00FF6B9A">
              <w:rPr>
                <w:rFonts w:eastAsiaTheme="minorEastAsia"/>
                <w:color w:val="000000" w:themeColor="text1"/>
                <w:kern w:val="0"/>
              </w:rPr>
              <w:lastRenderedPageBreak/>
              <w:t>等级表述可能有相应变化，具体风险评级结果应以基金管理人和销售机构提供的评级结果为准。</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上投摩根基金管理有限公司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中国银行股份有限公司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F778C4" w:rsidRPr="00FF6B9A" w:rsidTr="00F778C4">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(2022</w:t>
            </w:r>
            <w:r w:rsidRPr="00FF6B9A">
              <w:rPr>
                <w:rFonts w:eastAsiaTheme="minorEastAsia"/>
                <w:color w:val="000000" w:themeColor="text1"/>
              </w:rPr>
              <w:t>年</w:t>
            </w:r>
            <w:r w:rsidRPr="00FF6B9A">
              <w:rPr>
                <w:rFonts w:eastAsiaTheme="minorEastAsia"/>
                <w:color w:val="000000" w:themeColor="text1"/>
              </w:rPr>
              <w:t>1</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-2022</w:t>
            </w:r>
            <w:r w:rsidRPr="00FF6B9A">
              <w:rPr>
                <w:rFonts w:eastAsiaTheme="minorEastAsia"/>
                <w:color w:val="000000" w:themeColor="text1"/>
              </w:rPr>
              <w:t>年</w:t>
            </w:r>
            <w:r w:rsidRPr="00FF6B9A">
              <w:rPr>
                <w:rFonts w:eastAsiaTheme="minorEastAsia"/>
                <w:color w:val="000000" w:themeColor="text1"/>
              </w:rPr>
              <w:t>3</w:t>
            </w:r>
            <w:r w:rsidRPr="00FF6B9A">
              <w:rPr>
                <w:rFonts w:eastAsiaTheme="minorEastAsia"/>
                <w:color w:val="000000" w:themeColor="text1"/>
              </w:rPr>
              <w:t>月</w:t>
            </w:r>
            <w:r w:rsidRPr="00FF6B9A">
              <w:rPr>
                <w:rFonts w:eastAsiaTheme="minorEastAsia"/>
                <w:color w:val="000000" w:themeColor="text1"/>
              </w:rPr>
              <w:t>31</w:t>
            </w:r>
            <w:r w:rsidRPr="00FF6B9A">
              <w:rPr>
                <w:rFonts w:eastAsiaTheme="minorEastAsia"/>
                <w:color w:val="000000" w:themeColor="text1"/>
              </w:rPr>
              <w:t>日</w:t>
            </w:r>
            <w:r w:rsidRPr="00FF6B9A">
              <w:rPr>
                <w:rFonts w:eastAsiaTheme="minorEastAsia"/>
                <w:color w:val="000000" w:themeColor="text1"/>
              </w:rPr>
              <w:t>)</w:t>
            </w:r>
          </w:p>
        </w:tc>
      </w:tr>
      <w:tr w:rsidR="00F778C4" w:rsidRPr="00FF6B9A" w:rsidTr="00F778C4">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-3,655,388.26</w:t>
            </w:r>
          </w:p>
        </w:tc>
      </w:tr>
      <w:tr w:rsidR="00F778C4" w:rsidRPr="00FF6B9A" w:rsidTr="00F778C4">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-5,732,284.68</w:t>
            </w:r>
          </w:p>
        </w:tc>
      </w:tr>
      <w:tr w:rsidR="00F778C4" w:rsidRPr="00FF6B9A" w:rsidTr="00F778C4">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-0.2878</w:t>
            </w:r>
          </w:p>
        </w:tc>
      </w:tr>
      <w:tr w:rsidR="00F778C4" w:rsidRPr="00FF6B9A" w:rsidTr="00F778C4">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19,497,266.43</w:t>
            </w:r>
          </w:p>
        </w:tc>
      </w:tr>
      <w:tr w:rsidR="00F778C4" w:rsidRPr="00FF6B9A" w:rsidTr="00F778C4">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0.9921</w:t>
            </w:r>
          </w:p>
        </w:tc>
      </w:tr>
    </w:tbl>
    <w:p w:rsidR="00E23821" w:rsidRDefault="00F778C4">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注：本期已实现收益指基金本期利息收入、投资收益、其他收入</w:t>
      </w:r>
      <w:r>
        <w:rPr>
          <w:rFonts w:eastAsiaTheme="minorEastAsia"/>
          <w:color w:val="000000" w:themeColor="text1"/>
        </w:rPr>
        <w:t>(</w:t>
      </w:r>
      <w:r>
        <w:rPr>
          <w:rFonts w:eastAsiaTheme="minorEastAsia"/>
          <w:color w:val="000000" w:themeColor="text1"/>
        </w:rPr>
        <w:t>不含公允价值变动收益</w:t>
      </w:r>
      <w:r>
        <w:rPr>
          <w:rFonts w:eastAsiaTheme="minorEastAsia"/>
          <w:color w:val="000000" w:themeColor="text1"/>
        </w:rPr>
        <w:t>)</w:t>
      </w:r>
      <w:r>
        <w:rPr>
          <w:rFonts w:eastAsiaTheme="minorEastAsia"/>
          <w:color w:val="000000" w:themeColor="text1"/>
        </w:rPr>
        <w:t>扣除相关费用后的余额，本期利润为本期已实现收益加上本期公允价值变动收益。</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E23821">
        <w:tc>
          <w:tcPr>
            <w:tcW w:w="1395" w:type="dxa"/>
            <w:vAlign w:val="center"/>
          </w:tcPr>
          <w:p w:rsidR="00E23821" w:rsidRDefault="00F778C4">
            <w:pPr>
              <w:jc w:val="left"/>
            </w:pPr>
            <w:r>
              <w:rPr>
                <w:rFonts w:eastAsiaTheme="minorEastAsia"/>
                <w:color w:val="000000" w:themeColor="text1"/>
                <w:kern w:val="0"/>
              </w:rPr>
              <w:t>过去三个月</w:t>
            </w:r>
          </w:p>
        </w:tc>
        <w:tc>
          <w:tcPr>
            <w:tcW w:w="1092" w:type="dxa"/>
            <w:vAlign w:val="center"/>
          </w:tcPr>
          <w:p w:rsidR="00E23821" w:rsidRDefault="00F778C4">
            <w:pPr>
              <w:jc w:val="center"/>
            </w:pPr>
            <w:r>
              <w:rPr>
                <w:rFonts w:eastAsiaTheme="minorEastAsia"/>
                <w:color w:val="000000" w:themeColor="text1"/>
                <w:kern w:val="0"/>
              </w:rPr>
              <w:t>-22.45%</w:t>
            </w:r>
          </w:p>
        </w:tc>
        <w:tc>
          <w:tcPr>
            <w:tcW w:w="1161" w:type="dxa"/>
            <w:vAlign w:val="center"/>
          </w:tcPr>
          <w:p w:rsidR="00E23821" w:rsidRDefault="00F778C4">
            <w:pPr>
              <w:jc w:val="center"/>
            </w:pPr>
            <w:r>
              <w:rPr>
                <w:rFonts w:eastAsiaTheme="minorEastAsia"/>
                <w:color w:val="000000" w:themeColor="text1"/>
                <w:kern w:val="0"/>
              </w:rPr>
              <w:t>1.46%</w:t>
            </w:r>
          </w:p>
        </w:tc>
        <w:tc>
          <w:tcPr>
            <w:tcW w:w="1181" w:type="dxa"/>
            <w:vAlign w:val="center"/>
          </w:tcPr>
          <w:p w:rsidR="00E23821" w:rsidRDefault="00F778C4">
            <w:pPr>
              <w:jc w:val="center"/>
            </w:pPr>
            <w:r>
              <w:rPr>
                <w:rFonts w:eastAsiaTheme="minorEastAsia"/>
                <w:color w:val="000000" w:themeColor="text1"/>
                <w:kern w:val="0"/>
              </w:rPr>
              <w:t>-8.77%</w:t>
            </w:r>
          </w:p>
        </w:tc>
        <w:tc>
          <w:tcPr>
            <w:tcW w:w="1188" w:type="dxa"/>
            <w:vAlign w:val="center"/>
          </w:tcPr>
          <w:p w:rsidR="00E23821" w:rsidRDefault="00F778C4">
            <w:pPr>
              <w:jc w:val="center"/>
            </w:pPr>
            <w:r>
              <w:rPr>
                <w:rFonts w:eastAsiaTheme="minorEastAsia"/>
                <w:color w:val="000000" w:themeColor="text1"/>
                <w:kern w:val="0"/>
              </w:rPr>
              <w:t>0.87%</w:t>
            </w:r>
          </w:p>
        </w:tc>
        <w:tc>
          <w:tcPr>
            <w:tcW w:w="1199" w:type="dxa"/>
            <w:vAlign w:val="center"/>
          </w:tcPr>
          <w:p w:rsidR="00E23821" w:rsidRDefault="00F778C4">
            <w:pPr>
              <w:jc w:val="center"/>
            </w:pPr>
            <w:r>
              <w:rPr>
                <w:rFonts w:eastAsiaTheme="minorEastAsia"/>
                <w:color w:val="000000" w:themeColor="text1"/>
                <w:kern w:val="0"/>
              </w:rPr>
              <w:t>-13.68%</w:t>
            </w:r>
          </w:p>
        </w:tc>
        <w:tc>
          <w:tcPr>
            <w:tcW w:w="1204" w:type="dxa"/>
            <w:vAlign w:val="center"/>
          </w:tcPr>
          <w:p w:rsidR="00E23821" w:rsidRDefault="00F778C4">
            <w:pPr>
              <w:jc w:val="center"/>
            </w:pPr>
            <w:r>
              <w:rPr>
                <w:rFonts w:eastAsiaTheme="minorEastAsia"/>
                <w:color w:val="000000" w:themeColor="text1"/>
                <w:kern w:val="0"/>
              </w:rPr>
              <w:t>0.59%</w:t>
            </w:r>
          </w:p>
        </w:tc>
      </w:tr>
      <w:tr w:rsidR="00E23821">
        <w:tc>
          <w:tcPr>
            <w:tcW w:w="1395" w:type="dxa"/>
            <w:vAlign w:val="center"/>
          </w:tcPr>
          <w:p w:rsidR="00E23821" w:rsidRDefault="00F778C4">
            <w:pPr>
              <w:jc w:val="left"/>
            </w:pPr>
            <w:r>
              <w:rPr>
                <w:rFonts w:eastAsiaTheme="minorEastAsia"/>
                <w:color w:val="000000" w:themeColor="text1"/>
                <w:kern w:val="0"/>
              </w:rPr>
              <w:t>过去六个月</w:t>
            </w:r>
          </w:p>
        </w:tc>
        <w:tc>
          <w:tcPr>
            <w:tcW w:w="1092" w:type="dxa"/>
            <w:vAlign w:val="center"/>
          </w:tcPr>
          <w:p w:rsidR="00E23821" w:rsidRDefault="00F778C4">
            <w:pPr>
              <w:jc w:val="center"/>
            </w:pPr>
            <w:r>
              <w:rPr>
                <w:rFonts w:eastAsiaTheme="minorEastAsia"/>
                <w:color w:val="000000" w:themeColor="text1"/>
                <w:kern w:val="0"/>
              </w:rPr>
              <w:t>-24.87%</w:t>
            </w:r>
          </w:p>
        </w:tc>
        <w:tc>
          <w:tcPr>
            <w:tcW w:w="1161" w:type="dxa"/>
            <w:vAlign w:val="center"/>
          </w:tcPr>
          <w:p w:rsidR="00E23821" w:rsidRDefault="00F778C4">
            <w:pPr>
              <w:jc w:val="center"/>
            </w:pPr>
            <w:r>
              <w:rPr>
                <w:rFonts w:eastAsiaTheme="minorEastAsia"/>
                <w:color w:val="000000" w:themeColor="text1"/>
                <w:kern w:val="0"/>
              </w:rPr>
              <w:t>1.37%</w:t>
            </w:r>
          </w:p>
        </w:tc>
        <w:tc>
          <w:tcPr>
            <w:tcW w:w="1181" w:type="dxa"/>
            <w:vAlign w:val="center"/>
          </w:tcPr>
          <w:p w:rsidR="00E23821" w:rsidRDefault="00F778C4">
            <w:pPr>
              <w:jc w:val="center"/>
            </w:pPr>
            <w:r>
              <w:rPr>
                <w:rFonts w:eastAsiaTheme="minorEastAsia"/>
                <w:color w:val="000000" w:themeColor="text1"/>
                <w:kern w:val="0"/>
              </w:rPr>
              <w:t>-7.43%</w:t>
            </w:r>
          </w:p>
        </w:tc>
        <w:tc>
          <w:tcPr>
            <w:tcW w:w="1188" w:type="dxa"/>
            <w:vAlign w:val="center"/>
          </w:tcPr>
          <w:p w:rsidR="00E23821" w:rsidRDefault="00F778C4">
            <w:pPr>
              <w:jc w:val="center"/>
            </w:pPr>
            <w:r>
              <w:rPr>
                <w:rFonts w:eastAsiaTheme="minorEastAsia"/>
                <w:color w:val="000000" w:themeColor="text1"/>
                <w:kern w:val="0"/>
              </w:rPr>
              <w:t>0.69%</w:t>
            </w:r>
          </w:p>
        </w:tc>
        <w:tc>
          <w:tcPr>
            <w:tcW w:w="1199" w:type="dxa"/>
            <w:vAlign w:val="center"/>
          </w:tcPr>
          <w:p w:rsidR="00E23821" w:rsidRDefault="00F778C4">
            <w:pPr>
              <w:jc w:val="center"/>
            </w:pPr>
            <w:r>
              <w:rPr>
                <w:rFonts w:eastAsiaTheme="minorEastAsia"/>
                <w:color w:val="000000" w:themeColor="text1"/>
                <w:kern w:val="0"/>
              </w:rPr>
              <w:t>-17.44%</w:t>
            </w:r>
          </w:p>
        </w:tc>
        <w:tc>
          <w:tcPr>
            <w:tcW w:w="1204" w:type="dxa"/>
            <w:vAlign w:val="center"/>
          </w:tcPr>
          <w:p w:rsidR="00E23821" w:rsidRDefault="00F778C4">
            <w:pPr>
              <w:jc w:val="center"/>
            </w:pPr>
            <w:r>
              <w:rPr>
                <w:rFonts w:eastAsiaTheme="minorEastAsia"/>
                <w:color w:val="000000" w:themeColor="text1"/>
                <w:kern w:val="0"/>
              </w:rPr>
              <w:t>0.68%</w:t>
            </w:r>
          </w:p>
        </w:tc>
      </w:tr>
      <w:tr w:rsidR="00E23821">
        <w:tc>
          <w:tcPr>
            <w:tcW w:w="1395" w:type="dxa"/>
            <w:vAlign w:val="center"/>
          </w:tcPr>
          <w:p w:rsidR="00E23821" w:rsidRDefault="00F778C4">
            <w:pPr>
              <w:jc w:val="left"/>
            </w:pPr>
            <w:r>
              <w:rPr>
                <w:rFonts w:eastAsiaTheme="minorEastAsia"/>
                <w:color w:val="000000" w:themeColor="text1"/>
                <w:kern w:val="0"/>
              </w:rPr>
              <w:t>过去一年</w:t>
            </w:r>
          </w:p>
        </w:tc>
        <w:tc>
          <w:tcPr>
            <w:tcW w:w="1092" w:type="dxa"/>
            <w:vAlign w:val="center"/>
          </w:tcPr>
          <w:p w:rsidR="00E23821" w:rsidRDefault="00F778C4">
            <w:pPr>
              <w:jc w:val="center"/>
            </w:pPr>
            <w:r>
              <w:rPr>
                <w:rFonts w:eastAsiaTheme="minorEastAsia"/>
                <w:color w:val="000000" w:themeColor="text1"/>
                <w:kern w:val="0"/>
              </w:rPr>
              <w:t>-20.29%</w:t>
            </w:r>
          </w:p>
        </w:tc>
        <w:tc>
          <w:tcPr>
            <w:tcW w:w="1161" w:type="dxa"/>
            <w:vAlign w:val="center"/>
          </w:tcPr>
          <w:p w:rsidR="00E23821" w:rsidRDefault="00F778C4">
            <w:pPr>
              <w:jc w:val="center"/>
            </w:pPr>
            <w:r>
              <w:rPr>
                <w:rFonts w:eastAsiaTheme="minorEastAsia"/>
                <w:color w:val="000000" w:themeColor="text1"/>
                <w:kern w:val="0"/>
              </w:rPr>
              <w:t>1.46%</w:t>
            </w:r>
          </w:p>
        </w:tc>
        <w:tc>
          <w:tcPr>
            <w:tcW w:w="1181" w:type="dxa"/>
            <w:vAlign w:val="center"/>
          </w:tcPr>
          <w:p w:rsidR="00E23821" w:rsidRDefault="00F778C4">
            <w:pPr>
              <w:jc w:val="center"/>
            </w:pPr>
            <w:r>
              <w:rPr>
                <w:rFonts w:eastAsiaTheme="minorEastAsia"/>
                <w:color w:val="000000" w:themeColor="text1"/>
                <w:kern w:val="0"/>
              </w:rPr>
              <w:t>-6.67%</w:t>
            </w:r>
          </w:p>
        </w:tc>
        <w:tc>
          <w:tcPr>
            <w:tcW w:w="1188" w:type="dxa"/>
            <w:vAlign w:val="center"/>
          </w:tcPr>
          <w:p w:rsidR="00E23821" w:rsidRDefault="00F778C4">
            <w:pPr>
              <w:jc w:val="center"/>
            </w:pPr>
            <w:r>
              <w:rPr>
                <w:rFonts w:eastAsiaTheme="minorEastAsia"/>
                <w:color w:val="000000" w:themeColor="text1"/>
                <w:kern w:val="0"/>
              </w:rPr>
              <w:t>0.64%</w:t>
            </w:r>
          </w:p>
        </w:tc>
        <w:tc>
          <w:tcPr>
            <w:tcW w:w="1199" w:type="dxa"/>
            <w:vAlign w:val="center"/>
          </w:tcPr>
          <w:p w:rsidR="00E23821" w:rsidRDefault="00F778C4">
            <w:pPr>
              <w:jc w:val="center"/>
            </w:pPr>
            <w:r>
              <w:rPr>
                <w:rFonts w:eastAsiaTheme="minorEastAsia"/>
                <w:color w:val="000000" w:themeColor="text1"/>
                <w:kern w:val="0"/>
              </w:rPr>
              <w:t>-13.62%</w:t>
            </w:r>
          </w:p>
        </w:tc>
        <w:tc>
          <w:tcPr>
            <w:tcW w:w="1204" w:type="dxa"/>
            <w:vAlign w:val="center"/>
          </w:tcPr>
          <w:p w:rsidR="00E23821" w:rsidRDefault="00F778C4">
            <w:pPr>
              <w:jc w:val="center"/>
            </w:pPr>
            <w:r>
              <w:rPr>
                <w:rFonts w:eastAsiaTheme="minorEastAsia"/>
                <w:color w:val="000000" w:themeColor="text1"/>
                <w:kern w:val="0"/>
              </w:rPr>
              <w:t>0.82%</w:t>
            </w:r>
          </w:p>
        </w:tc>
      </w:tr>
      <w:tr w:rsidR="00E23821">
        <w:tc>
          <w:tcPr>
            <w:tcW w:w="1395" w:type="dxa"/>
            <w:vAlign w:val="center"/>
          </w:tcPr>
          <w:p w:rsidR="00E23821" w:rsidRDefault="00F778C4">
            <w:pPr>
              <w:jc w:val="left"/>
            </w:pPr>
            <w:r>
              <w:rPr>
                <w:rFonts w:eastAsiaTheme="minorEastAsia"/>
                <w:color w:val="000000" w:themeColor="text1"/>
                <w:kern w:val="0"/>
              </w:rPr>
              <w:lastRenderedPageBreak/>
              <w:t>过去三年</w:t>
            </w:r>
          </w:p>
        </w:tc>
        <w:tc>
          <w:tcPr>
            <w:tcW w:w="1092" w:type="dxa"/>
            <w:vAlign w:val="center"/>
          </w:tcPr>
          <w:p w:rsidR="00E23821" w:rsidRDefault="00F778C4">
            <w:pPr>
              <w:jc w:val="center"/>
            </w:pPr>
            <w:r>
              <w:rPr>
                <w:rFonts w:eastAsiaTheme="minorEastAsia"/>
                <w:color w:val="000000" w:themeColor="text1"/>
                <w:kern w:val="0"/>
              </w:rPr>
              <w:t>13.77%</w:t>
            </w:r>
          </w:p>
        </w:tc>
        <w:tc>
          <w:tcPr>
            <w:tcW w:w="1161" w:type="dxa"/>
            <w:vAlign w:val="center"/>
          </w:tcPr>
          <w:p w:rsidR="00E23821" w:rsidRDefault="00F778C4">
            <w:pPr>
              <w:jc w:val="center"/>
            </w:pPr>
            <w:r>
              <w:rPr>
                <w:rFonts w:eastAsiaTheme="minorEastAsia"/>
                <w:color w:val="000000" w:themeColor="text1"/>
                <w:kern w:val="0"/>
              </w:rPr>
              <w:t>1.73%</w:t>
            </w:r>
          </w:p>
        </w:tc>
        <w:tc>
          <w:tcPr>
            <w:tcW w:w="1181" w:type="dxa"/>
            <w:vAlign w:val="center"/>
          </w:tcPr>
          <w:p w:rsidR="00E23821" w:rsidRDefault="00F778C4">
            <w:pPr>
              <w:jc w:val="center"/>
            </w:pPr>
            <w:r>
              <w:rPr>
                <w:rFonts w:eastAsiaTheme="minorEastAsia"/>
                <w:color w:val="000000" w:themeColor="text1"/>
                <w:kern w:val="0"/>
              </w:rPr>
              <w:t>7.19%</w:t>
            </w:r>
          </w:p>
        </w:tc>
        <w:tc>
          <w:tcPr>
            <w:tcW w:w="1188" w:type="dxa"/>
            <w:vAlign w:val="center"/>
          </w:tcPr>
          <w:p w:rsidR="00E23821" w:rsidRDefault="00F778C4">
            <w:pPr>
              <w:jc w:val="center"/>
            </w:pPr>
            <w:r>
              <w:rPr>
                <w:rFonts w:eastAsiaTheme="minorEastAsia"/>
                <w:color w:val="000000" w:themeColor="text1"/>
                <w:kern w:val="0"/>
              </w:rPr>
              <w:t>0.75%</w:t>
            </w:r>
          </w:p>
        </w:tc>
        <w:tc>
          <w:tcPr>
            <w:tcW w:w="1199" w:type="dxa"/>
            <w:vAlign w:val="center"/>
          </w:tcPr>
          <w:p w:rsidR="00E23821" w:rsidRDefault="00F778C4">
            <w:pPr>
              <w:jc w:val="center"/>
            </w:pPr>
            <w:r>
              <w:rPr>
                <w:rFonts w:eastAsiaTheme="minorEastAsia"/>
                <w:color w:val="000000" w:themeColor="text1"/>
                <w:kern w:val="0"/>
              </w:rPr>
              <w:t>6.58%</w:t>
            </w:r>
          </w:p>
        </w:tc>
        <w:tc>
          <w:tcPr>
            <w:tcW w:w="1204" w:type="dxa"/>
            <w:vAlign w:val="center"/>
          </w:tcPr>
          <w:p w:rsidR="00E23821" w:rsidRDefault="00F778C4">
            <w:pPr>
              <w:jc w:val="center"/>
            </w:pPr>
            <w:r>
              <w:rPr>
                <w:rFonts w:eastAsiaTheme="minorEastAsia"/>
                <w:color w:val="000000" w:themeColor="text1"/>
                <w:kern w:val="0"/>
              </w:rPr>
              <w:t>0.98%</w:t>
            </w:r>
          </w:p>
        </w:tc>
      </w:tr>
      <w:tr w:rsidR="00E23821">
        <w:tc>
          <w:tcPr>
            <w:tcW w:w="1395" w:type="dxa"/>
            <w:vAlign w:val="center"/>
          </w:tcPr>
          <w:p w:rsidR="00E23821" w:rsidRDefault="00F778C4">
            <w:pPr>
              <w:jc w:val="left"/>
            </w:pPr>
            <w:r>
              <w:rPr>
                <w:rFonts w:eastAsiaTheme="minorEastAsia"/>
                <w:color w:val="000000" w:themeColor="text1"/>
                <w:kern w:val="0"/>
              </w:rPr>
              <w:t>过去五年</w:t>
            </w:r>
          </w:p>
        </w:tc>
        <w:tc>
          <w:tcPr>
            <w:tcW w:w="1092" w:type="dxa"/>
            <w:vAlign w:val="center"/>
          </w:tcPr>
          <w:p w:rsidR="00E23821" w:rsidRDefault="00F778C4">
            <w:pPr>
              <w:jc w:val="center"/>
            </w:pPr>
            <w:r>
              <w:rPr>
                <w:rFonts w:eastAsiaTheme="minorEastAsia"/>
                <w:color w:val="000000" w:themeColor="text1"/>
                <w:kern w:val="0"/>
              </w:rPr>
              <w:t>8.90%</w:t>
            </w:r>
          </w:p>
        </w:tc>
        <w:tc>
          <w:tcPr>
            <w:tcW w:w="1161" w:type="dxa"/>
            <w:vAlign w:val="center"/>
          </w:tcPr>
          <w:p w:rsidR="00E23821" w:rsidRDefault="00F778C4">
            <w:pPr>
              <w:jc w:val="center"/>
            </w:pPr>
            <w:r>
              <w:rPr>
                <w:rFonts w:eastAsiaTheme="minorEastAsia"/>
                <w:color w:val="000000" w:themeColor="text1"/>
                <w:kern w:val="0"/>
              </w:rPr>
              <w:t>1.71%</w:t>
            </w:r>
          </w:p>
        </w:tc>
        <w:tc>
          <w:tcPr>
            <w:tcW w:w="1181" w:type="dxa"/>
            <w:vAlign w:val="center"/>
          </w:tcPr>
          <w:p w:rsidR="00E23821" w:rsidRDefault="00F778C4">
            <w:pPr>
              <w:jc w:val="center"/>
            </w:pPr>
            <w:r>
              <w:rPr>
                <w:rFonts w:eastAsiaTheme="minorEastAsia"/>
                <w:color w:val="000000" w:themeColor="text1"/>
                <w:kern w:val="0"/>
              </w:rPr>
              <w:t>11.55%</w:t>
            </w:r>
          </w:p>
        </w:tc>
        <w:tc>
          <w:tcPr>
            <w:tcW w:w="1188" w:type="dxa"/>
            <w:vAlign w:val="center"/>
          </w:tcPr>
          <w:p w:rsidR="00E23821" w:rsidRDefault="00F778C4">
            <w:pPr>
              <w:jc w:val="center"/>
            </w:pPr>
            <w:r>
              <w:rPr>
                <w:rFonts w:eastAsiaTheme="minorEastAsia"/>
                <w:color w:val="000000" w:themeColor="text1"/>
                <w:kern w:val="0"/>
              </w:rPr>
              <w:t>0.73%</w:t>
            </w:r>
          </w:p>
        </w:tc>
        <w:tc>
          <w:tcPr>
            <w:tcW w:w="1199" w:type="dxa"/>
            <w:vAlign w:val="center"/>
          </w:tcPr>
          <w:p w:rsidR="00E23821" w:rsidRDefault="00F778C4">
            <w:pPr>
              <w:jc w:val="center"/>
            </w:pPr>
            <w:r>
              <w:rPr>
                <w:rFonts w:eastAsiaTheme="minorEastAsia"/>
                <w:color w:val="000000" w:themeColor="text1"/>
                <w:kern w:val="0"/>
              </w:rPr>
              <w:t>-2.65%</w:t>
            </w:r>
          </w:p>
        </w:tc>
        <w:tc>
          <w:tcPr>
            <w:tcW w:w="1204" w:type="dxa"/>
            <w:vAlign w:val="center"/>
          </w:tcPr>
          <w:p w:rsidR="00E23821" w:rsidRDefault="00F778C4">
            <w:pPr>
              <w:jc w:val="center"/>
            </w:pPr>
            <w:r>
              <w:rPr>
                <w:rFonts w:eastAsiaTheme="minorEastAsia"/>
                <w:color w:val="000000" w:themeColor="text1"/>
                <w:kern w:val="0"/>
              </w:rPr>
              <w:t>0.98%</w:t>
            </w:r>
          </w:p>
        </w:tc>
      </w:tr>
      <w:tr w:rsidR="00E23821">
        <w:tc>
          <w:tcPr>
            <w:tcW w:w="1395" w:type="dxa"/>
            <w:vAlign w:val="center"/>
          </w:tcPr>
          <w:p w:rsidR="00E23821" w:rsidRDefault="00F778C4">
            <w:pPr>
              <w:jc w:val="left"/>
            </w:pPr>
            <w:r>
              <w:rPr>
                <w:rFonts w:eastAsiaTheme="minorEastAsia"/>
                <w:color w:val="000000" w:themeColor="text1"/>
                <w:kern w:val="0"/>
              </w:rPr>
              <w:t>自基金合同生效起至今</w:t>
            </w:r>
          </w:p>
        </w:tc>
        <w:tc>
          <w:tcPr>
            <w:tcW w:w="1092" w:type="dxa"/>
            <w:vAlign w:val="center"/>
          </w:tcPr>
          <w:p w:rsidR="00E23821" w:rsidRDefault="00F778C4">
            <w:pPr>
              <w:jc w:val="center"/>
            </w:pPr>
            <w:r>
              <w:rPr>
                <w:rFonts w:eastAsiaTheme="minorEastAsia"/>
                <w:color w:val="000000" w:themeColor="text1"/>
                <w:kern w:val="0"/>
              </w:rPr>
              <w:t>-0.79%</w:t>
            </w:r>
          </w:p>
        </w:tc>
        <w:tc>
          <w:tcPr>
            <w:tcW w:w="1161" w:type="dxa"/>
            <w:vAlign w:val="center"/>
          </w:tcPr>
          <w:p w:rsidR="00E23821" w:rsidRDefault="00F778C4">
            <w:pPr>
              <w:jc w:val="center"/>
            </w:pPr>
            <w:r>
              <w:rPr>
                <w:rFonts w:eastAsiaTheme="minorEastAsia"/>
                <w:color w:val="000000" w:themeColor="text1"/>
                <w:kern w:val="0"/>
              </w:rPr>
              <w:t>1.63%</w:t>
            </w:r>
          </w:p>
        </w:tc>
        <w:tc>
          <w:tcPr>
            <w:tcW w:w="1181" w:type="dxa"/>
            <w:vAlign w:val="center"/>
          </w:tcPr>
          <w:p w:rsidR="00E23821" w:rsidRDefault="00F778C4">
            <w:pPr>
              <w:jc w:val="center"/>
            </w:pPr>
            <w:r>
              <w:rPr>
                <w:rFonts w:eastAsiaTheme="minorEastAsia"/>
                <w:color w:val="000000" w:themeColor="text1"/>
                <w:kern w:val="0"/>
              </w:rPr>
              <w:t>1.22%</w:t>
            </w:r>
          </w:p>
        </w:tc>
        <w:tc>
          <w:tcPr>
            <w:tcW w:w="1188" w:type="dxa"/>
            <w:vAlign w:val="center"/>
          </w:tcPr>
          <w:p w:rsidR="00E23821" w:rsidRDefault="00F778C4">
            <w:pPr>
              <w:jc w:val="center"/>
            </w:pPr>
            <w:r>
              <w:rPr>
                <w:rFonts w:eastAsiaTheme="minorEastAsia"/>
                <w:color w:val="000000" w:themeColor="text1"/>
                <w:kern w:val="0"/>
              </w:rPr>
              <w:t>0.75%</w:t>
            </w:r>
          </w:p>
        </w:tc>
        <w:tc>
          <w:tcPr>
            <w:tcW w:w="1199" w:type="dxa"/>
            <w:vAlign w:val="center"/>
          </w:tcPr>
          <w:p w:rsidR="00E23821" w:rsidRDefault="00F778C4">
            <w:pPr>
              <w:jc w:val="center"/>
            </w:pPr>
            <w:r>
              <w:rPr>
                <w:rFonts w:eastAsiaTheme="minorEastAsia"/>
                <w:color w:val="000000" w:themeColor="text1"/>
                <w:kern w:val="0"/>
              </w:rPr>
              <w:t>-2.01%</w:t>
            </w:r>
          </w:p>
        </w:tc>
        <w:tc>
          <w:tcPr>
            <w:tcW w:w="1204" w:type="dxa"/>
            <w:vAlign w:val="center"/>
          </w:tcPr>
          <w:p w:rsidR="00E23821" w:rsidRDefault="00F778C4">
            <w:pPr>
              <w:jc w:val="center"/>
            </w:pPr>
            <w:r>
              <w:rPr>
                <w:rFonts w:eastAsiaTheme="minorEastAsia"/>
                <w:color w:val="000000" w:themeColor="text1"/>
                <w:kern w:val="0"/>
              </w:rPr>
              <w:t>0.88%</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上投摩根文体休闲灵活配置混合型证券投资基金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(2015</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12</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23</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2022</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3</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31</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E23821" w:rsidRDefault="00F778C4">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w:t>
      </w:r>
      <w:r>
        <w:rPr>
          <w:rFonts w:eastAsiaTheme="minorEastAsia"/>
          <w:color w:val="000000" w:themeColor="text1"/>
        </w:rPr>
        <w:t>23</w:t>
      </w:r>
      <w:r>
        <w:rPr>
          <w:rFonts w:eastAsiaTheme="minorEastAsia"/>
          <w:color w:val="000000" w:themeColor="text1"/>
        </w:rPr>
        <w:t>日，图示的时间段为合同生效日至本报告期末。</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本基金建仓期为本基金合同生效日起</w:t>
      </w:r>
      <w:r w:rsidRPr="00FF6B9A">
        <w:rPr>
          <w:rFonts w:eastAsiaTheme="minorEastAsia"/>
          <w:color w:val="000000" w:themeColor="text1"/>
        </w:rPr>
        <w:t>6</w:t>
      </w:r>
      <w:r w:rsidRPr="00FF6B9A">
        <w:rPr>
          <w:rFonts w:eastAsiaTheme="minorEastAsia"/>
          <w:color w:val="000000" w:themeColor="text1"/>
        </w:rPr>
        <w:t>个月，建仓期结束时资产配置比例符合本基金基金合同规定。</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E23821">
        <w:tc>
          <w:tcPr>
            <w:tcW w:w="851" w:type="dxa"/>
            <w:vAlign w:val="center"/>
          </w:tcPr>
          <w:p w:rsidR="00E23821" w:rsidRDefault="00F778C4">
            <w:pPr>
              <w:jc w:val="center"/>
            </w:pPr>
            <w:r>
              <w:rPr>
                <w:rFonts w:eastAsiaTheme="minorEastAsia"/>
                <w:color w:val="000000" w:themeColor="text1"/>
              </w:rPr>
              <w:lastRenderedPageBreak/>
              <w:t>周战海</w:t>
            </w:r>
          </w:p>
        </w:tc>
        <w:tc>
          <w:tcPr>
            <w:tcW w:w="850" w:type="dxa"/>
            <w:vAlign w:val="center"/>
          </w:tcPr>
          <w:p w:rsidR="00E23821" w:rsidRDefault="00F778C4">
            <w:pPr>
              <w:jc w:val="center"/>
            </w:pPr>
            <w:r>
              <w:rPr>
                <w:rFonts w:eastAsiaTheme="minorEastAsia"/>
                <w:color w:val="000000" w:themeColor="text1"/>
              </w:rPr>
              <w:t>本基金基金经理</w:t>
            </w:r>
          </w:p>
        </w:tc>
        <w:tc>
          <w:tcPr>
            <w:tcW w:w="1560" w:type="dxa"/>
            <w:vAlign w:val="center"/>
          </w:tcPr>
          <w:p w:rsidR="00E23821" w:rsidRDefault="00F778C4">
            <w:pPr>
              <w:jc w:val="center"/>
            </w:pPr>
            <w:r>
              <w:rPr>
                <w:rFonts w:eastAsiaTheme="minorEastAsia"/>
                <w:color w:val="000000" w:themeColor="text1"/>
              </w:rPr>
              <w:t>2015-12-23</w:t>
            </w:r>
          </w:p>
        </w:tc>
        <w:tc>
          <w:tcPr>
            <w:tcW w:w="1559" w:type="dxa"/>
            <w:vAlign w:val="center"/>
          </w:tcPr>
          <w:p w:rsidR="00E23821" w:rsidRDefault="00F778C4">
            <w:pPr>
              <w:jc w:val="center"/>
            </w:pPr>
            <w:r>
              <w:rPr>
                <w:rFonts w:eastAsiaTheme="minorEastAsia"/>
                <w:color w:val="000000" w:themeColor="text1"/>
              </w:rPr>
              <w:t>-</w:t>
            </w:r>
          </w:p>
        </w:tc>
        <w:tc>
          <w:tcPr>
            <w:tcW w:w="1417" w:type="dxa"/>
            <w:vAlign w:val="center"/>
          </w:tcPr>
          <w:p w:rsidR="00E23821" w:rsidRDefault="00F778C4">
            <w:pPr>
              <w:jc w:val="center"/>
            </w:pPr>
            <w:r>
              <w:rPr>
                <w:rFonts w:eastAsiaTheme="minorEastAsia"/>
                <w:color w:val="000000" w:themeColor="text1"/>
              </w:rPr>
              <w:t>15</w:t>
            </w:r>
            <w:r>
              <w:rPr>
                <w:rFonts w:eastAsiaTheme="minorEastAsia"/>
                <w:color w:val="000000" w:themeColor="text1"/>
              </w:rPr>
              <w:t>年</w:t>
            </w:r>
          </w:p>
        </w:tc>
        <w:tc>
          <w:tcPr>
            <w:tcW w:w="2694" w:type="dxa"/>
            <w:vAlign w:val="center"/>
          </w:tcPr>
          <w:p w:rsidR="00E23821" w:rsidRDefault="00F778C4">
            <w:r>
              <w:rPr>
                <w:rFonts w:eastAsiaTheme="minorEastAsia"/>
                <w:color w:val="000000" w:themeColor="text1"/>
              </w:rPr>
              <w:t>周战海先生</w:t>
            </w:r>
            <w:r>
              <w:rPr>
                <w:rFonts w:eastAsiaTheme="minorEastAsia"/>
                <w:color w:val="000000" w:themeColor="text1"/>
              </w:rPr>
              <w:t>2007</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月至</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月在国金证券股份有限公司担任分析师，</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月至</w:t>
            </w:r>
            <w:r>
              <w:rPr>
                <w:rFonts w:eastAsiaTheme="minorEastAsia"/>
                <w:color w:val="000000" w:themeColor="text1"/>
              </w:rPr>
              <w:t>2010</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月在太平洋资产管理有限公司担任研究员。</w:t>
            </w:r>
            <w:r>
              <w:rPr>
                <w:rFonts w:eastAsiaTheme="minorEastAsia"/>
                <w:color w:val="000000" w:themeColor="text1"/>
              </w:rPr>
              <w:t>2010</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月起加入上投摩根基金管理有限公司，历任行业专家、基金经理助理、基金经理、高级基金经理。自</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月起担任上投摩根文体休闲灵活配置混合型证券投资基金基金经理，自</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2</w:t>
            </w:r>
            <w:r>
              <w:rPr>
                <w:rFonts w:eastAsiaTheme="minorEastAsia"/>
                <w:color w:val="000000" w:themeColor="text1"/>
              </w:rPr>
              <w:t>月起同时担任上投摩根健康品质生活混合型证券投资基金基金经理，自</w:t>
            </w:r>
            <w:r>
              <w:rPr>
                <w:rFonts w:eastAsiaTheme="minorEastAsia"/>
                <w:color w:val="000000" w:themeColor="text1"/>
              </w:rPr>
              <w:t>2022</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月起同时担任上投摩根整合驱动灵活配置混合型证券投资基金基金经理。</w:t>
            </w:r>
          </w:p>
        </w:tc>
      </w:tr>
    </w:tbl>
    <w:p w:rsidR="00E23821" w:rsidRDefault="00F778C4">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w:t>
      </w:r>
      <w:r>
        <w:rPr>
          <w:rFonts w:eastAsiaTheme="minorEastAsia"/>
          <w:color w:val="000000" w:themeColor="text1"/>
        </w:rPr>
        <w:t>1.</w:t>
      </w:r>
      <w:r>
        <w:rPr>
          <w:rFonts w:eastAsiaTheme="minorEastAsia"/>
          <w:color w:val="000000" w:themeColor="text1"/>
        </w:rPr>
        <w:t>任职日期和离任日期均指根据公司决定确定的聘任日期和解聘日期。</w:t>
      </w:r>
    </w:p>
    <w:p w:rsidR="00E23821" w:rsidRDefault="00F778C4">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2.</w:t>
      </w:r>
      <w:r>
        <w:rPr>
          <w:rFonts w:eastAsiaTheme="minorEastAsia"/>
          <w:color w:val="000000" w:themeColor="text1"/>
        </w:rPr>
        <w:t>周战海先生为本基金首任基金经理，其任职日期指本基金基金合同生效之日。</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3.</w:t>
      </w:r>
      <w:r w:rsidRPr="00FF6B9A">
        <w:rPr>
          <w:rFonts w:eastAsiaTheme="minorEastAsia"/>
          <w:color w:val="000000" w:themeColor="text1"/>
        </w:rPr>
        <w:t>证券从业的含义遵从行业协会《证券业从业人员资格管理办法》的相关规定。</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文体休闲灵活配置混合型证券投资基金基金合同》的规定。基金经理对个股和投资组合的比例遵循了投资决策委员会的授权限制，基金投资比例符合基金合同和法律法规的要求。</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E23821" w:rsidRDefault="00F778C4">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E23821" w:rsidRDefault="00F778C4">
      <w:pPr>
        <w:spacing w:line="360" w:lineRule="auto"/>
        <w:ind w:firstLineChars="200" w:firstLine="420"/>
        <w:rPr>
          <w:rFonts w:eastAsiaTheme="minorEastAsia"/>
          <w:color w:val="000000" w:themeColor="text1"/>
        </w:rPr>
      </w:pPr>
      <w:r>
        <w:rPr>
          <w:rFonts w:eastAsiaTheme="minorEastAsia"/>
          <w:color w:val="000000" w:themeColor="text1"/>
        </w:rPr>
        <w:lastRenderedPageBreak/>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E23821" w:rsidRDefault="00F778C4">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E23821" w:rsidRDefault="00F778C4">
      <w:pPr>
        <w:spacing w:line="360" w:lineRule="auto"/>
        <w:ind w:firstLineChars="200" w:firstLine="420"/>
        <w:rPr>
          <w:rFonts w:eastAsiaTheme="minorEastAsia"/>
          <w:color w:val="000000" w:themeColor="text1"/>
        </w:rPr>
      </w:pPr>
      <w:r>
        <w:rPr>
          <w:rFonts w:eastAsiaTheme="minorEastAsia"/>
          <w:color w:val="000000" w:themeColor="text1"/>
        </w:rPr>
        <w:t>2022</w:t>
      </w:r>
      <w:r>
        <w:rPr>
          <w:rFonts w:eastAsiaTheme="minorEastAsia"/>
          <w:color w:val="000000" w:themeColor="text1"/>
        </w:rPr>
        <w:t>年一季度，国内</w:t>
      </w:r>
      <w:r>
        <w:rPr>
          <w:rFonts w:eastAsiaTheme="minorEastAsia"/>
          <w:color w:val="000000" w:themeColor="text1"/>
        </w:rPr>
        <w:t>A</w:t>
      </w:r>
      <w:r>
        <w:rPr>
          <w:rFonts w:eastAsiaTheme="minorEastAsia"/>
          <w:color w:val="000000" w:themeColor="text1"/>
        </w:rPr>
        <w:t>股市场经历了大幅度调整，特别是</w:t>
      </w:r>
      <w:r>
        <w:rPr>
          <w:rFonts w:eastAsiaTheme="minorEastAsia"/>
          <w:color w:val="000000" w:themeColor="text1"/>
        </w:rPr>
        <w:t>3</w:t>
      </w:r>
      <w:r>
        <w:rPr>
          <w:rFonts w:eastAsiaTheme="minorEastAsia"/>
          <w:color w:val="000000" w:themeColor="text1"/>
        </w:rPr>
        <w:t>月以来，受俄乌战争、美联储加息脚步逼近、中概股大跌及国内疫情多地扩散等利空叠加的影响，悲观情绪蔓延，市场出现大幅下跌。随着金融委会议表态给市场带来极大的信心提振，市场逐步筑底回升。一季度上证综指下跌</w:t>
      </w:r>
      <w:r>
        <w:rPr>
          <w:rFonts w:eastAsiaTheme="minorEastAsia"/>
          <w:color w:val="000000" w:themeColor="text1"/>
        </w:rPr>
        <w:t>10.65%</w:t>
      </w:r>
      <w:r>
        <w:rPr>
          <w:rFonts w:eastAsiaTheme="minorEastAsia"/>
          <w:color w:val="000000" w:themeColor="text1"/>
        </w:rPr>
        <w:t>，深证成指下跌</w:t>
      </w:r>
      <w:r>
        <w:rPr>
          <w:rFonts w:eastAsiaTheme="minorEastAsia"/>
          <w:color w:val="000000" w:themeColor="text1"/>
        </w:rPr>
        <w:t>18.44%</w:t>
      </w:r>
      <w:r>
        <w:rPr>
          <w:rFonts w:eastAsiaTheme="minorEastAsia"/>
          <w:color w:val="000000" w:themeColor="text1"/>
        </w:rPr>
        <w:t>，沪深</w:t>
      </w:r>
      <w:r>
        <w:rPr>
          <w:rFonts w:eastAsiaTheme="minorEastAsia"/>
          <w:color w:val="000000" w:themeColor="text1"/>
        </w:rPr>
        <w:t>300</w:t>
      </w:r>
      <w:r>
        <w:rPr>
          <w:rFonts w:eastAsiaTheme="minorEastAsia"/>
          <w:color w:val="000000" w:themeColor="text1"/>
        </w:rPr>
        <w:t>指数下跌</w:t>
      </w:r>
      <w:r>
        <w:rPr>
          <w:rFonts w:eastAsiaTheme="minorEastAsia"/>
          <w:color w:val="000000" w:themeColor="text1"/>
        </w:rPr>
        <w:t>14.53%</w:t>
      </w:r>
      <w:r>
        <w:rPr>
          <w:rFonts w:eastAsiaTheme="minorEastAsia"/>
          <w:color w:val="000000" w:themeColor="text1"/>
        </w:rPr>
        <w:t>，创业板指数下跌</w:t>
      </w:r>
      <w:r>
        <w:rPr>
          <w:rFonts w:eastAsiaTheme="minorEastAsia"/>
          <w:color w:val="000000" w:themeColor="text1"/>
        </w:rPr>
        <w:t>19.96%</w:t>
      </w:r>
      <w:r>
        <w:rPr>
          <w:rFonts w:eastAsiaTheme="minorEastAsia"/>
          <w:color w:val="000000" w:themeColor="text1"/>
        </w:rPr>
        <w:t>，科创</w:t>
      </w:r>
      <w:r>
        <w:rPr>
          <w:rFonts w:eastAsiaTheme="minorEastAsia"/>
          <w:color w:val="000000" w:themeColor="text1"/>
        </w:rPr>
        <w:t>50</w:t>
      </w:r>
      <w:r>
        <w:rPr>
          <w:rFonts w:eastAsiaTheme="minorEastAsia"/>
          <w:color w:val="000000" w:themeColor="text1"/>
        </w:rPr>
        <w:t>指数下跌</w:t>
      </w:r>
      <w:r>
        <w:rPr>
          <w:rFonts w:eastAsiaTheme="minorEastAsia"/>
          <w:color w:val="000000" w:themeColor="text1"/>
        </w:rPr>
        <w:t>21.97%</w:t>
      </w:r>
      <w:r>
        <w:rPr>
          <w:rFonts w:eastAsiaTheme="minorEastAsia"/>
          <w:color w:val="000000" w:themeColor="text1"/>
        </w:rPr>
        <w:t>。行业方面，煤炭、房地产、金融、钢铁、农林牧渔等大周期行业大幅跑赢市场，电子、军工、汽车、电力设备、食品饮料、家用电器、计算机等行</w:t>
      </w:r>
      <w:r>
        <w:rPr>
          <w:rFonts w:eastAsiaTheme="minorEastAsia"/>
          <w:color w:val="000000" w:themeColor="text1"/>
        </w:rPr>
        <w:t>业出现大幅回撤。报告期内，本基金按照契约要求，以科技成长股为主要投资方向，重点投资了半导体、计算机、通信、传媒为主的</w:t>
      </w:r>
      <w:r>
        <w:rPr>
          <w:rFonts w:eastAsiaTheme="minorEastAsia"/>
          <w:color w:val="000000" w:themeColor="text1"/>
        </w:rPr>
        <w:t>TMT</w:t>
      </w:r>
      <w:r>
        <w:rPr>
          <w:rFonts w:eastAsiaTheme="minorEastAsia"/>
          <w:color w:val="000000" w:themeColor="text1"/>
        </w:rPr>
        <w:t>行业，特别增加了元宇宙相关个股的投资。报告期内，受所投资行业大幅下跌的影响，基金净值也出现了明显回撤。</w:t>
      </w:r>
      <w:r>
        <w:rPr>
          <w:rFonts w:eastAsiaTheme="minorEastAsia"/>
          <w:color w:val="000000" w:themeColor="text1"/>
        </w:rPr>
        <w:t xml:space="preserve"> </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展望</w:t>
      </w:r>
      <w:r w:rsidRPr="00FF6B9A">
        <w:rPr>
          <w:rFonts w:eastAsiaTheme="minorEastAsia"/>
          <w:color w:val="000000" w:themeColor="text1"/>
        </w:rPr>
        <w:t>2021</w:t>
      </w:r>
      <w:r w:rsidRPr="00FF6B9A">
        <w:rPr>
          <w:rFonts w:eastAsiaTheme="minorEastAsia"/>
          <w:color w:val="000000" w:themeColor="text1"/>
        </w:rPr>
        <w:t>年二季度</w:t>
      </w:r>
      <w:r w:rsidRPr="00FF6B9A">
        <w:rPr>
          <w:rFonts w:eastAsiaTheme="minorEastAsia"/>
          <w:color w:val="000000" w:themeColor="text1"/>
        </w:rPr>
        <w:t>, PMI</w:t>
      </w:r>
      <w:r w:rsidRPr="00FF6B9A">
        <w:rPr>
          <w:rFonts w:eastAsiaTheme="minorEastAsia"/>
          <w:color w:val="000000" w:themeColor="text1"/>
        </w:rPr>
        <w:t>受疫情影响已回落至荣枯线下方，无论是金融委还是两会表态看，目前经济下行压力仍大，但地产、稳增长、防疫已经开始向积极方向变化，有望扭转对于企业盈利的悲观预期。政策方面，考虑到目前信用环境基本走平，要支撑</w:t>
      </w:r>
      <w:r w:rsidRPr="00FF6B9A">
        <w:rPr>
          <w:rFonts w:eastAsiaTheme="minorEastAsia"/>
          <w:color w:val="000000" w:themeColor="text1"/>
        </w:rPr>
        <w:t>5.5%</w:t>
      </w:r>
      <w:r w:rsidRPr="00FF6B9A">
        <w:rPr>
          <w:rFonts w:eastAsiaTheme="minorEastAsia"/>
          <w:color w:val="000000" w:themeColor="text1"/>
        </w:rPr>
        <w:t>增速目标难度较大，后续仍需政策进一步支持。货币政策方面，美联储货币政策延续边际收紧，国内继续宽松，</w:t>
      </w:r>
      <w:r w:rsidRPr="00FF6B9A">
        <w:rPr>
          <w:rFonts w:eastAsiaTheme="minorEastAsia"/>
          <w:color w:val="000000" w:themeColor="text1"/>
        </w:rPr>
        <w:t>“</w:t>
      </w:r>
      <w:r w:rsidRPr="00FF6B9A">
        <w:rPr>
          <w:rFonts w:eastAsiaTheme="minorEastAsia"/>
          <w:color w:val="000000" w:themeColor="text1"/>
        </w:rPr>
        <w:t>外紧内松，以我为主</w:t>
      </w:r>
      <w:r w:rsidRPr="00FF6B9A">
        <w:rPr>
          <w:rFonts w:eastAsiaTheme="minorEastAsia"/>
          <w:color w:val="000000" w:themeColor="text1"/>
        </w:rPr>
        <w:t>”</w:t>
      </w:r>
      <w:r w:rsidRPr="00FF6B9A">
        <w:rPr>
          <w:rFonts w:eastAsiaTheme="minorEastAsia"/>
          <w:color w:val="000000" w:themeColor="text1"/>
        </w:rPr>
        <w:t>是主基调。我们认为二季度影响</w:t>
      </w:r>
      <w:r w:rsidRPr="00FF6B9A">
        <w:rPr>
          <w:rFonts w:eastAsiaTheme="minorEastAsia"/>
          <w:color w:val="000000" w:themeColor="text1"/>
        </w:rPr>
        <w:t>A</w:t>
      </w:r>
      <w:r w:rsidRPr="00FF6B9A">
        <w:rPr>
          <w:rFonts w:eastAsiaTheme="minorEastAsia"/>
          <w:color w:val="000000" w:themeColor="text1"/>
        </w:rPr>
        <w:t>股表现的负面因素有望逐渐落地，</w:t>
      </w:r>
      <w:r w:rsidRPr="00FF6B9A">
        <w:rPr>
          <w:rFonts w:eastAsiaTheme="minorEastAsia"/>
          <w:color w:val="000000" w:themeColor="text1"/>
        </w:rPr>
        <w:t>A</w:t>
      </w:r>
      <w:r w:rsidRPr="00FF6B9A">
        <w:rPr>
          <w:rFonts w:eastAsiaTheme="minorEastAsia"/>
          <w:color w:val="000000" w:themeColor="text1"/>
        </w:rPr>
        <w:t>股将会逐渐扭转颓势。文化传媒指数调整了近</w:t>
      </w:r>
      <w:r w:rsidRPr="00FF6B9A">
        <w:rPr>
          <w:rFonts w:eastAsiaTheme="minorEastAsia"/>
          <w:color w:val="000000" w:themeColor="text1"/>
        </w:rPr>
        <w:t>7</w:t>
      </w:r>
      <w:r w:rsidRPr="00FF6B9A">
        <w:rPr>
          <w:rFonts w:eastAsiaTheme="minorEastAsia"/>
          <w:color w:val="000000" w:themeColor="text1"/>
        </w:rPr>
        <w:t>年时间，整体上来看行业估</w:t>
      </w:r>
      <w:r w:rsidRPr="00FF6B9A">
        <w:rPr>
          <w:rFonts w:eastAsiaTheme="minorEastAsia"/>
          <w:color w:val="000000" w:themeColor="text1"/>
        </w:rPr>
        <w:lastRenderedPageBreak/>
        <w:t>值处于相对低位。未来伴随</w:t>
      </w:r>
      <w:r w:rsidRPr="00FF6B9A">
        <w:rPr>
          <w:rFonts w:eastAsiaTheme="minorEastAsia"/>
          <w:color w:val="000000" w:themeColor="text1"/>
        </w:rPr>
        <w:t>5G</w:t>
      </w:r>
      <w:r w:rsidRPr="00FF6B9A">
        <w:rPr>
          <w:rFonts w:eastAsiaTheme="minorEastAsia"/>
          <w:color w:val="000000" w:themeColor="text1"/>
        </w:rPr>
        <w:t>渗透率不断提升，同时叠加元宇宙的兴起，整个传媒行业有望持续受益。我们将聚焦具有竞争优势的高科技成长公司，按照基金契约的要求重点投资相关行业里面具有相对估值优势、增长前景确定的高成长龙头公司。我们将加强对上市公司基本面的研究力度，筛选出竞争力持续提升的优秀公司，力争为持有人创造较好回报。</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本报告期上投摩根文体休闲混合份额净值增长率为</w:t>
      </w:r>
      <w:r w:rsidRPr="00FF6B9A">
        <w:rPr>
          <w:rFonts w:eastAsiaTheme="minorEastAsia"/>
          <w:color w:val="000000" w:themeColor="text1"/>
        </w:rPr>
        <w:t>:-22.45%</w:t>
      </w:r>
      <w:r w:rsidRPr="00FF6B9A">
        <w:rPr>
          <w:rFonts w:eastAsiaTheme="minorEastAsia"/>
          <w:color w:val="000000" w:themeColor="text1"/>
        </w:rPr>
        <w:t>，同期业绩比较基准收益率为</w:t>
      </w:r>
      <w:r w:rsidRPr="00FF6B9A">
        <w:rPr>
          <w:rFonts w:eastAsiaTheme="minorEastAsia"/>
          <w:color w:val="000000" w:themeColor="text1"/>
        </w:rPr>
        <w:t>:-8.77%</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4.5</w:t>
      </w:r>
      <w:r w:rsidRPr="00FF6B9A">
        <w:rPr>
          <w:rFonts w:eastAsiaTheme="minorEastAsia"/>
          <w:b/>
          <w:color w:val="000000" w:themeColor="text1"/>
          <w:kern w:val="0"/>
          <w:sz w:val="24"/>
          <w:szCs w:val="24"/>
        </w:rPr>
        <w:t>报告期内基金持有人数或基金资产净值预警说明</w:t>
      </w:r>
    </w:p>
    <w:p w:rsidR="00E23821" w:rsidRDefault="00F778C4">
      <w:pPr>
        <w:spacing w:line="360" w:lineRule="auto"/>
        <w:ind w:firstLineChars="200" w:firstLine="420"/>
        <w:rPr>
          <w:rFonts w:eastAsiaTheme="minorEastAsia"/>
          <w:color w:val="000000" w:themeColor="text1"/>
        </w:rPr>
      </w:pPr>
      <w:r>
        <w:rPr>
          <w:rFonts w:eastAsiaTheme="minorEastAsia"/>
          <w:color w:val="000000" w:themeColor="text1"/>
          <w:kern w:val="0"/>
        </w:rPr>
        <w:t>报告期内，本基金存在连续六十个工作日基金资产净值低于五千万元的情况，出现该情况的时间范围为</w:t>
      </w:r>
      <w:r>
        <w:rPr>
          <w:rFonts w:eastAsiaTheme="minorEastAsia"/>
          <w:color w:val="000000" w:themeColor="text1"/>
          <w:kern w:val="0"/>
        </w:rPr>
        <w:t>2022</w:t>
      </w:r>
      <w:r>
        <w:rPr>
          <w:rFonts w:eastAsiaTheme="minorEastAsia"/>
          <w:color w:val="000000" w:themeColor="text1"/>
          <w:kern w:val="0"/>
        </w:rPr>
        <w:t>年</w:t>
      </w:r>
      <w:r>
        <w:rPr>
          <w:rFonts w:eastAsiaTheme="minorEastAsia"/>
          <w:color w:val="000000" w:themeColor="text1"/>
          <w:kern w:val="0"/>
        </w:rPr>
        <w:t>01</w:t>
      </w:r>
      <w:r>
        <w:rPr>
          <w:rFonts w:eastAsiaTheme="minorEastAsia"/>
          <w:color w:val="000000" w:themeColor="text1"/>
          <w:kern w:val="0"/>
        </w:rPr>
        <w:t>月</w:t>
      </w:r>
      <w:r>
        <w:rPr>
          <w:rFonts w:eastAsiaTheme="minorEastAsia"/>
          <w:color w:val="000000" w:themeColor="text1"/>
          <w:kern w:val="0"/>
        </w:rPr>
        <w:t>01</w:t>
      </w:r>
      <w:r>
        <w:rPr>
          <w:rFonts w:eastAsiaTheme="minorEastAsia"/>
          <w:color w:val="000000" w:themeColor="text1"/>
          <w:kern w:val="0"/>
        </w:rPr>
        <w:t>日至</w:t>
      </w:r>
      <w:r>
        <w:rPr>
          <w:rFonts w:eastAsiaTheme="minorEastAsia"/>
          <w:color w:val="000000" w:themeColor="text1"/>
          <w:kern w:val="0"/>
        </w:rPr>
        <w:t>2022</w:t>
      </w:r>
      <w:r>
        <w:rPr>
          <w:rFonts w:eastAsiaTheme="minorEastAsia"/>
          <w:color w:val="000000" w:themeColor="text1"/>
          <w:kern w:val="0"/>
        </w:rPr>
        <w:t>年</w:t>
      </w:r>
      <w:r>
        <w:rPr>
          <w:rFonts w:eastAsiaTheme="minorEastAsia"/>
          <w:color w:val="000000" w:themeColor="text1"/>
          <w:kern w:val="0"/>
        </w:rPr>
        <w:t>03</w:t>
      </w:r>
      <w:r>
        <w:rPr>
          <w:rFonts w:eastAsiaTheme="minorEastAsia"/>
          <w:color w:val="000000" w:themeColor="text1"/>
          <w:kern w:val="0"/>
        </w:rPr>
        <w:t>月</w:t>
      </w:r>
      <w:r>
        <w:rPr>
          <w:rFonts w:eastAsiaTheme="minorEastAsia"/>
          <w:color w:val="000000" w:themeColor="text1"/>
          <w:kern w:val="0"/>
        </w:rPr>
        <w:t>31</w:t>
      </w:r>
      <w:r>
        <w:rPr>
          <w:rFonts w:eastAsiaTheme="minorEastAsia"/>
          <w:color w:val="000000" w:themeColor="text1"/>
          <w:kern w:val="0"/>
        </w:rPr>
        <w:t>日。</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基金管理人拟调整本基金运作方式，加大营销力度，提升基金规模，方案已报监管机关。</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14,604,548.84</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72.55</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14,604,548.84</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72.55</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4,960,119.56</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24.64</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lastRenderedPageBreak/>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565,545.99</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2.81</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20,130,214.39</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8,947,296.88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45.89</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3,732,603.96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19.14</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375,840.00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1.93</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1,548,808.00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7.94</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14,604,548.84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74.91</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1"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w:t>
            </w:r>
            <w:r w:rsidRPr="00FF6B9A">
              <w:rPr>
                <w:rFonts w:eastAsiaTheme="minorEastAsia"/>
                <w:kern w:val="0"/>
                <w:sz w:val="24"/>
                <w:szCs w:val="24"/>
              </w:rPr>
              <w:lastRenderedPageBreak/>
              <w:t>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E23821">
        <w:tc>
          <w:tcPr>
            <w:tcW w:w="817" w:type="dxa"/>
            <w:vAlign w:val="center"/>
          </w:tcPr>
          <w:p w:rsidR="00E23821" w:rsidRDefault="00F778C4">
            <w:pPr>
              <w:jc w:val="center"/>
            </w:pPr>
            <w:r>
              <w:rPr>
                <w:rFonts w:eastAsiaTheme="minorEastAsia"/>
                <w:kern w:val="0"/>
                <w:sz w:val="24"/>
                <w:szCs w:val="24"/>
              </w:rPr>
              <w:lastRenderedPageBreak/>
              <w:t>1</w:t>
            </w:r>
          </w:p>
        </w:tc>
        <w:tc>
          <w:tcPr>
            <w:tcW w:w="1276" w:type="dxa"/>
            <w:vAlign w:val="center"/>
          </w:tcPr>
          <w:p w:rsidR="00E23821" w:rsidRDefault="00F778C4">
            <w:pPr>
              <w:jc w:val="center"/>
            </w:pPr>
            <w:r>
              <w:rPr>
                <w:rFonts w:eastAsiaTheme="minorEastAsia"/>
                <w:kern w:val="0"/>
                <w:sz w:val="24"/>
                <w:szCs w:val="24"/>
              </w:rPr>
              <w:t>002475</w:t>
            </w:r>
          </w:p>
        </w:tc>
        <w:tc>
          <w:tcPr>
            <w:tcW w:w="1701" w:type="dxa"/>
            <w:vAlign w:val="center"/>
          </w:tcPr>
          <w:p w:rsidR="00E23821" w:rsidRDefault="00F778C4">
            <w:pPr>
              <w:jc w:val="center"/>
            </w:pPr>
            <w:r>
              <w:rPr>
                <w:rFonts w:eastAsiaTheme="minorEastAsia"/>
                <w:kern w:val="0"/>
                <w:sz w:val="24"/>
                <w:szCs w:val="24"/>
              </w:rPr>
              <w:t>立讯精密</w:t>
            </w:r>
          </w:p>
        </w:tc>
        <w:tc>
          <w:tcPr>
            <w:tcW w:w="1276" w:type="dxa"/>
            <w:vAlign w:val="center"/>
          </w:tcPr>
          <w:p w:rsidR="00E23821" w:rsidRDefault="00F778C4">
            <w:pPr>
              <w:jc w:val="right"/>
            </w:pPr>
            <w:r>
              <w:rPr>
                <w:rFonts w:eastAsiaTheme="minorEastAsia"/>
                <w:kern w:val="0"/>
                <w:sz w:val="24"/>
                <w:szCs w:val="24"/>
              </w:rPr>
              <w:t>30,650.00</w:t>
            </w:r>
          </w:p>
        </w:tc>
        <w:tc>
          <w:tcPr>
            <w:tcW w:w="1842" w:type="dxa"/>
            <w:vAlign w:val="center"/>
          </w:tcPr>
          <w:p w:rsidR="00E23821" w:rsidRDefault="00F778C4">
            <w:pPr>
              <w:jc w:val="right"/>
            </w:pPr>
            <w:r>
              <w:rPr>
                <w:rFonts w:eastAsiaTheme="minorEastAsia"/>
                <w:kern w:val="0"/>
                <w:sz w:val="24"/>
                <w:szCs w:val="24"/>
              </w:rPr>
              <w:t>971,605.00</w:t>
            </w:r>
          </w:p>
        </w:tc>
        <w:tc>
          <w:tcPr>
            <w:tcW w:w="1616" w:type="dxa"/>
            <w:vAlign w:val="center"/>
          </w:tcPr>
          <w:p w:rsidR="00E23821" w:rsidRDefault="00F778C4">
            <w:pPr>
              <w:jc w:val="right"/>
            </w:pPr>
            <w:r>
              <w:rPr>
                <w:rFonts w:eastAsiaTheme="minorEastAsia"/>
                <w:kern w:val="0"/>
                <w:sz w:val="24"/>
                <w:szCs w:val="24"/>
              </w:rPr>
              <w:t>4.98</w:t>
            </w:r>
          </w:p>
        </w:tc>
      </w:tr>
      <w:tr w:rsidR="00E23821">
        <w:tc>
          <w:tcPr>
            <w:tcW w:w="817" w:type="dxa"/>
            <w:vAlign w:val="center"/>
          </w:tcPr>
          <w:p w:rsidR="00E23821" w:rsidRDefault="00F778C4">
            <w:pPr>
              <w:jc w:val="center"/>
            </w:pPr>
            <w:r>
              <w:rPr>
                <w:rFonts w:eastAsiaTheme="minorEastAsia"/>
                <w:kern w:val="0"/>
                <w:sz w:val="24"/>
                <w:szCs w:val="24"/>
              </w:rPr>
              <w:t>2</w:t>
            </w:r>
          </w:p>
        </w:tc>
        <w:tc>
          <w:tcPr>
            <w:tcW w:w="1276" w:type="dxa"/>
            <w:vAlign w:val="center"/>
          </w:tcPr>
          <w:p w:rsidR="00E23821" w:rsidRDefault="00F778C4">
            <w:pPr>
              <w:jc w:val="center"/>
            </w:pPr>
            <w:r>
              <w:rPr>
                <w:rFonts w:eastAsiaTheme="minorEastAsia"/>
                <w:kern w:val="0"/>
                <w:sz w:val="24"/>
                <w:szCs w:val="24"/>
              </w:rPr>
              <w:t>000810</w:t>
            </w:r>
          </w:p>
        </w:tc>
        <w:tc>
          <w:tcPr>
            <w:tcW w:w="1701" w:type="dxa"/>
            <w:vAlign w:val="center"/>
          </w:tcPr>
          <w:p w:rsidR="00E23821" w:rsidRDefault="00F778C4">
            <w:pPr>
              <w:jc w:val="center"/>
            </w:pPr>
            <w:r>
              <w:rPr>
                <w:rFonts w:eastAsiaTheme="minorEastAsia"/>
                <w:kern w:val="0"/>
                <w:sz w:val="24"/>
                <w:szCs w:val="24"/>
              </w:rPr>
              <w:t>创维数字</w:t>
            </w:r>
          </w:p>
        </w:tc>
        <w:tc>
          <w:tcPr>
            <w:tcW w:w="1276" w:type="dxa"/>
            <w:vAlign w:val="center"/>
          </w:tcPr>
          <w:p w:rsidR="00E23821" w:rsidRDefault="00F778C4">
            <w:pPr>
              <w:jc w:val="right"/>
            </w:pPr>
            <w:r>
              <w:rPr>
                <w:rFonts w:eastAsiaTheme="minorEastAsia"/>
                <w:kern w:val="0"/>
                <w:sz w:val="24"/>
                <w:szCs w:val="24"/>
              </w:rPr>
              <w:t>55,000.00</w:t>
            </w:r>
          </w:p>
        </w:tc>
        <w:tc>
          <w:tcPr>
            <w:tcW w:w="1842" w:type="dxa"/>
            <w:vAlign w:val="center"/>
          </w:tcPr>
          <w:p w:rsidR="00E23821" w:rsidRDefault="00F778C4">
            <w:pPr>
              <w:jc w:val="right"/>
            </w:pPr>
            <w:r>
              <w:rPr>
                <w:rFonts w:eastAsiaTheme="minorEastAsia"/>
                <w:kern w:val="0"/>
                <w:sz w:val="24"/>
                <w:szCs w:val="24"/>
              </w:rPr>
              <w:t>776,600.00</w:t>
            </w:r>
          </w:p>
        </w:tc>
        <w:tc>
          <w:tcPr>
            <w:tcW w:w="1616" w:type="dxa"/>
            <w:vAlign w:val="center"/>
          </w:tcPr>
          <w:p w:rsidR="00E23821" w:rsidRDefault="00F778C4">
            <w:pPr>
              <w:jc w:val="right"/>
            </w:pPr>
            <w:r>
              <w:rPr>
                <w:rFonts w:eastAsiaTheme="minorEastAsia"/>
                <w:kern w:val="0"/>
                <w:sz w:val="24"/>
                <w:szCs w:val="24"/>
              </w:rPr>
              <w:t>3.98</w:t>
            </w:r>
          </w:p>
        </w:tc>
      </w:tr>
      <w:tr w:rsidR="00E23821">
        <w:tc>
          <w:tcPr>
            <w:tcW w:w="817" w:type="dxa"/>
            <w:vAlign w:val="center"/>
          </w:tcPr>
          <w:p w:rsidR="00E23821" w:rsidRDefault="00F778C4">
            <w:pPr>
              <w:jc w:val="center"/>
            </w:pPr>
            <w:r>
              <w:rPr>
                <w:rFonts w:eastAsiaTheme="minorEastAsia"/>
                <w:kern w:val="0"/>
                <w:sz w:val="24"/>
                <w:szCs w:val="24"/>
              </w:rPr>
              <w:t>3</w:t>
            </w:r>
          </w:p>
        </w:tc>
        <w:tc>
          <w:tcPr>
            <w:tcW w:w="1276" w:type="dxa"/>
            <w:vAlign w:val="center"/>
          </w:tcPr>
          <w:p w:rsidR="00E23821" w:rsidRDefault="00F778C4">
            <w:pPr>
              <w:jc w:val="center"/>
            </w:pPr>
            <w:r>
              <w:rPr>
                <w:rFonts w:eastAsiaTheme="minorEastAsia"/>
                <w:kern w:val="0"/>
                <w:sz w:val="24"/>
                <w:szCs w:val="24"/>
              </w:rPr>
              <w:t>603236</w:t>
            </w:r>
          </w:p>
        </w:tc>
        <w:tc>
          <w:tcPr>
            <w:tcW w:w="1701" w:type="dxa"/>
            <w:vAlign w:val="center"/>
          </w:tcPr>
          <w:p w:rsidR="00E23821" w:rsidRDefault="00F778C4">
            <w:pPr>
              <w:jc w:val="center"/>
            </w:pPr>
            <w:r>
              <w:rPr>
                <w:rFonts w:eastAsiaTheme="minorEastAsia"/>
                <w:kern w:val="0"/>
                <w:sz w:val="24"/>
                <w:szCs w:val="24"/>
              </w:rPr>
              <w:t>移远通信</w:t>
            </w:r>
          </w:p>
        </w:tc>
        <w:tc>
          <w:tcPr>
            <w:tcW w:w="1276" w:type="dxa"/>
            <w:vAlign w:val="center"/>
          </w:tcPr>
          <w:p w:rsidR="00E23821" w:rsidRDefault="00F778C4">
            <w:pPr>
              <w:jc w:val="right"/>
            </w:pPr>
            <w:r>
              <w:rPr>
                <w:rFonts w:eastAsiaTheme="minorEastAsia"/>
                <w:kern w:val="0"/>
                <w:sz w:val="24"/>
                <w:szCs w:val="24"/>
              </w:rPr>
              <w:t>3,900.00</w:t>
            </w:r>
          </w:p>
        </w:tc>
        <w:tc>
          <w:tcPr>
            <w:tcW w:w="1842" w:type="dxa"/>
            <w:vAlign w:val="center"/>
          </w:tcPr>
          <w:p w:rsidR="00E23821" w:rsidRDefault="00F778C4">
            <w:pPr>
              <w:jc w:val="right"/>
            </w:pPr>
            <w:r>
              <w:rPr>
                <w:rFonts w:eastAsiaTheme="minorEastAsia"/>
                <w:kern w:val="0"/>
                <w:sz w:val="24"/>
                <w:szCs w:val="24"/>
              </w:rPr>
              <w:t>698,334.00</w:t>
            </w:r>
          </w:p>
        </w:tc>
        <w:tc>
          <w:tcPr>
            <w:tcW w:w="1616" w:type="dxa"/>
            <w:vAlign w:val="center"/>
          </w:tcPr>
          <w:p w:rsidR="00E23821" w:rsidRDefault="00F778C4">
            <w:pPr>
              <w:jc w:val="right"/>
            </w:pPr>
            <w:r>
              <w:rPr>
                <w:rFonts w:eastAsiaTheme="minorEastAsia"/>
                <w:kern w:val="0"/>
                <w:sz w:val="24"/>
                <w:szCs w:val="24"/>
              </w:rPr>
              <w:t>3.58</w:t>
            </w:r>
          </w:p>
        </w:tc>
      </w:tr>
      <w:tr w:rsidR="00E23821">
        <w:tc>
          <w:tcPr>
            <w:tcW w:w="817" w:type="dxa"/>
            <w:vAlign w:val="center"/>
          </w:tcPr>
          <w:p w:rsidR="00E23821" w:rsidRDefault="00F778C4">
            <w:pPr>
              <w:jc w:val="center"/>
            </w:pPr>
            <w:r>
              <w:rPr>
                <w:rFonts w:eastAsiaTheme="minorEastAsia"/>
                <w:kern w:val="0"/>
                <w:sz w:val="24"/>
                <w:szCs w:val="24"/>
              </w:rPr>
              <w:t>4</w:t>
            </w:r>
          </w:p>
        </w:tc>
        <w:tc>
          <w:tcPr>
            <w:tcW w:w="1276" w:type="dxa"/>
            <w:vAlign w:val="center"/>
          </w:tcPr>
          <w:p w:rsidR="00E23821" w:rsidRDefault="00F778C4">
            <w:pPr>
              <w:jc w:val="center"/>
            </w:pPr>
            <w:r>
              <w:rPr>
                <w:rFonts w:eastAsiaTheme="minorEastAsia"/>
                <w:kern w:val="0"/>
                <w:sz w:val="24"/>
                <w:szCs w:val="24"/>
              </w:rPr>
              <w:t>002049</w:t>
            </w:r>
          </w:p>
        </w:tc>
        <w:tc>
          <w:tcPr>
            <w:tcW w:w="1701" w:type="dxa"/>
            <w:vAlign w:val="center"/>
          </w:tcPr>
          <w:p w:rsidR="00E23821" w:rsidRDefault="00F778C4">
            <w:pPr>
              <w:jc w:val="center"/>
            </w:pPr>
            <w:r>
              <w:rPr>
                <w:rFonts w:eastAsiaTheme="minorEastAsia"/>
                <w:kern w:val="0"/>
                <w:sz w:val="24"/>
                <w:szCs w:val="24"/>
              </w:rPr>
              <w:t>紫光国微</w:t>
            </w:r>
          </w:p>
        </w:tc>
        <w:tc>
          <w:tcPr>
            <w:tcW w:w="1276" w:type="dxa"/>
            <w:vAlign w:val="center"/>
          </w:tcPr>
          <w:p w:rsidR="00E23821" w:rsidRDefault="00F778C4">
            <w:pPr>
              <w:jc w:val="right"/>
            </w:pPr>
            <w:r>
              <w:rPr>
                <w:rFonts w:eastAsiaTheme="minorEastAsia"/>
                <w:kern w:val="0"/>
                <w:sz w:val="24"/>
                <w:szCs w:val="24"/>
              </w:rPr>
              <w:t>3,400.00</w:t>
            </w:r>
          </w:p>
        </w:tc>
        <w:tc>
          <w:tcPr>
            <w:tcW w:w="1842" w:type="dxa"/>
            <w:vAlign w:val="center"/>
          </w:tcPr>
          <w:p w:rsidR="00E23821" w:rsidRDefault="00F778C4">
            <w:pPr>
              <w:jc w:val="right"/>
            </w:pPr>
            <w:r>
              <w:rPr>
                <w:rFonts w:eastAsiaTheme="minorEastAsia"/>
                <w:kern w:val="0"/>
                <w:sz w:val="24"/>
                <w:szCs w:val="24"/>
              </w:rPr>
              <w:t>695,436.00</w:t>
            </w:r>
          </w:p>
        </w:tc>
        <w:tc>
          <w:tcPr>
            <w:tcW w:w="1616" w:type="dxa"/>
            <w:vAlign w:val="center"/>
          </w:tcPr>
          <w:p w:rsidR="00E23821" w:rsidRDefault="00F778C4">
            <w:pPr>
              <w:jc w:val="right"/>
            </w:pPr>
            <w:r>
              <w:rPr>
                <w:rFonts w:eastAsiaTheme="minorEastAsia"/>
                <w:kern w:val="0"/>
                <w:sz w:val="24"/>
                <w:szCs w:val="24"/>
              </w:rPr>
              <w:t>3.57</w:t>
            </w:r>
          </w:p>
        </w:tc>
      </w:tr>
      <w:tr w:rsidR="00E23821">
        <w:tc>
          <w:tcPr>
            <w:tcW w:w="817" w:type="dxa"/>
            <w:vAlign w:val="center"/>
          </w:tcPr>
          <w:p w:rsidR="00E23821" w:rsidRDefault="00F778C4">
            <w:pPr>
              <w:jc w:val="center"/>
            </w:pPr>
            <w:r>
              <w:rPr>
                <w:rFonts w:eastAsiaTheme="minorEastAsia"/>
                <w:kern w:val="0"/>
                <w:sz w:val="24"/>
                <w:szCs w:val="24"/>
              </w:rPr>
              <w:t>5</w:t>
            </w:r>
          </w:p>
        </w:tc>
        <w:tc>
          <w:tcPr>
            <w:tcW w:w="1276" w:type="dxa"/>
            <w:vAlign w:val="center"/>
          </w:tcPr>
          <w:p w:rsidR="00E23821" w:rsidRDefault="00F778C4">
            <w:pPr>
              <w:jc w:val="center"/>
            </w:pPr>
            <w:r>
              <w:rPr>
                <w:rFonts w:eastAsiaTheme="minorEastAsia"/>
                <w:kern w:val="0"/>
                <w:sz w:val="24"/>
                <w:szCs w:val="24"/>
              </w:rPr>
              <w:t>002371</w:t>
            </w:r>
          </w:p>
        </w:tc>
        <w:tc>
          <w:tcPr>
            <w:tcW w:w="1701" w:type="dxa"/>
            <w:vAlign w:val="center"/>
          </w:tcPr>
          <w:p w:rsidR="00E23821" w:rsidRDefault="00F778C4">
            <w:pPr>
              <w:jc w:val="center"/>
            </w:pPr>
            <w:r>
              <w:rPr>
                <w:rFonts w:eastAsiaTheme="minorEastAsia"/>
                <w:kern w:val="0"/>
                <w:sz w:val="24"/>
                <w:szCs w:val="24"/>
              </w:rPr>
              <w:t>北方华创</w:t>
            </w:r>
          </w:p>
        </w:tc>
        <w:tc>
          <w:tcPr>
            <w:tcW w:w="1276" w:type="dxa"/>
            <w:vAlign w:val="center"/>
          </w:tcPr>
          <w:p w:rsidR="00E23821" w:rsidRDefault="00F778C4">
            <w:pPr>
              <w:jc w:val="right"/>
            </w:pPr>
            <w:r>
              <w:rPr>
                <w:rFonts w:eastAsiaTheme="minorEastAsia"/>
                <w:kern w:val="0"/>
                <w:sz w:val="24"/>
                <w:szCs w:val="24"/>
              </w:rPr>
              <w:t>2,500.00</w:t>
            </w:r>
          </w:p>
        </w:tc>
        <w:tc>
          <w:tcPr>
            <w:tcW w:w="1842" w:type="dxa"/>
            <w:vAlign w:val="center"/>
          </w:tcPr>
          <w:p w:rsidR="00E23821" w:rsidRDefault="00F778C4">
            <w:pPr>
              <w:jc w:val="right"/>
            </w:pPr>
            <w:r>
              <w:rPr>
                <w:rFonts w:eastAsiaTheme="minorEastAsia"/>
                <w:kern w:val="0"/>
                <w:sz w:val="24"/>
                <w:szCs w:val="24"/>
              </w:rPr>
              <w:t>685,000.00</w:t>
            </w:r>
          </w:p>
        </w:tc>
        <w:tc>
          <w:tcPr>
            <w:tcW w:w="1616" w:type="dxa"/>
            <w:vAlign w:val="center"/>
          </w:tcPr>
          <w:p w:rsidR="00E23821" w:rsidRDefault="00F778C4">
            <w:pPr>
              <w:jc w:val="right"/>
            </w:pPr>
            <w:r>
              <w:rPr>
                <w:rFonts w:eastAsiaTheme="minorEastAsia"/>
                <w:kern w:val="0"/>
                <w:sz w:val="24"/>
                <w:szCs w:val="24"/>
              </w:rPr>
              <w:t>3.51</w:t>
            </w:r>
          </w:p>
        </w:tc>
      </w:tr>
      <w:tr w:rsidR="00E23821">
        <w:tc>
          <w:tcPr>
            <w:tcW w:w="817" w:type="dxa"/>
            <w:vAlign w:val="center"/>
          </w:tcPr>
          <w:p w:rsidR="00E23821" w:rsidRDefault="00F778C4">
            <w:pPr>
              <w:jc w:val="center"/>
            </w:pPr>
            <w:r>
              <w:rPr>
                <w:rFonts w:eastAsiaTheme="minorEastAsia"/>
                <w:kern w:val="0"/>
                <w:sz w:val="24"/>
                <w:szCs w:val="24"/>
              </w:rPr>
              <w:t>6</w:t>
            </w:r>
          </w:p>
        </w:tc>
        <w:tc>
          <w:tcPr>
            <w:tcW w:w="1276" w:type="dxa"/>
            <w:vAlign w:val="center"/>
          </w:tcPr>
          <w:p w:rsidR="00E23821" w:rsidRDefault="00F778C4">
            <w:pPr>
              <w:jc w:val="center"/>
            </w:pPr>
            <w:r>
              <w:rPr>
                <w:rFonts w:eastAsiaTheme="minorEastAsia"/>
                <w:kern w:val="0"/>
                <w:sz w:val="24"/>
                <w:szCs w:val="24"/>
              </w:rPr>
              <w:t>603613</w:t>
            </w:r>
          </w:p>
        </w:tc>
        <w:tc>
          <w:tcPr>
            <w:tcW w:w="1701" w:type="dxa"/>
            <w:vAlign w:val="center"/>
          </w:tcPr>
          <w:p w:rsidR="00E23821" w:rsidRDefault="00F778C4">
            <w:pPr>
              <w:jc w:val="center"/>
            </w:pPr>
            <w:r>
              <w:rPr>
                <w:rFonts w:eastAsiaTheme="minorEastAsia"/>
                <w:kern w:val="0"/>
                <w:sz w:val="24"/>
                <w:szCs w:val="24"/>
              </w:rPr>
              <w:t>国联股份</w:t>
            </w:r>
          </w:p>
        </w:tc>
        <w:tc>
          <w:tcPr>
            <w:tcW w:w="1276" w:type="dxa"/>
            <w:vAlign w:val="center"/>
          </w:tcPr>
          <w:p w:rsidR="00E23821" w:rsidRDefault="00F778C4">
            <w:pPr>
              <w:jc w:val="right"/>
            </w:pPr>
            <w:r>
              <w:rPr>
                <w:rFonts w:eastAsiaTheme="minorEastAsia"/>
                <w:kern w:val="0"/>
                <w:sz w:val="24"/>
                <w:szCs w:val="24"/>
              </w:rPr>
              <w:t>6,100.00</w:t>
            </w:r>
          </w:p>
        </w:tc>
        <w:tc>
          <w:tcPr>
            <w:tcW w:w="1842" w:type="dxa"/>
            <w:vAlign w:val="center"/>
          </w:tcPr>
          <w:p w:rsidR="00E23821" w:rsidRDefault="00F778C4">
            <w:pPr>
              <w:jc w:val="right"/>
            </w:pPr>
            <w:r>
              <w:rPr>
                <w:rFonts w:eastAsiaTheme="minorEastAsia"/>
                <w:kern w:val="0"/>
                <w:sz w:val="24"/>
                <w:szCs w:val="24"/>
              </w:rPr>
              <w:t>682,346.00</w:t>
            </w:r>
          </w:p>
        </w:tc>
        <w:tc>
          <w:tcPr>
            <w:tcW w:w="1616" w:type="dxa"/>
            <w:vAlign w:val="center"/>
          </w:tcPr>
          <w:p w:rsidR="00E23821" w:rsidRDefault="00F778C4">
            <w:pPr>
              <w:jc w:val="right"/>
            </w:pPr>
            <w:r>
              <w:rPr>
                <w:rFonts w:eastAsiaTheme="minorEastAsia"/>
                <w:kern w:val="0"/>
                <w:sz w:val="24"/>
                <w:szCs w:val="24"/>
              </w:rPr>
              <w:t>3.50</w:t>
            </w:r>
          </w:p>
        </w:tc>
      </w:tr>
      <w:tr w:rsidR="00E23821">
        <w:tc>
          <w:tcPr>
            <w:tcW w:w="817" w:type="dxa"/>
            <w:vAlign w:val="center"/>
          </w:tcPr>
          <w:p w:rsidR="00E23821" w:rsidRDefault="00F778C4">
            <w:pPr>
              <w:jc w:val="center"/>
            </w:pPr>
            <w:r>
              <w:rPr>
                <w:rFonts w:eastAsiaTheme="minorEastAsia"/>
                <w:kern w:val="0"/>
                <w:sz w:val="24"/>
                <w:szCs w:val="24"/>
              </w:rPr>
              <w:t>7</w:t>
            </w:r>
          </w:p>
        </w:tc>
        <w:tc>
          <w:tcPr>
            <w:tcW w:w="1276" w:type="dxa"/>
            <w:vAlign w:val="center"/>
          </w:tcPr>
          <w:p w:rsidR="00E23821" w:rsidRDefault="00F778C4">
            <w:pPr>
              <w:jc w:val="center"/>
            </w:pPr>
            <w:r>
              <w:rPr>
                <w:rFonts w:eastAsiaTheme="minorEastAsia"/>
                <w:kern w:val="0"/>
                <w:sz w:val="24"/>
                <w:szCs w:val="24"/>
              </w:rPr>
              <w:t>002555</w:t>
            </w:r>
          </w:p>
        </w:tc>
        <w:tc>
          <w:tcPr>
            <w:tcW w:w="1701" w:type="dxa"/>
            <w:vAlign w:val="center"/>
          </w:tcPr>
          <w:p w:rsidR="00E23821" w:rsidRDefault="00F778C4">
            <w:pPr>
              <w:jc w:val="center"/>
            </w:pPr>
            <w:r>
              <w:rPr>
                <w:rFonts w:eastAsiaTheme="minorEastAsia"/>
                <w:kern w:val="0"/>
                <w:sz w:val="24"/>
                <w:szCs w:val="24"/>
              </w:rPr>
              <w:t>三七互娱</w:t>
            </w:r>
          </w:p>
        </w:tc>
        <w:tc>
          <w:tcPr>
            <w:tcW w:w="1276" w:type="dxa"/>
            <w:vAlign w:val="center"/>
          </w:tcPr>
          <w:p w:rsidR="00E23821" w:rsidRDefault="00F778C4">
            <w:pPr>
              <w:jc w:val="right"/>
            </w:pPr>
            <w:r>
              <w:rPr>
                <w:rFonts w:eastAsiaTheme="minorEastAsia"/>
                <w:kern w:val="0"/>
                <w:sz w:val="24"/>
                <w:szCs w:val="24"/>
              </w:rPr>
              <w:t>26,700.00</w:t>
            </w:r>
          </w:p>
        </w:tc>
        <w:tc>
          <w:tcPr>
            <w:tcW w:w="1842" w:type="dxa"/>
            <w:vAlign w:val="center"/>
          </w:tcPr>
          <w:p w:rsidR="00E23821" w:rsidRDefault="00F778C4">
            <w:pPr>
              <w:jc w:val="right"/>
            </w:pPr>
            <w:r>
              <w:rPr>
                <w:rFonts w:eastAsiaTheme="minorEastAsia"/>
                <w:kern w:val="0"/>
                <w:sz w:val="24"/>
                <w:szCs w:val="24"/>
              </w:rPr>
              <w:t>626,115.00</w:t>
            </w:r>
          </w:p>
        </w:tc>
        <w:tc>
          <w:tcPr>
            <w:tcW w:w="1616" w:type="dxa"/>
            <w:vAlign w:val="center"/>
          </w:tcPr>
          <w:p w:rsidR="00E23821" w:rsidRDefault="00F778C4">
            <w:pPr>
              <w:jc w:val="right"/>
            </w:pPr>
            <w:r>
              <w:rPr>
                <w:rFonts w:eastAsiaTheme="minorEastAsia"/>
                <w:kern w:val="0"/>
                <w:sz w:val="24"/>
                <w:szCs w:val="24"/>
              </w:rPr>
              <w:t>3.21</w:t>
            </w:r>
          </w:p>
        </w:tc>
      </w:tr>
      <w:tr w:rsidR="00E23821">
        <w:tc>
          <w:tcPr>
            <w:tcW w:w="817" w:type="dxa"/>
            <w:vAlign w:val="center"/>
          </w:tcPr>
          <w:p w:rsidR="00E23821" w:rsidRDefault="00F778C4">
            <w:pPr>
              <w:jc w:val="center"/>
            </w:pPr>
            <w:r>
              <w:rPr>
                <w:rFonts w:eastAsiaTheme="minorEastAsia"/>
                <w:kern w:val="0"/>
                <w:sz w:val="24"/>
                <w:szCs w:val="24"/>
              </w:rPr>
              <w:t>8</w:t>
            </w:r>
          </w:p>
        </w:tc>
        <w:tc>
          <w:tcPr>
            <w:tcW w:w="1276" w:type="dxa"/>
            <w:vAlign w:val="center"/>
          </w:tcPr>
          <w:p w:rsidR="00E23821" w:rsidRDefault="00F778C4">
            <w:pPr>
              <w:jc w:val="center"/>
            </w:pPr>
            <w:r>
              <w:rPr>
                <w:rFonts w:eastAsiaTheme="minorEastAsia"/>
                <w:kern w:val="0"/>
                <w:sz w:val="24"/>
                <w:szCs w:val="24"/>
              </w:rPr>
              <w:t>002405</w:t>
            </w:r>
          </w:p>
        </w:tc>
        <w:tc>
          <w:tcPr>
            <w:tcW w:w="1701" w:type="dxa"/>
            <w:vAlign w:val="center"/>
          </w:tcPr>
          <w:p w:rsidR="00E23821" w:rsidRDefault="00F778C4">
            <w:pPr>
              <w:jc w:val="center"/>
            </w:pPr>
            <w:r>
              <w:rPr>
                <w:rFonts w:eastAsiaTheme="minorEastAsia"/>
                <w:kern w:val="0"/>
                <w:sz w:val="24"/>
                <w:szCs w:val="24"/>
              </w:rPr>
              <w:t>四维图新</w:t>
            </w:r>
          </w:p>
        </w:tc>
        <w:tc>
          <w:tcPr>
            <w:tcW w:w="1276" w:type="dxa"/>
            <w:vAlign w:val="center"/>
          </w:tcPr>
          <w:p w:rsidR="00E23821" w:rsidRDefault="00F778C4">
            <w:pPr>
              <w:jc w:val="right"/>
            </w:pPr>
            <w:r>
              <w:rPr>
                <w:rFonts w:eastAsiaTheme="minorEastAsia"/>
                <w:kern w:val="0"/>
                <w:sz w:val="24"/>
                <w:szCs w:val="24"/>
              </w:rPr>
              <w:t>42,100.00</w:t>
            </w:r>
          </w:p>
        </w:tc>
        <w:tc>
          <w:tcPr>
            <w:tcW w:w="1842" w:type="dxa"/>
            <w:vAlign w:val="center"/>
          </w:tcPr>
          <w:p w:rsidR="00E23821" w:rsidRDefault="00F778C4">
            <w:pPr>
              <w:jc w:val="right"/>
            </w:pPr>
            <w:r>
              <w:rPr>
                <w:rFonts w:eastAsiaTheme="minorEastAsia"/>
                <w:kern w:val="0"/>
                <w:sz w:val="24"/>
                <w:szCs w:val="24"/>
              </w:rPr>
              <w:t>588,137.00</w:t>
            </w:r>
          </w:p>
        </w:tc>
        <w:tc>
          <w:tcPr>
            <w:tcW w:w="1616" w:type="dxa"/>
            <w:vAlign w:val="center"/>
          </w:tcPr>
          <w:p w:rsidR="00E23821" w:rsidRDefault="00F778C4">
            <w:pPr>
              <w:jc w:val="right"/>
            </w:pPr>
            <w:r>
              <w:rPr>
                <w:rFonts w:eastAsiaTheme="minorEastAsia"/>
                <w:kern w:val="0"/>
                <w:sz w:val="24"/>
                <w:szCs w:val="24"/>
              </w:rPr>
              <w:t>3.02</w:t>
            </w:r>
          </w:p>
        </w:tc>
      </w:tr>
      <w:tr w:rsidR="00E23821">
        <w:tc>
          <w:tcPr>
            <w:tcW w:w="817" w:type="dxa"/>
            <w:vAlign w:val="center"/>
          </w:tcPr>
          <w:p w:rsidR="00E23821" w:rsidRDefault="00F778C4">
            <w:pPr>
              <w:jc w:val="center"/>
            </w:pPr>
            <w:r>
              <w:rPr>
                <w:rFonts w:eastAsiaTheme="minorEastAsia"/>
                <w:kern w:val="0"/>
                <w:sz w:val="24"/>
                <w:szCs w:val="24"/>
              </w:rPr>
              <w:t>9</w:t>
            </w:r>
          </w:p>
        </w:tc>
        <w:tc>
          <w:tcPr>
            <w:tcW w:w="1276" w:type="dxa"/>
            <w:vAlign w:val="center"/>
          </w:tcPr>
          <w:p w:rsidR="00E23821" w:rsidRDefault="00F778C4">
            <w:pPr>
              <w:jc w:val="center"/>
            </w:pPr>
            <w:r>
              <w:rPr>
                <w:rFonts w:eastAsiaTheme="minorEastAsia"/>
                <w:kern w:val="0"/>
                <w:sz w:val="24"/>
                <w:szCs w:val="24"/>
              </w:rPr>
              <w:t>300413</w:t>
            </w:r>
          </w:p>
        </w:tc>
        <w:tc>
          <w:tcPr>
            <w:tcW w:w="1701" w:type="dxa"/>
            <w:vAlign w:val="center"/>
          </w:tcPr>
          <w:p w:rsidR="00E23821" w:rsidRDefault="00F778C4">
            <w:pPr>
              <w:jc w:val="center"/>
            </w:pPr>
            <w:r>
              <w:rPr>
                <w:rFonts w:eastAsiaTheme="minorEastAsia"/>
                <w:kern w:val="0"/>
                <w:sz w:val="24"/>
                <w:szCs w:val="24"/>
              </w:rPr>
              <w:t>芒果超媒</w:t>
            </w:r>
          </w:p>
        </w:tc>
        <w:tc>
          <w:tcPr>
            <w:tcW w:w="1276" w:type="dxa"/>
            <w:vAlign w:val="center"/>
          </w:tcPr>
          <w:p w:rsidR="00E23821" w:rsidRDefault="00F778C4">
            <w:pPr>
              <w:jc w:val="right"/>
            </w:pPr>
            <w:r>
              <w:rPr>
                <w:rFonts w:eastAsiaTheme="minorEastAsia"/>
                <w:kern w:val="0"/>
                <w:sz w:val="24"/>
                <w:szCs w:val="24"/>
              </w:rPr>
              <w:t>18,800.00</w:t>
            </w:r>
          </w:p>
        </w:tc>
        <w:tc>
          <w:tcPr>
            <w:tcW w:w="1842" w:type="dxa"/>
            <w:vAlign w:val="center"/>
          </w:tcPr>
          <w:p w:rsidR="00E23821" w:rsidRDefault="00F778C4">
            <w:pPr>
              <w:jc w:val="right"/>
            </w:pPr>
            <w:r>
              <w:rPr>
                <w:rFonts w:eastAsiaTheme="minorEastAsia"/>
                <w:kern w:val="0"/>
                <w:sz w:val="24"/>
                <w:szCs w:val="24"/>
              </w:rPr>
              <w:t>585,808.00</w:t>
            </w:r>
          </w:p>
        </w:tc>
        <w:tc>
          <w:tcPr>
            <w:tcW w:w="1616" w:type="dxa"/>
            <w:vAlign w:val="center"/>
          </w:tcPr>
          <w:p w:rsidR="00E23821" w:rsidRDefault="00F778C4">
            <w:pPr>
              <w:jc w:val="right"/>
            </w:pPr>
            <w:r>
              <w:rPr>
                <w:rFonts w:eastAsiaTheme="minorEastAsia"/>
                <w:kern w:val="0"/>
                <w:sz w:val="24"/>
                <w:szCs w:val="24"/>
              </w:rPr>
              <w:t>3.00</w:t>
            </w:r>
          </w:p>
        </w:tc>
      </w:tr>
      <w:tr w:rsidR="00E23821">
        <w:tc>
          <w:tcPr>
            <w:tcW w:w="817" w:type="dxa"/>
            <w:vAlign w:val="center"/>
          </w:tcPr>
          <w:p w:rsidR="00E23821" w:rsidRDefault="00F778C4">
            <w:pPr>
              <w:jc w:val="center"/>
            </w:pPr>
            <w:r>
              <w:rPr>
                <w:rFonts w:eastAsiaTheme="minorEastAsia"/>
                <w:kern w:val="0"/>
                <w:sz w:val="24"/>
                <w:szCs w:val="24"/>
              </w:rPr>
              <w:t>10</w:t>
            </w:r>
          </w:p>
        </w:tc>
        <w:tc>
          <w:tcPr>
            <w:tcW w:w="1276" w:type="dxa"/>
            <w:vAlign w:val="center"/>
          </w:tcPr>
          <w:p w:rsidR="00E23821" w:rsidRDefault="00F778C4">
            <w:pPr>
              <w:jc w:val="center"/>
            </w:pPr>
            <w:r>
              <w:rPr>
                <w:rFonts w:eastAsiaTheme="minorEastAsia"/>
                <w:kern w:val="0"/>
                <w:sz w:val="24"/>
                <w:szCs w:val="24"/>
              </w:rPr>
              <w:t>688126</w:t>
            </w:r>
          </w:p>
        </w:tc>
        <w:tc>
          <w:tcPr>
            <w:tcW w:w="1701" w:type="dxa"/>
            <w:vAlign w:val="center"/>
          </w:tcPr>
          <w:p w:rsidR="00E23821" w:rsidRDefault="00F778C4">
            <w:pPr>
              <w:jc w:val="center"/>
            </w:pPr>
            <w:r>
              <w:rPr>
                <w:rFonts w:eastAsiaTheme="minorEastAsia"/>
                <w:kern w:val="0"/>
                <w:sz w:val="24"/>
                <w:szCs w:val="24"/>
              </w:rPr>
              <w:t>沪硅产业</w:t>
            </w:r>
          </w:p>
        </w:tc>
        <w:tc>
          <w:tcPr>
            <w:tcW w:w="1276" w:type="dxa"/>
            <w:vAlign w:val="center"/>
          </w:tcPr>
          <w:p w:rsidR="00E23821" w:rsidRDefault="00F778C4">
            <w:pPr>
              <w:jc w:val="right"/>
            </w:pPr>
            <w:r>
              <w:rPr>
                <w:rFonts w:eastAsiaTheme="minorEastAsia"/>
                <w:kern w:val="0"/>
                <w:sz w:val="24"/>
                <w:szCs w:val="24"/>
              </w:rPr>
              <w:t>25,700.00</w:t>
            </w:r>
          </w:p>
        </w:tc>
        <w:tc>
          <w:tcPr>
            <w:tcW w:w="1842" w:type="dxa"/>
            <w:vAlign w:val="center"/>
          </w:tcPr>
          <w:p w:rsidR="00E23821" w:rsidRDefault="00F778C4">
            <w:pPr>
              <w:jc w:val="right"/>
            </w:pPr>
            <w:r>
              <w:rPr>
                <w:rFonts w:eastAsiaTheme="minorEastAsia"/>
                <w:kern w:val="0"/>
                <w:sz w:val="24"/>
                <w:szCs w:val="24"/>
              </w:rPr>
              <w:t>563,601.00</w:t>
            </w:r>
          </w:p>
        </w:tc>
        <w:tc>
          <w:tcPr>
            <w:tcW w:w="1616" w:type="dxa"/>
            <w:vAlign w:val="center"/>
          </w:tcPr>
          <w:p w:rsidR="00E23821" w:rsidRDefault="00F778C4">
            <w:pPr>
              <w:jc w:val="right"/>
            </w:pPr>
            <w:r>
              <w:rPr>
                <w:rFonts w:eastAsiaTheme="minorEastAsia"/>
                <w:kern w:val="0"/>
                <w:sz w:val="24"/>
                <w:szCs w:val="24"/>
              </w:rPr>
              <w:t>2.89</w:t>
            </w:r>
          </w:p>
        </w:tc>
      </w:tr>
      <w:bookmarkEnd w:id="1"/>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lastRenderedPageBreak/>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报告期内本基金投资的前十名证券的发行主体本期没有出现被监管部门立案调查，或在报告编制日前一年内受到公开谴责、处罚的情形。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5,334.98</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554,709.45</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5,501.44</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0.12</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565,545.99</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本基金本报告期末未持有处于转股期的可转换债券。</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本基金本报告期末前十名股票中不存在流通受限情况。</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因四舍五入原因，投资组合报告中分项之和与合计可能存在尾差。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lastRenderedPageBreak/>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20,099,200.16</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1,674,435.16</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2,120,934.25</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19,652,701.07</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§8  </w:t>
      </w:r>
      <w:r w:rsidRPr="00FF6B9A">
        <w:rPr>
          <w:rFonts w:eastAsiaTheme="minorEastAsia"/>
          <w:color w:val="000000" w:themeColor="text1"/>
          <w:kern w:val="0"/>
          <w:sz w:val="24"/>
          <w:szCs w:val="24"/>
        </w:rPr>
        <w:t>影响投资者决策的其他重要信息</w:t>
      </w:r>
    </w:p>
    <w:p w:rsidR="00D06738" w:rsidRPr="00FF6B9A" w:rsidRDefault="00454D20">
      <w:pPr>
        <w:autoSpaceDE w:val="0"/>
        <w:autoSpaceDN w:val="0"/>
        <w:adjustRightInd w:val="0"/>
        <w:spacing w:line="360" w:lineRule="auto"/>
        <w:jc w:val="left"/>
        <w:rPr>
          <w:b/>
          <w:bCs/>
          <w:color w:val="000000"/>
          <w:kern w:val="0"/>
          <w:sz w:val="24"/>
          <w:szCs w:val="24"/>
        </w:rPr>
      </w:pPr>
      <w:r w:rsidRPr="00FF6B9A">
        <w:rPr>
          <w:b/>
          <w:bCs/>
          <w:color w:val="000000"/>
          <w:kern w:val="0"/>
          <w:sz w:val="24"/>
          <w:szCs w:val="24"/>
        </w:rPr>
        <w:t xml:space="preserve">8.1 </w:t>
      </w:r>
      <w:r w:rsidRPr="00FF6B9A">
        <w:rPr>
          <w:b/>
          <w:bCs/>
          <w:color w:val="000000"/>
          <w:kern w:val="0"/>
          <w:sz w:val="24"/>
          <w:szCs w:val="24"/>
        </w:rPr>
        <w:t>报告期内单一投资者持有基金份额比例达到或超过</w:t>
      </w:r>
      <w:r w:rsidRPr="00FF6B9A">
        <w:rPr>
          <w:b/>
          <w:bCs/>
          <w:color w:val="000000"/>
          <w:kern w:val="0"/>
          <w:sz w:val="24"/>
          <w:szCs w:val="24"/>
        </w:rPr>
        <w:t>20%</w:t>
      </w:r>
      <w:r w:rsidRPr="00FF6B9A">
        <w:rPr>
          <w:b/>
          <w:bCs/>
          <w:color w:val="000000"/>
          <w:kern w:val="0"/>
          <w:sz w:val="24"/>
          <w:szCs w:val="24"/>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D06738" w:rsidRPr="00FF6B9A">
        <w:tc>
          <w:tcPr>
            <w:tcW w:w="993" w:type="dxa"/>
            <w:vMerge w:val="restart"/>
            <w:vAlign w:val="center"/>
          </w:tcPr>
          <w:p w:rsidR="00D06738" w:rsidRPr="00FF6B9A" w:rsidRDefault="00454D20">
            <w:pPr>
              <w:autoSpaceDE w:val="0"/>
              <w:autoSpaceDN w:val="0"/>
              <w:adjustRightInd w:val="0"/>
              <w:jc w:val="center"/>
              <w:rPr>
                <w:b/>
                <w:bCs/>
                <w:color w:val="000000"/>
                <w:kern w:val="0"/>
              </w:rPr>
            </w:pPr>
            <w:r w:rsidRPr="00FF6B9A">
              <w:rPr>
                <w:color w:val="000000"/>
                <w:kern w:val="0"/>
              </w:rPr>
              <w:t>投资者类别</w:t>
            </w:r>
            <w:r w:rsidRPr="00FF6B9A">
              <w:rPr>
                <w:color w:val="000000"/>
                <w:kern w:val="0"/>
              </w:rPr>
              <w:t xml:space="preserve">  </w:t>
            </w:r>
          </w:p>
        </w:tc>
        <w:tc>
          <w:tcPr>
            <w:tcW w:w="5670" w:type="dxa"/>
            <w:gridSpan w:val="5"/>
            <w:vAlign w:val="center"/>
          </w:tcPr>
          <w:p w:rsidR="00D06738" w:rsidRPr="00FF6B9A" w:rsidRDefault="00454D20">
            <w:pPr>
              <w:autoSpaceDE w:val="0"/>
              <w:autoSpaceDN w:val="0"/>
              <w:adjustRightInd w:val="0"/>
              <w:jc w:val="center"/>
              <w:rPr>
                <w:b/>
                <w:bCs/>
                <w:color w:val="000000"/>
                <w:kern w:val="0"/>
              </w:rPr>
            </w:pPr>
            <w:r w:rsidRPr="00FF6B9A">
              <w:rPr>
                <w:color w:val="000000"/>
                <w:kern w:val="0"/>
              </w:rPr>
              <w:t>报告期内持有基金份额变化情况</w:t>
            </w:r>
          </w:p>
        </w:tc>
        <w:tc>
          <w:tcPr>
            <w:tcW w:w="2549" w:type="dxa"/>
            <w:gridSpan w:val="2"/>
            <w:vAlign w:val="center"/>
          </w:tcPr>
          <w:p w:rsidR="00D06738" w:rsidRPr="00FF6B9A" w:rsidRDefault="00454D20">
            <w:pPr>
              <w:autoSpaceDE w:val="0"/>
              <w:autoSpaceDN w:val="0"/>
              <w:adjustRightInd w:val="0"/>
              <w:jc w:val="center"/>
              <w:rPr>
                <w:b/>
                <w:bCs/>
                <w:color w:val="000000"/>
                <w:kern w:val="0"/>
              </w:rPr>
            </w:pPr>
            <w:r w:rsidRPr="00FF6B9A">
              <w:rPr>
                <w:color w:val="000000"/>
                <w:kern w:val="0"/>
              </w:rPr>
              <w:t>报告期末持有基金情况</w:t>
            </w:r>
          </w:p>
        </w:tc>
      </w:tr>
      <w:tr w:rsidR="00D06738" w:rsidRPr="00FF6B9A">
        <w:tc>
          <w:tcPr>
            <w:tcW w:w="993" w:type="dxa"/>
            <w:vMerge/>
            <w:vAlign w:val="center"/>
          </w:tcPr>
          <w:p w:rsidR="00D06738" w:rsidRPr="00FF6B9A" w:rsidRDefault="00D06738">
            <w:pPr>
              <w:autoSpaceDE w:val="0"/>
              <w:autoSpaceDN w:val="0"/>
              <w:adjustRightInd w:val="0"/>
              <w:jc w:val="center"/>
              <w:rPr>
                <w:b/>
                <w:bCs/>
                <w:color w:val="000000"/>
                <w:kern w:val="0"/>
              </w:rPr>
            </w:pPr>
          </w:p>
        </w:tc>
        <w:tc>
          <w:tcPr>
            <w:tcW w:w="992" w:type="dxa"/>
            <w:vAlign w:val="center"/>
          </w:tcPr>
          <w:p w:rsidR="00D06738" w:rsidRPr="00FF6B9A" w:rsidRDefault="00454D20">
            <w:pPr>
              <w:autoSpaceDE w:val="0"/>
              <w:autoSpaceDN w:val="0"/>
              <w:adjustRightInd w:val="0"/>
              <w:jc w:val="center"/>
              <w:rPr>
                <w:b/>
                <w:bCs/>
                <w:color w:val="000000"/>
                <w:kern w:val="0"/>
              </w:rPr>
            </w:pPr>
            <w:r w:rsidRPr="00FF6B9A">
              <w:rPr>
                <w:color w:val="000000"/>
                <w:kern w:val="0"/>
              </w:rPr>
              <w:t>序号</w:t>
            </w:r>
          </w:p>
        </w:tc>
        <w:tc>
          <w:tcPr>
            <w:tcW w:w="1843" w:type="dxa"/>
            <w:vAlign w:val="center"/>
          </w:tcPr>
          <w:p w:rsidR="00D06738" w:rsidRPr="00FF6B9A" w:rsidRDefault="00454D20">
            <w:pPr>
              <w:autoSpaceDE w:val="0"/>
              <w:autoSpaceDN w:val="0"/>
              <w:adjustRightInd w:val="0"/>
              <w:jc w:val="center"/>
              <w:rPr>
                <w:b/>
                <w:bCs/>
                <w:color w:val="000000"/>
                <w:kern w:val="0"/>
              </w:rPr>
            </w:pPr>
            <w:r w:rsidRPr="00FF6B9A">
              <w:rPr>
                <w:color w:val="000000"/>
                <w:kern w:val="0"/>
              </w:rPr>
              <w:t>持有基金份额比例达到或者超过</w:t>
            </w:r>
            <w:r w:rsidRPr="00FF6B9A">
              <w:rPr>
                <w:color w:val="000000"/>
                <w:kern w:val="0"/>
              </w:rPr>
              <w:t>20%</w:t>
            </w:r>
            <w:r w:rsidRPr="00FF6B9A">
              <w:rPr>
                <w:color w:val="000000"/>
                <w:kern w:val="0"/>
              </w:rPr>
              <w:t>的时间区间</w:t>
            </w:r>
          </w:p>
        </w:tc>
        <w:tc>
          <w:tcPr>
            <w:tcW w:w="851" w:type="dxa"/>
            <w:vAlign w:val="center"/>
          </w:tcPr>
          <w:p w:rsidR="00D06738" w:rsidRPr="00FF6B9A" w:rsidRDefault="00454D20">
            <w:pPr>
              <w:widowControl/>
              <w:jc w:val="center"/>
              <w:rPr>
                <w:b/>
                <w:bCs/>
                <w:color w:val="000000"/>
                <w:kern w:val="0"/>
              </w:rPr>
            </w:pPr>
            <w:r w:rsidRPr="00FF6B9A">
              <w:rPr>
                <w:color w:val="000000"/>
                <w:kern w:val="0"/>
              </w:rPr>
              <w:t>期初份额</w:t>
            </w:r>
          </w:p>
        </w:tc>
        <w:tc>
          <w:tcPr>
            <w:tcW w:w="850" w:type="dxa"/>
            <w:vAlign w:val="center"/>
          </w:tcPr>
          <w:p w:rsidR="00D06738" w:rsidRPr="00FF6B9A" w:rsidRDefault="00454D20">
            <w:pPr>
              <w:widowControl/>
              <w:jc w:val="center"/>
              <w:rPr>
                <w:b/>
                <w:bCs/>
                <w:color w:val="000000"/>
                <w:kern w:val="0"/>
              </w:rPr>
            </w:pPr>
            <w:r w:rsidRPr="00FF6B9A">
              <w:rPr>
                <w:color w:val="000000"/>
                <w:kern w:val="0"/>
              </w:rPr>
              <w:t>申购份额</w:t>
            </w:r>
          </w:p>
        </w:tc>
        <w:tc>
          <w:tcPr>
            <w:tcW w:w="1134" w:type="dxa"/>
            <w:vAlign w:val="center"/>
          </w:tcPr>
          <w:p w:rsidR="00D06738" w:rsidRPr="00FF6B9A" w:rsidRDefault="00454D20">
            <w:pPr>
              <w:widowControl/>
              <w:jc w:val="center"/>
              <w:rPr>
                <w:b/>
                <w:bCs/>
                <w:color w:val="000000"/>
                <w:kern w:val="0"/>
              </w:rPr>
            </w:pPr>
            <w:r w:rsidRPr="00FF6B9A">
              <w:rPr>
                <w:color w:val="000000"/>
                <w:kern w:val="0"/>
              </w:rPr>
              <w:t>赎回份额</w:t>
            </w:r>
          </w:p>
        </w:tc>
        <w:tc>
          <w:tcPr>
            <w:tcW w:w="1419" w:type="dxa"/>
            <w:vAlign w:val="center"/>
          </w:tcPr>
          <w:p w:rsidR="00D06738" w:rsidRPr="00FF6B9A" w:rsidRDefault="00454D20">
            <w:pPr>
              <w:autoSpaceDE w:val="0"/>
              <w:autoSpaceDN w:val="0"/>
              <w:adjustRightInd w:val="0"/>
              <w:jc w:val="center"/>
              <w:rPr>
                <w:b/>
                <w:bCs/>
                <w:color w:val="000000"/>
                <w:kern w:val="0"/>
              </w:rPr>
            </w:pPr>
            <w:r w:rsidRPr="00FF6B9A">
              <w:rPr>
                <w:color w:val="000000"/>
                <w:kern w:val="0"/>
              </w:rPr>
              <w:t>持有份额</w:t>
            </w:r>
          </w:p>
        </w:tc>
        <w:tc>
          <w:tcPr>
            <w:tcW w:w="1130" w:type="dxa"/>
            <w:vAlign w:val="center"/>
          </w:tcPr>
          <w:p w:rsidR="00D06738" w:rsidRPr="00FF6B9A" w:rsidRDefault="00454D20">
            <w:pPr>
              <w:autoSpaceDE w:val="0"/>
              <w:autoSpaceDN w:val="0"/>
              <w:adjustRightInd w:val="0"/>
              <w:jc w:val="center"/>
              <w:rPr>
                <w:b/>
                <w:bCs/>
                <w:color w:val="000000"/>
                <w:kern w:val="0"/>
              </w:rPr>
            </w:pPr>
            <w:r w:rsidRPr="00FF6B9A">
              <w:rPr>
                <w:color w:val="000000"/>
                <w:kern w:val="0"/>
              </w:rPr>
              <w:t>份额占比</w:t>
            </w:r>
          </w:p>
        </w:tc>
      </w:tr>
      <w:tr w:rsidR="00E23821">
        <w:tc>
          <w:tcPr>
            <w:tcW w:w="993" w:type="dxa"/>
            <w:vMerge w:val="restart"/>
            <w:vAlign w:val="center"/>
          </w:tcPr>
          <w:p w:rsidR="00E23821" w:rsidRDefault="00F778C4">
            <w:r>
              <w:rPr>
                <w:bCs/>
                <w:color w:val="000000"/>
                <w:kern w:val="0"/>
              </w:rPr>
              <w:t>个人</w:t>
            </w:r>
          </w:p>
        </w:tc>
        <w:tc>
          <w:tcPr>
            <w:tcW w:w="992" w:type="dxa"/>
            <w:vAlign w:val="center"/>
          </w:tcPr>
          <w:p w:rsidR="00E23821" w:rsidRDefault="00F778C4">
            <w:pPr>
              <w:jc w:val="center"/>
            </w:pPr>
            <w:r>
              <w:rPr>
                <w:kern w:val="0"/>
              </w:rPr>
              <w:t>1</w:t>
            </w:r>
          </w:p>
        </w:tc>
        <w:tc>
          <w:tcPr>
            <w:tcW w:w="1843" w:type="dxa"/>
            <w:vAlign w:val="center"/>
          </w:tcPr>
          <w:p w:rsidR="00E23821" w:rsidRDefault="00F778C4">
            <w:pPr>
              <w:jc w:val="center"/>
            </w:pPr>
            <w:r>
              <w:rPr>
                <w:kern w:val="0"/>
              </w:rPr>
              <w:t>20220110-20220125</w:t>
            </w:r>
          </w:p>
        </w:tc>
        <w:tc>
          <w:tcPr>
            <w:tcW w:w="851" w:type="dxa"/>
            <w:vAlign w:val="center"/>
          </w:tcPr>
          <w:p w:rsidR="00E23821" w:rsidRDefault="00F778C4">
            <w:pPr>
              <w:jc w:val="center"/>
            </w:pPr>
            <w:r>
              <w:rPr>
                <w:kern w:val="0"/>
              </w:rPr>
              <w:t>3,983,827.49</w:t>
            </w:r>
          </w:p>
        </w:tc>
        <w:tc>
          <w:tcPr>
            <w:tcW w:w="850" w:type="dxa"/>
            <w:vAlign w:val="center"/>
          </w:tcPr>
          <w:p w:rsidR="00E23821" w:rsidRDefault="00F778C4">
            <w:pPr>
              <w:jc w:val="center"/>
            </w:pPr>
            <w:r>
              <w:rPr>
                <w:kern w:val="0"/>
              </w:rPr>
              <w:t>0.00</w:t>
            </w:r>
          </w:p>
        </w:tc>
        <w:tc>
          <w:tcPr>
            <w:tcW w:w="1134" w:type="dxa"/>
            <w:vAlign w:val="center"/>
          </w:tcPr>
          <w:p w:rsidR="00E23821" w:rsidRDefault="00F778C4">
            <w:pPr>
              <w:jc w:val="center"/>
            </w:pPr>
            <w:r>
              <w:rPr>
                <w:kern w:val="0"/>
              </w:rPr>
              <w:t>0.00</w:t>
            </w:r>
          </w:p>
        </w:tc>
        <w:tc>
          <w:tcPr>
            <w:tcW w:w="1419" w:type="dxa"/>
            <w:vAlign w:val="center"/>
          </w:tcPr>
          <w:p w:rsidR="00E23821" w:rsidRDefault="00F778C4">
            <w:pPr>
              <w:jc w:val="center"/>
            </w:pPr>
            <w:r>
              <w:rPr>
                <w:kern w:val="0"/>
              </w:rPr>
              <w:t>3,983,827.49</w:t>
            </w:r>
          </w:p>
        </w:tc>
        <w:tc>
          <w:tcPr>
            <w:tcW w:w="1130" w:type="dxa"/>
            <w:vAlign w:val="center"/>
          </w:tcPr>
          <w:p w:rsidR="00E23821" w:rsidRDefault="00F778C4">
            <w:pPr>
              <w:jc w:val="center"/>
            </w:pPr>
            <w:r>
              <w:rPr>
                <w:kern w:val="0"/>
              </w:rPr>
              <w:t>20.27%</w:t>
            </w:r>
          </w:p>
        </w:tc>
      </w:tr>
      <w:tr w:rsidR="00E23821">
        <w:tc>
          <w:tcPr>
            <w:tcW w:w="993" w:type="dxa"/>
            <w:vMerge/>
          </w:tcPr>
          <w:p w:rsidR="00E23821" w:rsidRDefault="00E23821"/>
        </w:tc>
        <w:tc>
          <w:tcPr>
            <w:tcW w:w="992" w:type="dxa"/>
            <w:vAlign w:val="center"/>
          </w:tcPr>
          <w:p w:rsidR="00E23821" w:rsidRDefault="00F778C4">
            <w:pPr>
              <w:jc w:val="center"/>
            </w:pPr>
            <w:r>
              <w:rPr>
                <w:kern w:val="0"/>
              </w:rPr>
              <w:t>2</w:t>
            </w:r>
          </w:p>
        </w:tc>
        <w:tc>
          <w:tcPr>
            <w:tcW w:w="1843" w:type="dxa"/>
            <w:vAlign w:val="center"/>
          </w:tcPr>
          <w:p w:rsidR="00E23821" w:rsidRDefault="00F778C4">
            <w:pPr>
              <w:jc w:val="center"/>
            </w:pPr>
            <w:r>
              <w:rPr>
                <w:kern w:val="0"/>
              </w:rPr>
              <w:t>20220316-20220331</w:t>
            </w:r>
          </w:p>
        </w:tc>
        <w:tc>
          <w:tcPr>
            <w:tcW w:w="851" w:type="dxa"/>
            <w:vAlign w:val="center"/>
          </w:tcPr>
          <w:p w:rsidR="00E23821" w:rsidRDefault="00F778C4">
            <w:pPr>
              <w:jc w:val="center"/>
            </w:pPr>
            <w:r>
              <w:rPr>
                <w:kern w:val="0"/>
              </w:rPr>
              <w:t>3,983,827.49</w:t>
            </w:r>
          </w:p>
        </w:tc>
        <w:tc>
          <w:tcPr>
            <w:tcW w:w="850" w:type="dxa"/>
            <w:vAlign w:val="center"/>
          </w:tcPr>
          <w:p w:rsidR="00E23821" w:rsidRDefault="00F778C4">
            <w:pPr>
              <w:jc w:val="center"/>
            </w:pPr>
            <w:r>
              <w:rPr>
                <w:kern w:val="0"/>
              </w:rPr>
              <w:t>0.00</w:t>
            </w:r>
          </w:p>
        </w:tc>
        <w:tc>
          <w:tcPr>
            <w:tcW w:w="1134" w:type="dxa"/>
            <w:vAlign w:val="center"/>
          </w:tcPr>
          <w:p w:rsidR="00E23821" w:rsidRDefault="00F778C4">
            <w:pPr>
              <w:jc w:val="center"/>
            </w:pPr>
            <w:r>
              <w:rPr>
                <w:kern w:val="0"/>
              </w:rPr>
              <w:t>0.00</w:t>
            </w:r>
          </w:p>
        </w:tc>
        <w:tc>
          <w:tcPr>
            <w:tcW w:w="1419" w:type="dxa"/>
            <w:vAlign w:val="center"/>
          </w:tcPr>
          <w:p w:rsidR="00E23821" w:rsidRDefault="00F778C4">
            <w:pPr>
              <w:jc w:val="center"/>
            </w:pPr>
            <w:r>
              <w:rPr>
                <w:kern w:val="0"/>
              </w:rPr>
              <w:t>3,983,827.49</w:t>
            </w:r>
          </w:p>
        </w:tc>
        <w:tc>
          <w:tcPr>
            <w:tcW w:w="1130" w:type="dxa"/>
            <w:vAlign w:val="center"/>
          </w:tcPr>
          <w:p w:rsidR="00E23821" w:rsidRDefault="00F778C4">
            <w:pPr>
              <w:jc w:val="center"/>
            </w:pPr>
            <w:r>
              <w:rPr>
                <w:kern w:val="0"/>
              </w:rPr>
              <w:t>20.27%</w:t>
            </w:r>
          </w:p>
        </w:tc>
      </w:tr>
      <w:tr w:rsidR="00E23821">
        <w:tc>
          <w:tcPr>
            <w:tcW w:w="993" w:type="dxa"/>
            <w:vMerge/>
          </w:tcPr>
          <w:p w:rsidR="00E23821" w:rsidRDefault="00E23821"/>
        </w:tc>
        <w:tc>
          <w:tcPr>
            <w:tcW w:w="992" w:type="dxa"/>
            <w:vAlign w:val="center"/>
          </w:tcPr>
          <w:p w:rsidR="00E23821" w:rsidRDefault="00F778C4">
            <w:pPr>
              <w:jc w:val="center"/>
            </w:pPr>
            <w:r>
              <w:rPr>
                <w:kern w:val="0"/>
              </w:rPr>
              <w:t>3</w:t>
            </w:r>
          </w:p>
        </w:tc>
        <w:tc>
          <w:tcPr>
            <w:tcW w:w="1843" w:type="dxa"/>
            <w:vAlign w:val="center"/>
          </w:tcPr>
          <w:p w:rsidR="00E23821" w:rsidRDefault="00F778C4">
            <w:pPr>
              <w:jc w:val="center"/>
            </w:pPr>
            <w:r>
              <w:rPr>
                <w:kern w:val="0"/>
              </w:rPr>
              <w:t>20220224-20220308</w:t>
            </w:r>
          </w:p>
        </w:tc>
        <w:tc>
          <w:tcPr>
            <w:tcW w:w="851" w:type="dxa"/>
            <w:vAlign w:val="center"/>
          </w:tcPr>
          <w:p w:rsidR="00E23821" w:rsidRDefault="00F778C4">
            <w:pPr>
              <w:jc w:val="center"/>
            </w:pPr>
            <w:r>
              <w:rPr>
                <w:kern w:val="0"/>
              </w:rPr>
              <w:t>3,983,827.49</w:t>
            </w:r>
          </w:p>
        </w:tc>
        <w:tc>
          <w:tcPr>
            <w:tcW w:w="850" w:type="dxa"/>
            <w:vAlign w:val="center"/>
          </w:tcPr>
          <w:p w:rsidR="00E23821" w:rsidRDefault="00F778C4">
            <w:pPr>
              <w:jc w:val="center"/>
            </w:pPr>
            <w:r>
              <w:rPr>
                <w:kern w:val="0"/>
              </w:rPr>
              <w:t>0.00</w:t>
            </w:r>
          </w:p>
        </w:tc>
        <w:tc>
          <w:tcPr>
            <w:tcW w:w="1134" w:type="dxa"/>
            <w:vAlign w:val="center"/>
          </w:tcPr>
          <w:p w:rsidR="00E23821" w:rsidRDefault="00F778C4">
            <w:pPr>
              <w:jc w:val="center"/>
            </w:pPr>
            <w:r>
              <w:rPr>
                <w:kern w:val="0"/>
              </w:rPr>
              <w:t>0.00</w:t>
            </w:r>
          </w:p>
        </w:tc>
        <w:tc>
          <w:tcPr>
            <w:tcW w:w="1419" w:type="dxa"/>
            <w:vAlign w:val="center"/>
          </w:tcPr>
          <w:p w:rsidR="00E23821" w:rsidRDefault="00F778C4">
            <w:pPr>
              <w:jc w:val="center"/>
            </w:pPr>
            <w:r>
              <w:rPr>
                <w:kern w:val="0"/>
              </w:rPr>
              <w:t>3,983,827.49</w:t>
            </w:r>
          </w:p>
        </w:tc>
        <w:tc>
          <w:tcPr>
            <w:tcW w:w="1130" w:type="dxa"/>
            <w:vAlign w:val="center"/>
          </w:tcPr>
          <w:p w:rsidR="00E23821" w:rsidRDefault="00F778C4">
            <w:pPr>
              <w:jc w:val="center"/>
            </w:pPr>
            <w:r>
              <w:rPr>
                <w:kern w:val="0"/>
              </w:rPr>
              <w:t>20.27%</w:t>
            </w:r>
          </w:p>
        </w:tc>
      </w:tr>
      <w:tr w:rsidR="00D06738" w:rsidRPr="00FF6B9A">
        <w:tc>
          <w:tcPr>
            <w:tcW w:w="9212" w:type="dxa"/>
            <w:gridSpan w:val="8"/>
            <w:vAlign w:val="center"/>
          </w:tcPr>
          <w:p w:rsidR="00D06738" w:rsidRPr="00FF6B9A" w:rsidRDefault="00454D20">
            <w:pPr>
              <w:autoSpaceDE w:val="0"/>
              <w:autoSpaceDN w:val="0"/>
              <w:adjustRightInd w:val="0"/>
              <w:jc w:val="center"/>
              <w:rPr>
                <w:kern w:val="0"/>
              </w:rPr>
            </w:pPr>
            <w:r w:rsidRPr="00FF6B9A">
              <w:rPr>
                <w:color w:val="000000"/>
                <w:kern w:val="0"/>
              </w:rPr>
              <w:t>产品特有风险</w:t>
            </w:r>
          </w:p>
        </w:tc>
      </w:tr>
      <w:tr w:rsidR="00D06738" w:rsidRPr="00FF6B9A">
        <w:tc>
          <w:tcPr>
            <w:tcW w:w="9212" w:type="dxa"/>
            <w:gridSpan w:val="8"/>
            <w:vAlign w:val="center"/>
          </w:tcPr>
          <w:p w:rsidR="00D06738" w:rsidRPr="00FF6B9A" w:rsidRDefault="00454D20">
            <w:pPr>
              <w:autoSpaceDE w:val="0"/>
              <w:autoSpaceDN w:val="0"/>
              <w:adjustRightInd w:val="0"/>
              <w:jc w:val="left"/>
              <w:rPr>
                <w:kern w:val="0"/>
              </w:rPr>
            </w:pPr>
            <w:r w:rsidRPr="00FF6B9A">
              <w:rPr>
                <w:kern w:val="0"/>
              </w:rPr>
              <w:t>本基金的集中度风险主要体现在有单一投资者持有基金份额比例达到或者超过</w:t>
            </w:r>
            <w:r w:rsidRPr="00FF6B9A">
              <w:rPr>
                <w:kern w:val="0"/>
              </w:rPr>
              <w:t>20%</w:t>
            </w:r>
            <w:r w:rsidRPr="00FF6B9A">
              <w:rPr>
                <w:kern w:val="0"/>
              </w:rPr>
              <w:t>，如果投资者发生大额赎回，可能出现基金可变现资产无法满足投资者赎回需要以及因为资产变现成本过高导致投资者的利益受到损害的风险。</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§9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9.1 </w:t>
      </w:r>
      <w:r w:rsidRPr="00FF6B9A">
        <w:rPr>
          <w:rFonts w:eastAsiaTheme="minorEastAsia"/>
          <w:b/>
          <w:bCs/>
          <w:color w:val="000000" w:themeColor="text1"/>
          <w:kern w:val="0"/>
          <w:sz w:val="24"/>
          <w:szCs w:val="24"/>
        </w:rPr>
        <w:t>备查文件目录</w:t>
      </w:r>
    </w:p>
    <w:p w:rsidR="00E23821" w:rsidRDefault="00F778C4">
      <w:pPr>
        <w:spacing w:line="360" w:lineRule="auto"/>
        <w:ind w:firstLineChars="200" w:firstLine="420"/>
        <w:rPr>
          <w:rFonts w:eastAsiaTheme="minorEastAsia"/>
          <w:color w:val="000000" w:themeColor="text1"/>
        </w:rPr>
      </w:pPr>
      <w:r>
        <w:rPr>
          <w:rFonts w:eastAsiaTheme="minorEastAsia"/>
          <w:color w:val="000000" w:themeColor="text1"/>
        </w:rPr>
        <w:lastRenderedPageBreak/>
        <w:t>1</w:t>
      </w:r>
      <w:r>
        <w:rPr>
          <w:rFonts w:eastAsiaTheme="minorEastAsia"/>
          <w:color w:val="000000" w:themeColor="text1"/>
        </w:rPr>
        <w:t>、中国证监会准予上投摩根文体休闲灵活配置混合型证券投资基金募集注册的文件</w:t>
      </w:r>
    </w:p>
    <w:p w:rsidR="00E23821" w:rsidRDefault="00F778C4">
      <w:pPr>
        <w:spacing w:line="360" w:lineRule="auto"/>
        <w:ind w:firstLineChars="200" w:firstLine="420"/>
        <w:rPr>
          <w:rFonts w:eastAsiaTheme="minorEastAsia"/>
          <w:color w:val="000000" w:themeColor="text1"/>
        </w:rPr>
      </w:pPr>
      <w:r>
        <w:rPr>
          <w:rFonts w:eastAsiaTheme="minorEastAsia"/>
          <w:color w:val="000000" w:themeColor="text1"/>
        </w:rPr>
        <w:t>2</w:t>
      </w:r>
      <w:r>
        <w:rPr>
          <w:rFonts w:eastAsiaTheme="minorEastAsia"/>
          <w:color w:val="000000" w:themeColor="text1"/>
        </w:rPr>
        <w:t>、《上投摩根文体休闲灵活配置混合型证券投资基金基金合同》</w:t>
      </w:r>
    </w:p>
    <w:p w:rsidR="00E23821" w:rsidRDefault="00F778C4">
      <w:pPr>
        <w:spacing w:line="360" w:lineRule="auto"/>
        <w:ind w:firstLineChars="200" w:firstLine="420"/>
        <w:rPr>
          <w:rFonts w:eastAsiaTheme="minorEastAsia"/>
          <w:color w:val="000000" w:themeColor="text1"/>
        </w:rPr>
      </w:pPr>
      <w:r>
        <w:rPr>
          <w:rFonts w:eastAsiaTheme="minorEastAsia"/>
          <w:color w:val="000000" w:themeColor="text1"/>
        </w:rPr>
        <w:t>3</w:t>
      </w:r>
      <w:r>
        <w:rPr>
          <w:rFonts w:eastAsiaTheme="minorEastAsia"/>
          <w:color w:val="000000" w:themeColor="text1"/>
        </w:rPr>
        <w:t>、《上投摩根文体休闲灵活配置混合型证券投资基金托管协议》</w:t>
      </w:r>
    </w:p>
    <w:p w:rsidR="00E23821" w:rsidRDefault="00F778C4">
      <w:pPr>
        <w:spacing w:line="360" w:lineRule="auto"/>
        <w:ind w:firstLineChars="200" w:firstLine="420"/>
        <w:rPr>
          <w:rFonts w:eastAsiaTheme="minorEastAsia"/>
          <w:color w:val="000000" w:themeColor="text1"/>
        </w:rPr>
      </w:pPr>
      <w:r>
        <w:rPr>
          <w:rFonts w:eastAsiaTheme="minorEastAsia"/>
          <w:color w:val="000000" w:themeColor="text1"/>
        </w:rPr>
        <w:t>4</w:t>
      </w:r>
      <w:r>
        <w:rPr>
          <w:rFonts w:eastAsiaTheme="minorEastAsia"/>
          <w:color w:val="000000" w:themeColor="text1"/>
        </w:rPr>
        <w:t>、《上投摩根基金管理有限公司开放式基金业务规则》</w:t>
      </w:r>
    </w:p>
    <w:p w:rsidR="00E23821" w:rsidRDefault="00F778C4">
      <w:pPr>
        <w:spacing w:line="360" w:lineRule="auto"/>
        <w:ind w:firstLineChars="200" w:firstLine="420"/>
        <w:rPr>
          <w:rFonts w:eastAsiaTheme="minorEastAsia"/>
          <w:color w:val="000000" w:themeColor="text1"/>
        </w:rPr>
      </w:pPr>
      <w:r>
        <w:rPr>
          <w:rFonts w:eastAsiaTheme="minorEastAsia"/>
          <w:color w:val="000000" w:themeColor="text1"/>
        </w:rPr>
        <w:t>5</w:t>
      </w:r>
      <w:r>
        <w:rPr>
          <w:rFonts w:eastAsiaTheme="minorEastAsia"/>
          <w:color w:val="000000" w:themeColor="text1"/>
        </w:rPr>
        <w:t>、基金管理人业务资格批件、营业执照</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6</w:t>
      </w:r>
      <w:r w:rsidRPr="00FF6B9A">
        <w:rPr>
          <w:rFonts w:eastAsiaTheme="minorEastAsia"/>
          <w:color w:val="000000" w:themeColor="text1"/>
        </w:rPr>
        <w:t>、基金托管人业务资格批件、营业执照</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9.2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基金管理人或基金托管人住所。</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9.3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上投摩根基金管理有限公司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二〇二二年四月二十二日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EA" w:rsidRDefault="007573EA">
      <w:r>
        <w:separator/>
      </w:r>
    </w:p>
  </w:endnote>
  <w:endnote w:type="continuationSeparator" w:id="0">
    <w:p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F778C4" w:rsidRPr="00F778C4">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F778C4">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EA" w:rsidRDefault="007573EA">
      <w:r>
        <w:separator/>
      </w:r>
    </w:p>
  </w:footnote>
  <w:footnote w:type="continuationSeparator" w:id="0">
    <w:p w:rsidR="007573EA" w:rsidRDefault="0075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上投摩根文体休闲灵活配置混合型证券投资基金</w:t>
    </w:r>
    <w:r>
      <w:rPr>
        <w:rFonts w:hint="eastAsia"/>
      </w:rPr>
      <w:t>2022</w:t>
    </w:r>
    <w:r>
      <w:rPr>
        <w:rFonts w:hint="eastAsia"/>
      </w:rPr>
      <w:t>年第</w:t>
    </w:r>
    <w:r>
      <w:rPr>
        <w:rFonts w:hint="eastAsia"/>
      </w:rPr>
      <w:t>1</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23821"/>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778C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8C6797-71CE-48CA-B9F0-092577113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1133</Words>
  <Characters>6462</Characters>
  <Application>Microsoft Office Word</Application>
  <DocSecurity>0</DocSecurity>
  <Lines>53</Lines>
  <Paragraphs>15</Paragraphs>
  <ScaleCrop>false</ScaleCrop>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Jesse.Zhang@FA</cp:lastModifiedBy>
  <cp:revision>268</cp:revision>
  <dcterms:created xsi:type="dcterms:W3CDTF">2012-10-16T06:07:00Z</dcterms:created>
  <dcterms:modified xsi:type="dcterms:W3CDTF">2022-04-21T03:00:00Z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