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摩根中国世纪灵活配置混合型证券投资基金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年第</w:t>
      </w:r>
      <w:r w:rsidRPr="00A76A42">
        <w:rPr>
          <w:rFonts w:eastAsiaTheme="minorEastAsia"/>
          <w:b/>
          <w:color w:val="000000" w:themeColor="text1"/>
          <w:sz w:val="36"/>
          <w:szCs w:val="36"/>
        </w:rPr>
        <w:t>2</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w:t>
      </w:r>
      <w:r w:rsidRPr="00A76A42">
        <w:rPr>
          <w:rFonts w:eastAsiaTheme="minorEastAsia"/>
          <w:b/>
          <w:color w:val="000000" w:themeColor="text1"/>
          <w:sz w:val="36"/>
          <w:szCs w:val="36"/>
        </w:rPr>
        <w:t>6</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二〇二四年七月十九日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摩根中国世纪混合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2016</w:t>
            </w:r>
            <w:r w:rsidRPr="00A76A42">
              <w:rPr>
                <w:rFonts w:eastAsiaTheme="minorEastAsia"/>
                <w:color w:val="000000" w:themeColor="text1"/>
                <w:kern w:val="0"/>
                <w:szCs w:val="21"/>
              </w:rPr>
              <w:t>年</w:t>
            </w:r>
            <w:r w:rsidRPr="00A76A42">
              <w:rPr>
                <w:rFonts w:eastAsiaTheme="minorEastAsia"/>
                <w:color w:val="000000" w:themeColor="text1"/>
                <w:kern w:val="0"/>
                <w:szCs w:val="21"/>
              </w:rPr>
              <w:t>11</w:t>
            </w:r>
            <w:r w:rsidRPr="00A76A42">
              <w:rPr>
                <w:rFonts w:eastAsiaTheme="minorEastAsia"/>
                <w:color w:val="000000" w:themeColor="text1"/>
                <w:kern w:val="0"/>
                <w:szCs w:val="21"/>
              </w:rPr>
              <w:t>月</w:t>
            </w:r>
            <w:r w:rsidRPr="00A76A42">
              <w:rPr>
                <w:rFonts w:eastAsiaTheme="minorEastAsia"/>
                <w:color w:val="000000" w:themeColor="text1"/>
                <w:kern w:val="0"/>
                <w:szCs w:val="21"/>
              </w:rPr>
              <w:t>11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76,249,607.47</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本基金采用定量及定性研究方法，自下而上优选在中国境内及香港、美国等海外市场上市的中国公司，通过严格风险控制，力争实现基金资产的长期增值。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、各市场资产配置策略</w:t>
            </w:r>
          </w:p>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本基金综合考虑不同市场的宏观经济环境、增长和通胀背景、不同市场的估值水平和流动性因素、相关公司所处的发展阶段、盈利前景和竞争环境以及其他重要要素将基金</w:t>
            </w:r>
            <w:r>
              <w:rPr>
                <w:rFonts w:eastAsiaTheme="minorEastAsia"/>
                <w:color w:val="000000" w:themeColor="text1"/>
                <w:kern w:val="0"/>
                <w:szCs w:val="21"/>
              </w:rPr>
              <w:lastRenderedPageBreak/>
              <w:t>资产在中国境内及香港、美国等海外市场之间进行配置。另外，本基金将根据各类证券的风险收益特征的相对变化，适度的调整确定基金资产在股票、债券及现金等类别资产间的分配比例。</w:t>
            </w:r>
          </w:p>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）中国境内市场投资策略</w:t>
            </w:r>
          </w:p>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本基金将专注投资于影响国民经济的龙头行业、经济转型和产业升级过程中的重点行业和具备成长潜力的新兴行业。</w:t>
            </w:r>
          </w:p>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）香港、美国等海外市场投资策略</w:t>
            </w:r>
          </w:p>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结合宏观基本面，包含资金流向等对海外市场上市公司进行初步判断，并结合产业趋势以及公司发展前景自下而上进行布局，从公司商业模式、产品创新及竞争力、主营业务收入来源和区域分布等多维度进行考量，挖掘优质企业。</w:t>
            </w:r>
          </w:p>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本基金债券投资将采取多种积极投资策略，自上而下地管理组合的久期，同时精选个券，以增强组合的持有期收益。</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、其他投资策略：包括股指期货投资策略、资产支持证券投资策略、权证投资策略、金融衍生品投资策略、存托凭证投资策略。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中证中国内地企业</w:t>
            </w:r>
            <w:r w:rsidRPr="00A76A42">
              <w:rPr>
                <w:rFonts w:eastAsiaTheme="minorEastAsia"/>
                <w:color w:val="000000" w:themeColor="text1"/>
                <w:kern w:val="0"/>
                <w:szCs w:val="21"/>
              </w:rPr>
              <w:t>500</w:t>
            </w:r>
            <w:r w:rsidRPr="00A76A42">
              <w:rPr>
                <w:rFonts w:eastAsiaTheme="minorEastAsia"/>
                <w:color w:val="000000" w:themeColor="text1"/>
                <w:kern w:val="0"/>
                <w:szCs w:val="21"/>
              </w:rPr>
              <w:t>指数收益率</w:t>
            </w:r>
            <w:r w:rsidRPr="00A76A42">
              <w:rPr>
                <w:rFonts w:eastAsiaTheme="minorEastAsia"/>
                <w:color w:val="000000" w:themeColor="text1"/>
                <w:kern w:val="0"/>
                <w:szCs w:val="21"/>
              </w:rPr>
              <w:t>×60%+</w:t>
            </w:r>
            <w:r w:rsidRPr="00A76A42">
              <w:rPr>
                <w:rFonts w:eastAsiaTheme="minorEastAsia"/>
                <w:color w:val="000000" w:themeColor="text1"/>
                <w:kern w:val="0"/>
                <w:szCs w:val="21"/>
              </w:rPr>
              <w:t>中债总指数收益率</w:t>
            </w:r>
            <w:r w:rsidRPr="00A76A42">
              <w:rPr>
                <w:rFonts w:eastAsiaTheme="minorEastAsia"/>
                <w:color w:val="000000" w:themeColor="text1"/>
                <w:kern w:val="0"/>
                <w:szCs w:val="21"/>
              </w:rPr>
              <w:t>×40%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F7735C" w:rsidRDefault="00AD68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本基金属于混合型基金产品，预期风险和收益水平低于股票型基金，高于债券型基金和货币市场基金，属于中等风险收益水平的基金产品。</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A76A42">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AD6886" w:rsidRPr="00A76A42" w:rsidTr="00AD6886">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AD6886" w:rsidRPr="00A76A42" w:rsidTr="00AD6886">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8,253,228.77</w:t>
            </w:r>
          </w:p>
        </w:tc>
      </w:tr>
      <w:tr w:rsidR="00AD6886" w:rsidRPr="00A76A42" w:rsidTr="00AD6886">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-1,734,386.68</w:t>
            </w:r>
          </w:p>
        </w:tc>
      </w:tr>
      <w:tr w:rsidR="00AD6886" w:rsidRPr="00A76A42" w:rsidTr="00AD6886">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-0.0223</w:t>
            </w:r>
          </w:p>
        </w:tc>
      </w:tr>
      <w:tr w:rsidR="00AD6886" w:rsidRPr="00A76A42" w:rsidTr="00AD6886">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91,938,927.30</w:t>
            </w:r>
          </w:p>
        </w:tc>
      </w:tr>
      <w:tr w:rsidR="00AD6886" w:rsidRPr="00A76A42" w:rsidTr="00AD6886">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1.2058</w:t>
            </w:r>
          </w:p>
        </w:tc>
      </w:tr>
    </w:tbl>
    <w:p w:rsidR="00F7735C" w:rsidRDefault="00AD688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lastRenderedPageBreak/>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lastRenderedPageBreak/>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F7735C">
        <w:tc>
          <w:tcPr>
            <w:tcW w:w="1395" w:type="dxa"/>
            <w:vAlign w:val="center"/>
          </w:tcPr>
          <w:p w:rsidR="00F7735C" w:rsidRDefault="00AD6886">
            <w:pPr>
              <w:jc w:val="left"/>
            </w:pPr>
            <w:r>
              <w:rPr>
                <w:rFonts w:eastAsiaTheme="minorEastAsia"/>
                <w:color w:val="000000" w:themeColor="text1"/>
                <w:szCs w:val="21"/>
              </w:rPr>
              <w:t>过去三个月</w:t>
            </w:r>
          </w:p>
        </w:tc>
        <w:tc>
          <w:tcPr>
            <w:tcW w:w="1092" w:type="dxa"/>
            <w:vAlign w:val="center"/>
          </w:tcPr>
          <w:p w:rsidR="00F7735C" w:rsidRDefault="00AD6886">
            <w:pPr>
              <w:jc w:val="right"/>
            </w:pPr>
            <w:r>
              <w:rPr>
                <w:rFonts w:eastAsiaTheme="minorEastAsia"/>
                <w:color w:val="000000" w:themeColor="text1"/>
                <w:szCs w:val="21"/>
              </w:rPr>
              <w:t>-2.00%</w:t>
            </w:r>
          </w:p>
        </w:tc>
        <w:tc>
          <w:tcPr>
            <w:tcW w:w="1161" w:type="dxa"/>
            <w:vAlign w:val="center"/>
          </w:tcPr>
          <w:p w:rsidR="00F7735C" w:rsidRDefault="00AD6886">
            <w:pPr>
              <w:jc w:val="right"/>
            </w:pPr>
            <w:r>
              <w:rPr>
                <w:rFonts w:eastAsiaTheme="minorEastAsia"/>
                <w:color w:val="000000" w:themeColor="text1"/>
                <w:szCs w:val="21"/>
              </w:rPr>
              <w:t>1.03%</w:t>
            </w:r>
          </w:p>
        </w:tc>
        <w:tc>
          <w:tcPr>
            <w:tcW w:w="1181" w:type="dxa"/>
            <w:vAlign w:val="center"/>
          </w:tcPr>
          <w:p w:rsidR="00F7735C" w:rsidRDefault="00AD6886">
            <w:pPr>
              <w:jc w:val="right"/>
            </w:pPr>
            <w:r>
              <w:rPr>
                <w:rFonts w:eastAsiaTheme="minorEastAsia"/>
                <w:color w:val="000000" w:themeColor="text1"/>
                <w:szCs w:val="21"/>
              </w:rPr>
              <w:t>1.55%</w:t>
            </w:r>
          </w:p>
        </w:tc>
        <w:tc>
          <w:tcPr>
            <w:tcW w:w="1188" w:type="dxa"/>
            <w:vAlign w:val="center"/>
          </w:tcPr>
          <w:p w:rsidR="00F7735C" w:rsidRDefault="00AD6886">
            <w:pPr>
              <w:jc w:val="right"/>
            </w:pPr>
            <w:r>
              <w:rPr>
                <w:rFonts w:eastAsiaTheme="minorEastAsia"/>
                <w:color w:val="000000" w:themeColor="text1"/>
                <w:szCs w:val="21"/>
              </w:rPr>
              <w:t>0.55%</w:t>
            </w:r>
          </w:p>
        </w:tc>
        <w:tc>
          <w:tcPr>
            <w:tcW w:w="1199" w:type="dxa"/>
            <w:vAlign w:val="center"/>
          </w:tcPr>
          <w:p w:rsidR="00F7735C" w:rsidRDefault="00AD6886">
            <w:pPr>
              <w:jc w:val="right"/>
            </w:pPr>
            <w:r>
              <w:rPr>
                <w:rFonts w:eastAsiaTheme="minorEastAsia"/>
                <w:color w:val="000000" w:themeColor="text1"/>
                <w:szCs w:val="21"/>
              </w:rPr>
              <w:t>-3.55%</w:t>
            </w:r>
          </w:p>
        </w:tc>
        <w:tc>
          <w:tcPr>
            <w:tcW w:w="1204" w:type="dxa"/>
            <w:vAlign w:val="center"/>
          </w:tcPr>
          <w:p w:rsidR="00F7735C" w:rsidRDefault="00AD6886">
            <w:pPr>
              <w:jc w:val="right"/>
            </w:pPr>
            <w:r>
              <w:rPr>
                <w:rFonts w:eastAsiaTheme="minorEastAsia"/>
                <w:color w:val="000000" w:themeColor="text1"/>
                <w:szCs w:val="21"/>
              </w:rPr>
              <w:t>0.48%</w:t>
            </w:r>
          </w:p>
        </w:tc>
      </w:tr>
      <w:tr w:rsidR="00F7735C">
        <w:tc>
          <w:tcPr>
            <w:tcW w:w="1395" w:type="dxa"/>
            <w:vAlign w:val="center"/>
          </w:tcPr>
          <w:p w:rsidR="00F7735C" w:rsidRDefault="00AD6886">
            <w:pPr>
              <w:jc w:val="left"/>
            </w:pPr>
            <w:r>
              <w:rPr>
                <w:rFonts w:eastAsiaTheme="minorEastAsia"/>
                <w:color w:val="000000" w:themeColor="text1"/>
                <w:szCs w:val="21"/>
              </w:rPr>
              <w:t>过去六个月</w:t>
            </w:r>
          </w:p>
        </w:tc>
        <w:tc>
          <w:tcPr>
            <w:tcW w:w="1092" w:type="dxa"/>
            <w:vAlign w:val="center"/>
          </w:tcPr>
          <w:p w:rsidR="00F7735C" w:rsidRDefault="00AD6886">
            <w:pPr>
              <w:jc w:val="right"/>
            </w:pPr>
            <w:r>
              <w:rPr>
                <w:rFonts w:eastAsiaTheme="minorEastAsia"/>
                <w:color w:val="000000" w:themeColor="text1"/>
                <w:szCs w:val="21"/>
              </w:rPr>
              <w:t>4.11%</w:t>
            </w:r>
          </w:p>
        </w:tc>
        <w:tc>
          <w:tcPr>
            <w:tcW w:w="1161" w:type="dxa"/>
            <w:vAlign w:val="center"/>
          </w:tcPr>
          <w:p w:rsidR="00F7735C" w:rsidRDefault="00AD6886">
            <w:pPr>
              <w:jc w:val="right"/>
            </w:pPr>
            <w:r>
              <w:rPr>
                <w:rFonts w:eastAsiaTheme="minorEastAsia"/>
                <w:color w:val="000000" w:themeColor="text1"/>
                <w:szCs w:val="21"/>
              </w:rPr>
              <w:t>1.17%</w:t>
            </w:r>
          </w:p>
        </w:tc>
        <w:tc>
          <w:tcPr>
            <w:tcW w:w="1181" w:type="dxa"/>
            <w:vAlign w:val="center"/>
          </w:tcPr>
          <w:p w:rsidR="00F7735C" w:rsidRDefault="00AD6886">
            <w:pPr>
              <w:jc w:val="right"/>
            </w:pPr>
            <w:r>
              <w:rPr>
                <w:rFonts w:eastAsiaTheme="minorEastAsia"/>
                <w:color w:val="000000" w:themeColor="text1"/>
                <w:szCs w:val="21"/>
              </w:rPr>
              <w:t>2.75%</w:t>
            </w:r>
          </w:p>
        </w:tc>
        <w:tc>
          <w:tcPr>
            <w:tcW w:w="1188" w:type="dxa"/>
            <w:vAlign w:val="center"/>
          </w:tcPr>
          <w:p w:rsidR="00F7735C" w:rsidRDefault="00AD6886">
            <w:pPr>
              <w:jc w:val="right"/>
            </w:pPr>
            <w:r>
              <w:rPr>
                <w:rFonts w:eastAsiaTheme="minorEastAsia"/>
                <w:color w:val="000000" w:themeColor="text1"/>
                <w:szCs w:val="21"/>
              </w:rPr>
              <w:t>0.62%</w:t>
            </w:r>
          </w:p>
        </w:tc>
        <w:tc>
          <w:tcPr>
            <w:tcW w:w="1199" w:type="dxa"/>
            <w:vAlign w:val="center"/>
          </w:tcPr>
          <w:p w:rsidR="00F7735C" w:rsidRDefault="00AD6886">
            <w:pPr>
              <w:jc w:val="right"/>
            </w:pPr>
            <w:r>
              <w:rPr>
                <w:rFonts w:eastAsiaTheme="minorEastAsia"/>
                <w:color w:val="000000" w:themeColor="text1"/>
                <w:szCs w:val="21"/>
              </w:rPr>
              <w:t>1.36%</w:t>
            </w:r>
          </w:p>
        </w:tc>
        <w:tc>
          <w:tcPr>
            <w:tcW w:w="1204" w:type="dxa"/>
            <w:vAlign w:val="center"/>
          </w:tcPr>
          <w:p w:rsidR="00F7735C" w:rsidRDefault="00AD6886">
            <w:pPr>
              <w:jc w:val="right"/>
            </w:pPr>
            <w:r>
              <w:rPr>
                <w:rFonts w:eastAsiaTheme="minorEastAsia"/>
                <w:color w:val="000000" w:themeColor="text1"/>
                <w:szCs w:val="21"/>
              </w:rPr>
              <w:t>0.55%</w:t>
            </w:r>
          </w:p>
        </w:tc>
      </w:tr>
      <w:tr w:rsidR="00F7735C">
        <w:tc>
          <w:tcPr>
            <w:tcW w:w="1395" w:type="dxa"/>
            <w:vAlign w:val="center"/>
          </w:tcPr>
          <w:p w:rsidR="00F7735C" w:rsidRDefault="00AD6886">
            <w:pPr>
              <w:jc w:val="left"/>
            </w:pPr>
            <w:r>
              <w:rPr>
                <w:rFonts w:eastAsiaTheme="minorEastAsia"/>
                <w:color w:val="000000" w:themeColor="text1"/>
                <w:szCs w:val="21"/>
              </w:rPr>
              <w:t>过去一年</w:t>
            </w:r>
          </w:p>
        </w:tc>
        <w:tc>
          <w:tcPr>
            <w:tcW w:w="1092" w:type="dxa"/>
            <w:vAlign w:val="center"/>
          </w:tcPr>
          <w:p w:rsidR="00F7735C" w:rsidRDefault="00AD6886">
            <w:pPr>
              <w:jc w:val="right"/>
            </w:pPr>
            <w:r>
              <w:rPr>
                <w:rFonts w:eastAsiaTheme="minorEastAsia"/>
                <w:color w:val="000000" w:themeColor="text1"/>
                <w:szCs w:val="21"/>
              </w:rPr>
              <w:t>-7.17%</w:t>
            </w:r>
          </w:p>
        </w:tc>
        <w:tc>
          <w:tcPr>
            <w:tcW w:w="1161" w:type="dxa"/>
            <w:vAlign w:val="center"/>
          </w:tcPr>
          <w:p w:rsidR="00F7735C" w:rsidRDefault="00AD6886">
            <w:pPr>
              <w:jc w:val="right"/>
            </w:pPr>
            <w:r>
              <w:rPr>
                <w:rFonts w:eastAsiaTheme="minorEastAsia"/>
                <w:color w:val="000000" w:themeColor="text1"/>
                <w:szCs w:val="21"/>
              </w:rPr>
              <w:t>1.00%</w:t>
            </w:r>
          </w:p>
        </w:tc>
        <w:tc>
          <w:tcPr>
            <w:tcW w:w="1181" w:type="dxa"/>
            <w:vAlign w:val="center"/>
          </w:tcPr>
          <w:p w:rsidR="00F7735C" w:rsidRDefault="00AD6886">
            <w:pPr>
              <w:jc w:val="right"/>
            </w:pPr>
            <w:r>
              <w:rPr>
                <w:rFonts w:eastAsiaTheme="minorEastAsia"/>
                <w:color w:val="000000" w:themeColor="text1"/>
                <w:szCs w:val="21"/>
              </w:rPr>
              <w:t>-3.34%</w:t>
            </w:r>
          </w:p>
        </w:tc>
        <w:tc>
          <w:tcPr>
            <w:tcW w:w="1188" w:type="dxa"/>
            <w:vAlign w:val="center"/>
          </w:tcPr>
          <w:p w:rsidR="00F7735C" w:rsidRDefault="00AD6886">
            <w:pPr>
              <w:jc w:val="right"/>
            </w:pPr>
            <w:r>
              <w:rPr>
                <w:rFonts w:eastAsiaTheme="minorEastAsia"/>
                <w:color w:val="000000" w:themeColor="text1"/>
                <w:szCs w:val="21"/>
              </w:rPr>
              <w:t>0.59%</w:t>
            </w:r>
          </w:p>
        </w:tc>
        <w:tc>
          <w:tcPr>
            <w:tcW w:w="1199" w:type="dxa"/>
            <w:vAlign w:val="center"/>
          </w:tcPr>
          <w:p w:rsidR="00F7735C" w:rsidRDefault="00AD6886">
            <w:pPr>
              <w:jc w:val="right"/>
            </w:pPr>
            <w:r>
              <w:rPr>
                <w:rFonts w:eastAsiaTheme="minorEastAsia"/>
                <w:color w:val="000000" w:themeColor="text1"/>
                <w:szCs w:val="21"/>
              </w:rPr>
              <w:t>-3.83%</w:t>
            </w:r>
          </w:p>
        </w:tc>
        <w:tc>
          <w:tcPr>
            <w:tcW w:w="1204" w:type="dxa"/>
            <w:vAlign w:val="center"/>
          </w:tcPr>
          <w:p w:rsidR="00F7735C" w:rsidRDefault="00AD6886">
            <w:pPr>
              <w:jc w:val="right"/>
            </w:pPr>
            <w:r>
              <w:rPr>
                <w:rFonts w:eastAsiaTheme="minorEastAsia"/>
                <w:color w:val="000000" w:themeColor="text1"/>
                <w:szCs w:val="21"/>
              </w:rPr>
              <w:t>0.41%</w:t>
            </w:r>
          </w:p>
        </w:tc>
      </w:tr>
      <w:tr w:rsidR="00F7735C">
        <w:tc>
          <w:tcPr>
            <w:tcW w:w="1395" w:type="dxa"/>
            <w:vAlign w:val="center"/>
          </w:tcPr>
          <w:p w:rsidR="00F7735C" w:rsidRDefault="00AD6886">
            <w:pPr>
              <w:jc w:val="left"/>
            </w:pPr>
            <w:r>
              <w:rPr>
                <w:rFonts w:eastAsiaTheme="minorEastAsia"/>
                <w:color w:val="000000" w:themeColor="text1"/>
                <w:szCs w:val="21"/>
              </w:rPr>
              <w:t>过去三年</w:t>
            </w:r>
          </w:p>
        </w:tc>
        <w:tc>
          <w:tcPr>
            <w:tcW w:w="1092" w:type="dxa"/>
            <w:vAlign w:val="center"/>
          </w:tcPr>
          <w:p w:rsidR="00F7735C" w:rsidRDefault="00AD6886">
            <w:pPr>
              <w:jc w:val="right"/>
            </w:pPr>
            <w:r>
              <w:rPr>
                <w:rFonts w:eastAsiaTheme="minorEastAsia"/>
                <w:color w:val="000000" w:themeColor="text1"/>
                <w:szCs w:val="21"/>
              </w:rPr>
              <w:t>-47.07%</w:t>
            </w:r>
          </w:p>
        </w:tc>
        <w:tc>
          <w:tcPr>
            <w:tcW w:w="1161" w:type="dxa"/>
            <w:vAlign w:val="center"/>
          </w:tcPr>
          <w:p w:rsidR="00F7735C" w:rsidRDefault="00AD6886">
            <w:pPr>
              <w:jc w:val="right"/>
            </w:pPr>
            <w:r>
              <w:rPr>
                <w:rFonts w:eastAsiaTheme="minorEastAsia"/>
                <w:color w:val="000000" w:themeColor="text1"/>
                <w:szCs w:val="21"/>
              </w:rPr>
              <w:t>1.26%</w:t>
            </w:r>
          </w:p>
        </w:tc>
        <w:tc>
          <w:tcPr>
            <w:tcW w:w="1181" w:type="dxa"/>
            <w:vAlign w:val="center"/>
          </w:tcPr>
          <w:p w:rsidR="00F7735C" w:rsidRDefault="00AD6886">
            <w:pPr>
              <w:jc w:val="right"/>
            </w:pPr>
            <w:r>
              <w:rPr>
                <w:rFonts w:eastAsiaTheme="minorEastAsia"/>
                <w:color w:val="000000" w:themeColor="text1"/>
                <w:szCs w:val="21"/>
              </w:rPr>
              <w:t>-18.30%</w:t>
            </w:r>
          </w:p>
        </w:tc>
        <w:tc>
          <w:tcPr>
            <w:tcW w:w="1188" w:type="dxa"/>
            <w:vAlign w:val="center"/>
          </w:tcPr>
          <w:p w:rsidR="00F7735C" w:rsidRDefault="00AD6886">
            <w:pPr>
              <w:jc w:val="right"/>
            </w:pPr>
            <w:r>
              <w:rPr>
                <w:rFonts w:eastAsiaTheme="minorEastAsia"/>
                <w:color w:val="000000" w:themeColor="text1"/>
                <w:szCs w:val="21"/>
              </w:rPr>
              <w:t>0.75%</w:t>
            </w:r>
          </w:p>
        </w:tc>
        <w:tc>
          <w:tcPr>
            <w:tcW w:w="1199" w:type="dxa"/>
            <w:vAlign w:val="center"/>
          </w:tcPr>
          <w:p w:rsidR="00F7735C" w:rsidRDefault="00AD6886">
            <w:pPr>
              <w:jc w:val="right"/>
            </w:pPr>
            <w:r>
              <w:rPr>
                <w:rFonts w:eastAsiaTheme="minorEastAsia"/>
                <w:color w:val="000000" w:themeColor="text1"/>
                <w:szCs w:val="21"/>
              </w:rPr>
              <w:t>-28.77%</w:t>
            </w:r>
          </w:p>
        </w:tc>
        <w:tc>
          <w:tcPr>
            <w:tcW w:w="1204" w:type="dxa"/>
            <w:vAlign w:val="center"/>
          </w:tcPr>
          <w:p w:rsidR="00F7735C" w:rsidRDefault="00AD6886">
            <w:pPr>
              <w:jc w:val="right"/>
            </w:pPr>
            <w:r>
              <w:rPr>
                <w:rFonts w:eastAsiaTheme="minorEastAsia"/>
                <w:color w:val="000000" w:themeColor="text1"/>
                <w:szCs w:val="21"/>
              </w:rPr>
              <w:t>0.51%</w:t>
            </w:r>
          </w:p>
        </w:tc>
      </w:tr>
      <w:tr w:rsidR="00F7735C">
        <w:tc>
          <w:tcPr>
            <w:tcW w:w="1395" w:type="dxa"/>
            <w:vAlign w:val="center"/>
          </w:tcPr>
          <w:p w:rsidR="00F7735C" w:rsidRDefault="00AD6886">
            <w:pPr>
              <w:jc w:val="left"/>
            </w:pPr>
            <w:r>
              <w:rPr>
                <w:rFonts w:eastAsiaTheme="minorEastAsia"/>
                <w:color w:val="000000" w:themeColor="text1"/>
                <w:szCs w:val="21"/>
              </w:rPr>
              <w:t>过去五年</w:t>
            </w:r>
          </w:p>
        </w:tc>
        <w:tc>
          <w:tcPr>
            <w:tcW w:w="1092" w:type="dxa"/>
            <w:vAlign w:val="center"/>
          </w:tcPr>
          <w:p w:rsidR="00F7735C" w:rsidRDefault="00AD6886">
            <w:pPr>
              <w:jc w:val="right"/>
            </w:pPr>
            <w:r>
              <w:rPr>
                <w:rFonts w:eastAsiaTheme="minorEastAsia"/>
                <w:color w:val="000000" w:themeColor="text1"/>
                <w:szCs w:val="21"/>
              </w:rPr>
              <w:t>-9.06%</w:t>
            </w:r>
          </w:p>
        </w:tc>
        <w:tc>
          <w:tcPr>
            <w:tcW w:w="1161" w:type="dxa"/>
            <w:vAlign w:val="center"/>
          </w:tcPr>
          <w:p w:rsidR="00F7735C" w:rsidRDefault="00AD6886">
            <w:pPr>
              <w:jc w:val="right"/>
            </w:pPr>
            <w:r>
              <w:rPr>
                <w:rFonts w:eastAsiaTheme="minorEastAsia"/>
                <w:color w:val="000000" w:themeColor="text1"/>
                <w:szCs w:val="21"/>
              </w:rPr>
              <w:t>1.35%</w:t>
            </w:r>
          </w:p>
        </w:tc>
        <w:tc>
          <w:tcPr>
            <w:tcW w:w="1181" w:type="dxa"/>
            <w:vAlign w:val="center"/>
          </w:tcPr>
          <w:p w:rsidR="00F7735C" w:rsidRDefault="00AD6886">
            <w:pPr>
              <w:jc w:val="right"/>
            </w:pPr>
            <w:r>
              <w:rPr>
                <w:rFonts w:eastAsiaTheme="minorEastAsia"/>
                <w:color w:val="000000" w:themeColor="text1"/>
                <w:szCs w:val="21"/>
              </w:rPr>
              <w:t>6.46%</w:t>
            </w:r>
          </w:p>
        </w:tc>
        <w:tc>
          <w:tcPr>
            <w:tcW w:w="1188" w:type="dxa"/>
            <w:vAlign w:val="center"/>
          </w:tcPr>
          <w:p w:rsidR="00F7735C" w:rsidRDefault="00AD6886">
            <w:pPr>
              <w:jc w:val="right"/>
            </w:pPr>
            <w:r>
              <w:rPr>
                <w:rFonts w:eastAsiaTheme="minorEastAsia"/>
                <w:color w:val="000000" w:themeColor="text1"/>
                <w:szCs w:val="21"/>
              </w:rPr>
              <w:t>0.75%</w:t>
            </w:r>
          </w:p>
        </w:tc>
        <w:tc>
          <w:tcPr>
            <w:tcW w:w="1199" w:type="dxa"/>
            <w:vAlign w:val="center"/>
          </w:tcPr>
          <w:p w:rsidR="00F7735C" w:rsidRDefault="00AD6886">
            <w:pPr>
              <w:jc w:val="right"/>
            </w:pPr>
            <w:r>
              <w:rPr>
                <w:rFonts w:eastAsiaTheme="minorEastAsia"/>
                <w:color w:val="000000" w:themeColor="text1"/>
                <w:szCs w:val="21"/>
              </w:rPr>
              <w:t>-15.52%</w:t>
            </w:r>
          </w:p>
        </w:tc>
        <w:tc>
          <w:tcPr>
            <w:tcW w:w="1204" w:type="dxa"/>
            <w:vAlign w:val="center"/>
          </w:tcPr>
          <w:p w:rsidR="00F7735C" w:rsidRDefault="00AD6886">
            <w:pPr>
              <w:jc w:val="right"/>
            </w:pPr>
            <w:r>
              <w:rPr>
                <w:rFonts w:eastAsiaTheme="minorEastAsia"/>
                <w:color w:val="000000" w:themeColor="text1"/>
                <w:szCs w:val="21"/>
              </w:rPr>
              <w:t>0.60%</w:t>
            </w:r>
          </w:p>
        </w:tc>
      </w:tr>
      <w:tr w:rsidR="00F7735C">
        <w:tc>
          <w:tcPr>
            <w:tcW w:w="1395" w:type="dxa"/>
            <w:vAlign w:val="center"/>
          </w:tcPr>
          <w:p w:rsidR="00F7735C" w:rsidRDefault="00AD6886">
            <w:pPr>
              <w:jc w:val="left"/>
            </w:pPr>
            <w:r>
              <w:rPr>
                <w:rFonts w:eastAsiaTheme="minorEastAsia"/>
                <w:color w:val="000000" w:themeColor="text1"/>
                <w:szCs w:val="21"/>
              </w:rPr>
              <w:t>自基金合同生效起至今</w:t>
            </w:r>
          </w:p>
        </w:tc>
        <w:tc>
          <w:tcPr>
            <w:tcW w:w="1092" w:type="dxa"/>
            <w:vAlign w:val="center"/>
          </w:tcPr>
          <w:p w:rsidR="00F7735C" w:rsidRDefault="00AD6886">
            <w:pPr>
              <w:jc w:val="right"/>
            </w:pPr>
            <w:r>
              <w:rPr>
                <w:rFonts w:eastAsiaTheme="minorEastAsia"/>
                <w:color w:val="000000" w:themeColor="text1"/>
                <w:szCs w:val="21"/>
              </w:rPr>
              <w:t>20.58%</w:t>
            </w:r>
          </w:p>
        </w:tc>
        <w:tc>
          <w:tcPr>
            <w:tcW w:w="1161" w:type="dxa"/>
            <w:vAlign w:val="center"/>
          </w:tcPr>
          <w:p w:rsidR="00F7735C" w:rsidRDefault="00AD6886">
            <w:pPr>
              <w:jc w:val="right"/>
            </w:pPr>
            <w:r>
              <w:rPr>
                <w:rFonts w:eastAsiaTheme="minorEastAsia"/>
                <w:color w:val="000000" w:themeColor="text1"/>
                <w:szCs w:val="21"/>
              </w:rPr>
              <w:t>1.26%</w:t>
            </w:r>
          </w:p>
        </w:tc>
        <w:tc>
          <w:tcPr>
            <w:tcW w:w="1181" w:type="dxa"/>
            <w:vAlign w:val="center"/>
          </w:tcPr>
          <w:p w:rsidR="00F7735C" w:rsidRDefault="00AD6886">
            <w:pPr>
              <w:jc w:val="right"/>
            </w:pPr>
            <w:r>
              <w:rPr>
                <w:rFonts w:eastAsiaTheme="minorEastAsia"/>
                <w:color w:val="000000" w:themeColor="text1"/>
                <w:szCs w:val="21"/>
              </w:rPr>
              <w:t>21.22%</w:t>
            </w:r>
          </w:p>
        </w:tc>
        <w:tc>
          <w:tcPr>
            <w:tcW w:w="1188" w:type="dxa"/>
            <w:vAlign w:val="center"/>
          </w:tcPr>
          <w:p w:rsidR="00F7735C" w:rsidRDefault="00AD6886">
            <w:pPr>
              <w:jc w:val="right"/>
            </w:pPr>
            <w:r>
              <w:rPr>
                <w:rFonts w:eastAsiaTheme="minorEastAsia"/>
                <w:color w:val="000000" w:themeColor="text1"/>
                <w:szCs w:val="21"/>
              </w:rPr>
              <w:t>0.71%</w:t>
            </w:r>
          </w:p>
        </w:tc>
        <w:tc>
          <w:tcPr>
            <w:tcW w:w="1199" w:type="dxa"/>
            <w:vAlign w:val="center"/>
          </w:tcPr>
          <w:p w:rsidR="00F7735C" w:rsidRDefault="00AD6886">
            <w:pPr>
              <w:jc w:val="right"/>
            </w:pPr>
            <w:r>
              <w:rPr>
                <w:rFonts w:eastAsiaTheme="minorEastAsia"/>
                <w:color w:val="000000" w:themeColor="text1"/>
                <w:szCs w:val="21"/>
              </w:rPr>
              <w:t>-0.64%</w:t>
            </w:r>
          </w:p>
        </w:tc>
        <w:tc>
          <w:tcPr>
            <w:tcW w:w="1204" w:type="dxa"/>
            <w:vAlign w:val="center"/>
          </w:tcPr>
          <w:p w:rsidR="00F7735C" w:rsidRDefault="00AD6886">
            <w:pPr>
              <w:jc w:val="right"/>
            </w:pPr>
            <w:r>
              <w:rPr>
                <w:rFonts w:eastAsiaTheme="minorEastAsia"/>
                <w:color w:val="000000" w:themeColor="text1"/>
                <w:szCs w:val="21"/>
              </w:rPr>
              <w:t>0.55%</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摩根中国世纪灵活配置混合型证券投资基金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2016</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2024</w:t>
      </w:r>
      <w:r w:rsidRPr="00A76A42">
        <w:rPr>
          <w:rFonts w:eastAsiaTheme="minorEastAsia"/>
          <w:color w:val="000000" w:themeColor="text1"/>
          <w:kern w:val="0"/>
          <w:szCs w:val="21"/>
        </w:rPr>
        <w:t>年</w:t>
      </w:r>
      <w:r w:rsidRPr="00A76A42">
        <w:rPr>
          <w:rFonts w:eastAsiaTheme="minorEastAsia"/>
          <w:color w:val="000000" w:themeColor="text1"/>
          <w:kern w:val="0"/>
          <w:szCs w:val="21"/>
        </w:rPr>
        <w:t>6</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F7735C" w:rsidRDefault="00AD688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F7735C" w:rsidRDefault="00AD688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因中证指数公司于</w:t>
      </w:r>
      <w:r w:rsidRPr="00A76A42">
        <w:rPr>
          <w:rFonts w:eastAsiaTheme="minorEastAsia"/>
          <w:color w:val="000000" w:themeColor="text1"/>
          <w:szCs w:val="21"/>
        </w:rPr>
        <w:t>2020</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13</w:t>
      </w:r>
      <w:r w:rsidRPr="00A76A42">
        <w:rPr>
          <w:rFonts w:eastAsiaTheme="minorEastAsia"/>
          <w:color w:val="000000" w:themeColor="text1"/>
          <w:szCs w:val="21"/>
        </w:rPr>
        <w:t>日起将</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400</w:t>
      </w:r>
      <w:r w:rsidRPr="00A76A42">
        <w:rPr>
          <w:rFonts w:eastAsiaTheme="minorEastAsia"/>
          <w:color w:val="000000" w:themeColor="text1"/>
          <w:szCs w:val="21"/>
        </w:rPr>
        <w:t>指数</w:t>
      </w:r>
      <w:r w:rsidRPr="00A76A42">
        <w:rPr>
          <w:rFonts w:eastAsiaTheme="minorEastAsia"/>
          <w:color w:val="000000" w:themeColor="text1"/>
          <w:szCs w:val="21"/>
        </w:rPr>
        <w:t>”</w:t>
      </w:r>
      <w:r w:rsidRPr="00A76A42">
        <w:rPr>
          <w:rFonts w:eastAsiaTheme="minorEastAsia"/>
          <w:color w:val="000000" w:themeColor="text1"/>
          <w:szCs w:val="21"/>
        </w:rPr>
        <w:t>修订为</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500</w:t>
      </w:r>
      <w:r w:rsidRPr="00A76A42">
        <w:rPr>
          <w:rFonts w:eastAsiaTheme="minorEastAsia"/>
          <w:color w:val="000000" w:themeColor="text1"/>
          <w:szCs w:val="21"/>
        </w:rPr>
        <w:t>指数</w:t>
      </w:r>
      <w:r w:rsidRPr="00A76A42">
        <w:rPr>
          <w:rFonts w:eastAsiaTheme="minorEastAsia"/>
          <w:color w:val="000000" w:themeColor="text1"/>
          <w:szCs w:val="21"/>
        </w:rPr>
        <w:t>”</w:t>
      </w:r>
      <w:r w:rsidRPr="00A76A42">
        <w:rPr>
          <w:rFonts w:eastAsiaTheme="minorEastAsia"/>
          <w:color w:val="000000" w:themeColor="text1"/>
          <w:szCs w:val="21"/>
        </w:rPr>
        <w:t>，本基金的业绩比较基准自同日起由</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400</w:t>
      </w:r>
      <w:r w:rsidRPr="00A76A42">
        <w:rPr>
          <w:rFonts w:eastAsiaTheme="minorEastAsia"/>
          <w:color w:val="000000" w:themeColor="text1"/>
          <w:szCs w:val="21"/>
        </w:rPr>
        <w:t>指数</w:t>
      </w:r>
      <w:r w:rsidRPr="00A76A42">
        <w:rPr>
          <w:rFonts w:eastAsiaTheme="minorEastAsia"/>
          <w:color w:val="000000" w:themeColor="text1"/>
          <w:szCs w:val="21"/>
        </w:rPr>
        <w:t>×60%+</w:t>
      </w:r>
      <w:r w:rsidRPr="00A76A42">
        <w:rPr>
          <w:rFonts w:eastAsiaTheme="minorEastAsia"/>
          <w:color w:val="000000" w:themeColor="text1"/>
          <w:szCs w:val="21"/>
        </w:rPr>
        <w:t>中债总指数收益率</w:t>
      </w:r>
      <w:r w:rsidRPr="00A76A42">
        <w:rPr>
          <w:rFonts w:eastAsiaTheme="minorEastAsia"/>
          <w:color w:val="000000" w:themeColor="text1"/>
          <w:szCs w:val="21"/>
        </w:rPr>
        <w:t>×40%”</w:t>
      </w:r>
      <w:r w:rsidRPr="00A76A42">
        <w:rPr>
          <w:rFonts w:eastAsiaTheme="minorEastAsia"/>
          <w:color w:val="000000" w:themeColor="text1"/>
          <w:szCs w:val="21"/>
        </w:rPr>
        <w:t>变更为</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500</w:t>
      </w:r>
      <w:r w:rsidRPr="00A76A42">
        <w:rPr>
          <w:rFonts w:eastAsiaTheme="minorEastAsia"/>
          <w:color w:val="000000" w:themeColor="text1"/>
          <w:szCs w:val="21"/>
        </w:rPr>
        <w:t>指数收益率</w:t>
      </w:r>
      <w:r w:rsidRPr="00A76A42">
        <w:rPr>
          <w:rFonts w:eastAsiaTheme="minorEastAsia"/>
          <w:color w:val="000000" w:themeColor="text1"/>
          <w:szCs w:val="21"/>
        </w:rPr>
        <w:t>×60%+</w:t>
      </w:r>
      <w:r w:rsidRPr="00A76A42">
        <w:rPr>
          <w:rFonts w:eastAsiaTheme="minorEastAsia"/>
          <w:color w:val="000000" w:themeColor="text1"/>
          <w:szCs w:val="21"/>
        </w:rPr>
        <w:t>中债总指数收益率</w:t>
      </w:r>
      <w:r w:rsidRPr="00A76A42">
        <w:rPr>
          <w:rFonts w:eastAsiaTheme="minorEastAsia"/>
          <w:color w:val="000000" w:themeColor="text1"/>
          <w:szCs w:val="21"/>
        </w:rPr>
        <w:t>×40%”</w:t>
      </w:r>
      <w:r w:rsidRPr="00A76A42">
        <w:rPr>
          <w:rFonts w:eastAsiaTheme="minorEastAsia"/>
          <w:color w:val="000000" w:themeColor="text1"/>
          <w:szCs w:val="21"/>
        </w:rPr>
        <w:t>。</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F7735C">
        <w:tc>
          <w:tcPr>
            <w:tcW w:w="851" w:type="dxa"/>
            <w:vAlign w:val="center"/>
          </w:tcPr>
          <w:p w:rsidR="00F7735C" w:rsidRDefault="00AD6886">
            <w:pPr>
              <w:jc w:val="center"/>
            </w:pPr>
            <w:r>
              <w:rPr>
                <w:rFonts w:eastAsiaTheme="minorEastAsia"/>
                <w:color w:val="000000" w:themeColor="text1"/>
                <w:szCs w:val="21"/>
              </w:rPr>
              <w:t>王丽军</w:t>
            </w:r>
          </w:p>
        </w:tc>
        <w:tc>
          <w:tcPr>
            <w:tcW w:w="850" w:type="dxa"/>
            <w:vAlign w:val="center"/>
          </w:tcPr>
          <w:p w:rsidR="00F7735C" w:rsidRDefault="00AD6886">
            <w:pPr>
              <w:jc w:val="center"/>
            </w:pPr>
            <w:r>
              <w:rPr>
                <w:rFonts w:eastAsiaTheme="minorEastAsia"/>
                <w:color w:val="000000" w:themeColor="text1"/>
                <w:szCs w:val="21"/>
              </w:rPr>
              <w:t>本基金基金经理</w:t>
            </w:r>
          </w:p>
        </w:tc>
        <w:tc>
          <w:tcPr>
            <w:tcW w:w="1560" w:type="dxa"/>
            <w:vAlign w:val="center"/>
          </w:tcPr>
          <w:p w:rsidR="00F7735C" w:rsidRDefault="00AD6886">
            <w:pPr>
              <w:jc w:val="center"/>
            </w:pPr>
            <w:r>
              <w:rPr>
                <w:rFonts w:eastAsiaTheme="minorEastAsia"/>
                <w:color w:val="000000" w:themeColor="text1"/>
                <w:szCs w:val="21"/>
              </w:rPr>
              <w:t>2016-11-11</w:t>
            </w:r>
          </w:p>
        </w:tc>
        <w:tc>
          <w:tcPr>
            <w:tcW w:w="1559" w:type="dxa"/>
            <w:vAlign w:val="center"/>
          </w:tcPr>
          <w:p w:rsidR="00F7735C" w:rsidRDefault="00AD6886">
            <w:pPr>
              <w:jc w:val="center"/>
            </w:pPr>
            <w:r>
              <w:rPr>
                <w:rFonts w:eastAsiaTheme="minorEastAsia"/>
                <w:color w:val="000000" w:themeColor="text1"/>
                <w:szCs w:val="21"/>
              </w:rPr>
              <w:t>-</w:t>
            </w:r>
          </w:p>
        </w:tc>
        <w:tc>
          <w:tcPr>
            <w:tcW w:w="1417" w:type="dxa"/>
            <w:vAlign w:val="center"/>
          </w:tcPr>
          <w:p w:rsidR="00F7735C" w:rsidRDefault="00AD6886">
            <w:pPr>
              <w:jc w:val="center"/>
            </w:pPr>
            <w:r>
              <w:rPr>
                <w:rFonts w:eastAsiaTheme="minorEastAsia"/>
                <w:color w:val="000000" w:themeColor="text1"/>
                <w:szCs w:val="21"/>
              </w:rPr>
              <w:t>17</w:t>
            </w:r>
            <w:r>
              <w:rPr>
                <w:rFonts w:eastAsiaTheme="minorEastAsia"/>
                <w:color w:val="000000" w:themeColor="text1"/>
                <w:szCs w:val="21"/>
              </w:rPr>
              <w:t>年</w:t>
            </w:r>
          </w:p>
        </w:tc>
        <w:tc>
          <w:tcPr>
            <w:tcW w:w="2694" w:type="dxa"/>
            <w:vAlign w:val="center"/>
          </w:tcPr>
          <w:p w:rsidR="00F7735C" w:rsidRDefault="00AD6886">
            <w:pPr>
              <w:jc w:val="left"/>
            </w:pPr>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bl>
    <w:p w:rsidR="00F7735C" w:rsidRDefault="00AD688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F7735C" w:rsidRDefault="00AD688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王丽军女士为本基金首任基金经理，其任职日期指本基金基金合同生效之日。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3.</w:t>
      </w:r>
      <w:r w:rsidRPr="00A76A42">
        <w:rPr>
          <w:rFonts w:eastAsiaTheme="minorEastAsia"/>
          <w:color w:val="000000" w:themeColor="text1"/>
          <w:szCs w:val="21"/>
        </w:rPr>
        <w:t>证券从业的含义遵从行业协会《证券业从业人员资格管理办法》的相关规定。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2</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3.1</w:t>
      </w:r>
      <w:r w:rsidRPr="00A76A42">
        <w:rPr>
          <w:rFonts w:eastAsiaTheme="minorEastAsia"/>
          <w:color w:val="000000" w:themeColor="text1"/>
          <w:sz w:val="24"/>
        </w:rPr>
        <w:t>公平交易制度的执行情况</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w:t>
      </w:r>
      <w:r>
        <w:rPr>
          <w:rFonts w:eastAsiaTheme="minorEastAsia"/>
          <w:color w:val="000000" w:themeColor="text1"/>
          <w:szCs w:val="21"/>
        </w:rPr>
        <w:lastRenderedPageBreak/>
        <w:t>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w:t>
      </w:r>
      <w:r>
        <w:rPr>
          <w:rFonts w:eastAsiaTheme="minorEastAsia"/>
          <w:color w:val="000000" w:themeColor="text1"/>
          <w:szCs w:val="21"/>
        </w:rPr>
        <w:t>A</w:t>
      </w:r>
      <w:r>
        <w:rPr>
          <w:rFonts w:eastAsiaTheme="minorEastAsia"/>
          <w:color w:val="000000" w:themeColor="text1"/>
          <w:szCs w:val="21"/>
        </w:rPr>
        <w:t>股和港股市场都明显下跌，尤其</w:t>
      </w:r>
      <w:r>
        <w:rPr>
          <w:rFonts w:eastAsiaTheme="minorEastAsia"/>
          <w:color w:val="000000" w:themeColor="text1"/>
          <w:szCs w:val="21"/>
        </w:rPr>
        <w:t>5</w:t>
      </w:r>
      <w:r>
        <w:rPr>
          <w:rFonts w:eastAsiaTheme="minorEastAsia"/>
          <w:color w:val="000000" w:themeColor="text1"/>
          <w:szCs w:val="21"/>
        </w:rPr>
        <w:t>月份相关经济数据以及金融数据都有波动，对市场造成了明显扰动，确定性的行业和股票继续高位，偏成长板块明显调整，市场演绎实体经济需求动力不足带来的信用压力，本基金二季度略微减持了前期获益的油气、煤炭、有色等资源型板块，陆续加仓相对低位的股票，涉及化工、机械等制造业以及金融地产板块，同时，继续优化医药配置，左侧布局相对低位的科技板块。但与此同时美国经济的韧性减缓了联储的降息节奏，资源品价格也出现了大幅波动，对净值形成拖累。</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四季度，目前市场又到了相对低位，投资者情绪需要恢复，但我们看到中央财政加大了在火电、核电、电网等领域的投资，从中央到地方也陆续出台了在资金支持、刺激购房需求方面的地产政策，投资相关的制造业底部有复苏迹象，整体制造行业出口优势明显，依然值得期待；同时，外需方面，虽然外部环境复杂，但很多新兴国家还在工业化进程，我们依然保持乐观，期待财政政策陆续发力以及中国企业全球化进程对实体经济的拉动。</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我们基本维持资源品和成长均衡配置。继续对资源品维持看好，基本仓位维持在上游资源品上，短期石油和铜的价格受美国降息影响，但大的逻辑没有变化，全球供应格局以及政</w:t>
      </w:r>
      <w:r>
        <w:rPr>
          <w:rFonts w:eastAsiaTheme="minorEastAsia"/>
          <w:color w:val="000000" w:themeColor="text1"/>
          <w:szCs w:val="21"/>
        </w:rPr>
        <w:lastRenderedPageBreak/>
        <w:t>治的相对不确定性，增加了资源保障的供给需求，资源的天然禀赋决定了开采成本的提升以及资源的逐渐减少；全球经济疲弱，资源品的资本开支相对低位，都形成了阶段性比较强的供给约束，整个资源品的价格或会维持在相对高位，过去几年价格上涨的红利支撑相关公司利润中枢稳定，带来良好的现金流以及资产负债表的修复，分红预期确定，形成弱势格局的价值保护，低估值，高股息率。</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下半年，会更加关注金融地产的机会。在目前大的政策环境下地产以及城投都出现了积极的变化，估值也基本消化了行业出清的风险，我们相对看好优质的银行、保险，包括信用良好的地产公司</w:t>
      </w:r>
      <w:r>
        <w:rPr>
          <w:rFonts w:eastAsiaTheme="minorEastAsia" w:hint="eastAsia"/>
          <w:color w:val="000000" w:themeColor="text1"/>
          <w:szCs w:val="21"/>
        </w:rPr>
        <w:t>。</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长期看好制造行业，包括传统行业的设备更新、优势产业的出海，以及技术门槛高的高端制造材料进口替代、工业自动化、军工以及汽车产业链和机械化工行业。</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新兴产业方面，我们一直关注</w:t>
      </w:r>
      <w:r>
        <w:rPr>
          <w:rFonts w:eastAsiaTheme="minorEastAsia"/>
          <w:color w:val="000000" w:themeColor="text1"/>
          <w:szCs w:val="21"/>
        </w:rPr>
        <w:t>AI</w:t>
      </w:r>
      <w:r>
        <w:rPr>
          <w:rFonts w:eastAsiaTheme="minorEastAsia"/>
          <w:color w:val="000000" w:themeColor="text1"/>
          <w:szCs w:val="21"/>
        </w:rPr>
        <w:t>对全球科技产业的深远影响，包括消费电子和半导体，另外，我们一直坚定看好医药行业，包括中国的创新药领域。</w:t>
      </w:r>
    </w:p>
    <w:p w:rsidR="00F7735C" w:rsidRDefault="00F7735C">
      <w:pPr>
        <w:spacing w:line="360" w:lineRule="auto"/>
        <w:ind w:firstLineChars="200" w:firstLine="420"/>
        <w:rPr>
          <w:rFonts w:eastAsiaTheme="minorEastAsia"/>
          <w:color w:val="000000" w:themeColor="text1"/>
          <w:szCs w:val="21"/>
        </w:rPr>
      </w:pP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:-2.00%</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:1.55%</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4.5</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82,464,833.31</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88.08</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82,464,833.31</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88.08</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10,694,954.71</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11.42</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467,243.04</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0.50</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93,627,031.06</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注：本基金本报告期末通过港股通交易机制投资的港股公允价值为</w:t>
      </w:r>
      <w:r w:rsidRPr="00A76A42">
        <w:rPr>
          <w:rFonts w:eastAsiaTheme="minorEastAsia"/>
          <w:color w:val="000000" w:themeColor="text1"/>
          <w:szCs w:val="21"/>
        </w:rPr>
        <w:t>20,984,478.19</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22.82%</w:t>
      </w:r>
      <w:r w:rsidRPr="00A76A42">
        <w:rPr>
          <w:rFonts w:eastAsiaTheme="minorEastAsia"/>
          <w:color w:val="000000" w:themeColor="text1"/>
          <w:szCs w:val="21"/>
        </w:rPr>
        <w:t>。</w:t>
      </w:r>
      <w:bookmarkStart w:id="1" w:name="_Toc351577071"/>
    </w:p>
    <w:bookmarkEnd w:id="1"/>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F7735C">
        <w:trPr>
          <w:jc w:val="center"/>
        </w:trPr>
        <w:tc>
          <w:tcPr>
            <w:tcW w:w="2410" w:type="dxa"/>
            <w:vAlign w:val="center"/>
          </w:tcPr>
          <w:p w:rsidR="00F7735C" w:rsidRDefault="00AD6886">
            <w:pPr>
              <w:jc w:val="left"/>
            </w:pPr>
            <w:r>
              <w:rPr>
                <w:rFonts w:eastAsiaTheme="minorEastAsia"/>
                <w:color w:val="000000" w:themeColor="text1"/>
                <w:szCs w:val="21"/>
              </w:rPr>
              <w:t>中国</w:t>
            </w:r>
          </w:p>
        </w:tc>
        <w:tc>
          <w:tcPr>
            <w:tcW w:w="3118" w:type="dxa"/>
            <w:vAlign w:val="center"/>
          </w:tcPr>
          <w:p w:rsidR="00F7735C" w:rsidRDefault="00AD6886">
            <w:pPr>
              <w:jc w:val="right"/>
            </w:pPr>
            <w:r>
              <w:rPr>
                <w:rFonts w:eastAsiaTheme="minorEastAsia"/>
                <w:color w:val="000000" w:themeColor="text1"/>
                <w:szCs w:val="21"/>
              </w:rPr>
              <w:t>61,480,355.12</w:t>
            </w:r>
          </w:p>
        </w:tc>
        <w:tc>
          <w:tcPr>
            <w:tcW w:w="3076" w:type="dxa"/>
            <w:vAlign w:val="center"/>
          </w:tcPr>
          <w:p w:rsidR="00F7735C" w:rsidRDefault="00AD6886">
            <w:pPr>
              <w:jc w:val="right"/>
            </w:pPr>
            <w:r>
              <w:rPr>
                <w:rFonts w:eastAsiaTheme="minorEastAsia"/>
                <w:color w:val="000000" w:themeColor="text1"/>
                <w:szCs w:val="21"/>
              </w:rPr>
              <w:t>66.87</w:t>
            </w:r>
          </w:p>
        </w:tc>
      </w:tr>
      <w:tr w:rsidR="00F7735C">
        <w:trPr>
          <w:jc w:val="center"/>
        </w:trPr>
        <w:tc>
          <w:tcPr>
            <w:tcW w:w="2410" w:type="dxa"/>
            <w:vAlign w:val="center"/>
          </w:tcPr>
          <w:p w:rsidR="00F7735C" w:rsidRDefault="00AD6886">
            <w:pPr>
              <w:jc w:val="left"/>
            </w:pPr>
            <w:r>
              <w:rPr>
                <w:rFonts w:eastAsiaTheme="minorEastAsia"/>
                <w:color w:val="000000" w:themeColor="text1"/>
                <w:szCs w:val="21"/>
              </w:rPr>
              <w:t>中国香港</w:t>
            </w:r>
          </w:p>
        </w:tc>
        <w:tc>
          <w:tcPr>
            <w:tcW w:w="3118" w:type="dxa"/>
            <w:vAlign w:val="center"/>
          </w:tcPr>
          <w:p w:rsidR="00F7735C" w:rsidRDefault="00AD6886">
            <w:pPr>
              <w:jc w:val="right"/>
            </w:pPr>
            <w:r>
              <w:rPr>
                <w:rFonts w:eastAsiaTheme="minorEastAsia"/>
                <w:color w:val="000000" w:themeColor="text1"/>
                <w:szCs w:val="21"/>
              </w:rPr>
              <w:t>20,984,478.19</w:t>
            </w:r>
          </w:p>
        </w:tc>
        <w:tc>
          <w:tcPr>
            <w:tcW w:w="3076" w:type="dxa"/>
            <w:vAlign w:val="center"/>
          </w:tcPr>
          <w:p w:rsidR="00F7735C" w:rsidRDefault="00AD6886">
            <w:pPr>
              <w:jc w:val="right"/>
            </w:pPr>
            <w:r>
              <w:rPr>
                <w:rFonts w:eastAsiaTheme="minorEastAsia"/>
                <w:color w:val="000000" w:themeColor="text1"/>
                <w:szCs w:val="21"/>
              </w:rPr>
              <w:t>22.82</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82,464,833.31</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89.70</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F7735C">
        <w:tc>
          <w:tcPr>
            <w:tcW w:w="2787" w:type="dxa"/>
            <w:vAlign w:val="center"/>
          </w:tcPr>
          <w:p w:rsidR="00F7735C" w:rsidRDefault="00AD6886">
            <w:pPr>
              <w:jc w:val="left"/>
            </w:pPr>
            <w:r>
              <w:rPr>
                <w:rFonts w:eastAsiaTheme="minorEastAsia"/>
                <w:color w:val="000000" w:themeColor="text1"/>
                <w:szCs w:val="21"/>
              </w:rPr>
              <w:t>工业</w:t>
            </w:r>
          </w:p>
        </w:tc>
        <w:tc>
          <w:tcPr>
            <w:tcW w:w="2551" w:type="dxa"/>
            <w:vAlign w:val="center"/>
          </w:tcPr>
          <w:p w:rsidR="00F7735C" w:rsidRDefault="00AD6886">
            <w:pPr>
              <w:jc w:val="right"/>
            </w:pPr>
            <w:r>
              <w:rPr>
                <w:rFonts w:eastAsiaTheme="minorEastAsia"/>
                <w:color w:val="000000" w:themeColor="text1"/>
                <w:szCs w:val="21"/>
              </w:rPr>
              <w:t>19,828,020.31</w:t>
            </w:r>
          </w:p>
        </w:tc>
        <w:tc>
          <w:tcPr>
            <w:tcW w:w="3175" w:type="dxa"/>
            <w:vAlign w:val="center"/>
          </w:tcPr>
          <w:p w:rsidR="00F7735C" w:rsidRDefault="00AD6886">
            <w:pPr>
              <w:jc w:val="right"/>
            </w:pPr>
            <w:r>
              <w:rPr>
                <w:rFonts w:eastAsiaTheme="minorEastAsia"/>
                <w:color w:val="000000" w:themeColor="text1"/>
                <w:szCs w:val="21"/>
              </w:rPr>
              <w:t>21.57</w:t>
            </w:r>
          </w:p>
        </w:tc>
      </w:tr>
      <w:tr w:rsidR="00F7735C">
        <w:tc>
          <w:tcPr>
            <w:tcW w:w="2787" w:type="dxa"/>
            <w:vAlign w:val="center"/>
          </w:tcPr>
          <w:p w:rsidR="00F7735C" w:rsidRDefault="00AD6886">
            <w:pPr>
              <w:jc w:val="left"/>
            </w:pPr>
            <w:r>
              <w:rPr>
                <w:rFonts w:eastAsiaTheme="minorEastAsia"/>
                <w:color w:val="000000" w:themeColor="text1"/>
                <w:szCs w:val="21"/>
              </w:rPr>
              <w:t>基础材料</w:t>
            </w:r>
          </w:p>
        </w:tc>
        <w:tc>
          <w:tcPr>
            <w:tcW w:w="2551" w:type="dxa"/>
            <w:vAlign w:val="center"/>
          </w:tcPr>
          <w:p w:rsidR="00F7735C" w:rsidRDefault="00AD6886">
            <w:pPr>
              <w:jc w:val="right"/>
            </w:pPr>
            <w:r>
              <w:rPr>
                <w:rFonts w:eastAsiaTheme="minorEastAsia"/>
                <w:color w:val="000000" w:themeColor="text1"/>
                <w:szCs w:val="21"/>
              </w:rPr>
              <w:t>15,487,323.48</w:t>
            </w:r>
          </w:p>
        </w:tc>
        <w:tc>
          <w:tcPr>
            <w:tcW w:w="3175" w:type="dxa"/>
            <w:vAlign w:val="center"/>
          </w:tcPr>
          <w:p w:rsidR="00F7735C" w:rsidRDefault="00AD6886">
            <w:pPr>
              <w:jc w:val="right"/>
            </w:pPr>
            <w:r>
              <w:rPr>
                <w:rFonts w:eastAsiaTheme="minorEastAsia"/>
                <w:color w:val="000000" w:themeColor="text1"/>
                <w:szCs w:val="21"/>
              </w:rPr>
              <w:t>16.85</w:t>
            </w:r>
          </w:p>
        </w:tc>
      </w:tr>
      <w:tr w:rsidR="00F7735C">
        <w:tc>
          <w:tcPr>
            <w:tcW w:w="2787" w:type="dxa"/>
            <w:vAlign w:val="center"/>
          </w:tcPr>
          <w:p w:rsidR="00F7735C" w:rsidRDefault="00AD6886">
            <w:pPr>
              <w:jc w:val="left"/>
            </w:pPr>
            <w:r>
              <w:rPr>
                <w:rFonts w:eastAsiaTheme="minorEastAsia"/>
                <w:color w:val="000000" w:themeColor="text1"/>
                <w:szCs w:val="21"/>
              </w:rPr>
              <w:t>金融</w:t>
            </w:r>
          </w:p>
        </w:tc>
        <w:tc>
          <w:tcPr>
            <w:tcW w:w="2551" w:type="dxa"/>
            <w:vAlign w:val="center"/>
          </w:tcPr>
          <w:p w:rsidR="00F7735C" w:rsidRDefault="00AD6886">
            <w:pPr>
              <w:jc w:val="right"/>
            </w:pPr>
            <w:r>
              <w:rPr>
                <w:rFonts w:eastAsiaTheme="minorEastAsia"/>
                <w:color w:val="000000" w:themeColor="text1"/>
                <w:szCs w:val="21"/>
              </w:rPr>
              <w:t>15,073,041.44</w:t>
            </w:r>
          </w:p>
        </w:tc>
        <w:tc>
          <w:tcPr>
            <w:tcW w:w="3175" w:type="dxa"/>
            <w:vAlign w:val="center"/>
          </w:tcPr>
          <w:p w:rsidR="00F7735C" w:rsidRDefault="00AD6886">
            <w:pPr>
              <w:jc w:val="right"/>
            </w:pPr>
            <w:r>
              <w:rPr>
                <w:rFonts w:eastAsiaTheme="minorEastAsia"/>
                <w:color w:val="000000" w:themeColor="text1"/>
                <w:szCs w:val="21"/>
              </w:rPr>
              <w:t>16.39</w:t>
            </w:r>
          </w:p>
        </w:tc>
      </w:tr>
      <w:tr w:rsidR="00F7735C">
        <w:tc>
          <w:tcPr>
            <w:tcW w:w="2787" w:type="dxa"/>
            <w:vAlign w:val="center"/>
          </w:tcPr>
          <w:p w:rsidR="00F7735C" w:rsidRDefault="00AD6886">
            <w:pPr>
              <w:jc w:val="left"/>
            </w:pPr>
            <w:r>
              <w:rPr>
                <w:rFonts w:eastAsiaTheme="minorEastAsia"/>
                <w:color w:val="000000" w:themeColor="text1"/>
                <w:szCs w:val="21"/>
              </w:rPr>
              <w:t>能源</w:t>
            </w:r>
          </w:p>
        </w:tc>
        <w:tc>
          <w:tcPr>
            <w:tcW w:w="2551" w:type="dxa"/>
            <w:vAlign w:val="center"/>
          </w:tcPr>
          <w:p w:rsidR="00F7735C" w:rsidRDefault="00AD6886">
            <w:pPr>
              <w:jc w:val="right"/>
            </w:pPr>
            <w:r>
              <w:rPr>
                <w:rFonts w:eastAsiaTheme="minorEastAsia"/>
                <w:color w:val="000000" w:themeColor="text1"/>
                <w:szCs w:val="21"/>
              </w:rPr>
              <w:t>8,762,247.83</w:t>
            </w:r>
          </w:p>
        </w:tc>
        <w:tc>
          <w:tcPr>
            <w:tcW w:w="3175" w:type="dxa"/>
            <w:vAlign w:val="center"/>
          </w:tcPr>
          <w:p w:rsidR="00F7735C" w:rsidRDefault="00AD6886">
            <w:pPr>
              <w:jc w:val="right"/>
            </w:pPr>
            <w:r>
              <w:rPr>
                <w:rFonts w:eastAsiaTheme="minorEastAsia"/>
                <w:color w:val="000000" w:themeColor="text1"/>
                <w:szCs w:val="21"/>
              </w:rPr>
              <w:t>9.53</w:t>
            </w:r>
          </w:p>
        </w:tc>
      </w:tr>
      <w:tr w:rsidR="00F7735C">
        <w:tc>
          <w:tcPr>
            <w:tcW w:w="2787" w:type="dxa"/>
            <w:vAlign w:val="center"/>
          </w:tcPr>
          <w:p w:rsidR="00F7735C" w:rsidRDefault="00AD6886">
            <w:pPr>
              <w:jc w:val="left"/>
            </w:pPr>
            <w:r>
              <w:rPr>
                <w:rFonts w:eastAsiaTheme="minorEastAsia"/>
                <w:color w:val="000000" w:themeColor="text1"/>
                <w:szCs w:val="21"/>
              </w:rPr>
              <w:lastRenderedPageBreak/>
              <w:t>房地产</w:t>
            </w:r>
          </w:p>
        </w:tc>
        <w:tc>
          <w:tcPr>
            <w:tcW w:w="2551" w:type="dxa"/>
            <w:vAlign w:val="center"/>
          </w:tcPr>
          <w:p w:rsidR="00F7735C" w:rsidRDefault="00AD6886">
            <w:pPr>
              <w:jc w:val="right"/>
            </w:pPr>
            <w:r>
              <w:rPr>
                <w:rFonts w:eastAsiaTheme="minorEastAsia"/>
                <w:color w:val="000000" w:themeColor="text1"/>
                <w:szCs w:val="21"/>
              </w:rPr>
              <w:t>7,875,568.99</w:t>
            </w:r>
          </w:p>
        </w:tc>
        <w:tc>
          <w:tcPr>
            <w:tcW w:w="3175" w:type="dxa"/>
            <w:vAlign w:val="center"/>
          </w:tcPr>
          <w:p w:rsidR="00F7735C" w:rsidRDefault="00AD6886">
            <w:pPr>
              <w:jc w:val="right"/>
            </w:pPr>
            <w:r>
              <w:rPr>
                <w:rFonts w:eastAsiaTheme="minorEastAsia"/>
                <w:color w:val="000000" w:themeColor="text1"/>
                <w:szCs w:val="21"/>
              </w:rPr>
              <w:t>8.57</w:t>
            </w:r>
          </w:p>
        </w:tc>
      </w:tr>
      <w:tr w:rsidR="00F7735C">
        <w:tc>
          <w:tcPr>
            <w:tcW w:w="2787" w:type="dxa"/>
            <w:vAlign w:val="center"/>
          </w:tcPr>
          <w:p w:rsidR="00F7735C" w:rsidRDefault="00AD6886">
            <w:pPr>
              <w:jc w:val="left"/>
            </w:pPr>
            <w:r>
              <w:rPr>
                <w:rFonts w:eastAsiaTheme="minorEastAsia"/>
                <w:color w:val="000000" w:themeColor="text1"/>
                <w:szCs w:val="21"/>
              </w:rPr>
              <w:t>信息技术</w:t>
            </w:r>
          </w:p>
        </w:tc>
        <w:tc>
          <w:tcPr>
            <w:tcW w:w="2551" w:type="dxa"/>
            <w:vAlign w:val="center"/>
          </w:tcPr>
          <w:p w:rsidR="00F7735C" w:rsidRDefault="00AD6886">
            <w:pPr>
              <w:jc w:val="right"/>
            </w:pPr>
            <w:r>
              <w:rPr>
                <w:rFonts w:eastAsiaTheme="minorEastAsia"/>
                <w:color w:val="000000" w:themeColor="text1"/>
                <w:szCs w:val="21"/>
              </w:rPr>
              <w:t>7,243,290.24</w:t>
            </w:r>
          </w:p>
        </w:tc>
        <w:tc>
          <w:tcPr>
            <w:tcW w:w="3175" w:type="dxa"/>
            <w:vAlign w:val="center"/>
          </w:tcPr>
          <w:p w:rsidR="00F7735C" w:rsidRDefault="00AD6886">
            <w:pPr>
              <w:jc w:val="right"/>
            </w:pPr>
            <w:r>
              <w:rPr>
                <w:rFonts w:eastAsiaTheme="minorEastAsia"/>
                <w:color w:val="000000" w:themeColor="text1"/>
                <w:szCs w:val="21"/>
              </w:rPr>
              <w:t>7.88</w:t>
            </w:r>
          </w:p>
        </w:tc>
      </w:tr>
      <w:tr w:rsidR="00F7735C">
        <w:tc>
          <w:tcPr>
            <w:tcW w:w="2787" w:type="dxa"/>
            <w:vAlign w:val="center"/>
          </w:tcPr>
          <w:p w:rsidR="00F7735C" w:rsidRDefault="00AD6886">
            <w:pPr>
              <w:jc w:val="left"/>
            </w:pPr>
            <w:r>
              <w:rPr>
                <w:rFonts w:eastAsiaTheme="minorEastAsia"/>
                <w:color w:val="000000" w:themeColor="text1"/>
                <w:szCs w:val="21"/>
              </w:rPr>
              <w:t>医疗保健</w:t>
            </w:r>
          </w:p>
        </w:tc>
        <w:tc>
          <w:tcPr>
            <w:tcW w:w="2551" w:type="dxa"/>
            <w:vAlign w:val="center"/>
          </w:tcPr>
          <w:p w:rsidR="00F7735C" w:rsidRDefault="00AD6886">
            <w:pPr>
              <w:jc w:val="right"/>
            </w:pPr>
            <w:r>
              <w:rPr>
                <w:rFonts w:eastAsiaTheme="minorEastAsia"/>
                <w:color w:val="000000" w:themeColor="text1"/>
                <w:szCs w:val="21"/>
              </w:rPr>
              <w:t>2,747,386.36</w:t>
            </w:r>
          </w:p>
        </w:tc>
        <w:tc>
          <w:tcPr>
            <w:tcW w:w="3175" w:type="dxa"/>
            <w:vAlign w:val="center"/>
          </w:tcPr>
          <w:p w:rsidR="00F7735C" w:rsidRDefault="00AD6886">
            <w:pPr>
              <w:jc w:val="right"/>
            </w:pPr>
            <w:r>
              <w:rPr>
                <w:rFonts w:eastAsiaTheme="minorEastAsia"/>
                <w:color w:val="000000" w:themeColor="text1"/>
                <w:szCs w:val="21"/>
              </w:rPr>
              <w:t>2.99</w:t>
            </w:r>
          </w:p>
        </w:tc>
      </w:tr>
      <w:tr w:rsidR="00F7735C">
        <w:tc>
          <w:tcPr>
            <w:tcW w:w="2787" w:type="dxa"/>
            <w:vAlign w:val="center"/>
          </w:tcPr>
          <w:p w:rsidR="00F7735C" w:rsidRDefault="00AD6886">
            <w:pPr>
              <w:jc w:val="left"/>
            </w:pPr>
            <w:r>
              <w:rPr>
                <w:rFonts w:eastAsiaTheme="minorEastAsia"/>
                <w:color w:val="000000" w:themeColor="text1"/>
                <w:szCs w:val="21"/>
              </w:rPr>
              <w:t>消费者非必需品</w:t>
            </w:r>
          </w:p>
        </w:tc>
        <w:tc>
          <w:tcPr>
            <w:tcW w:w="2551" w:type="dxa"/>
            <w:vAlign w:val="center"/>
          </w:tcPr>
          <w:p w:rsidR="00F7735C" w:rsidRDefault="00AD6886">
            <w:pPr>
              <w:jc w:val="right"/>
            </w:pPr>
            <w:r>
              <w:rPr>
                <w:rFonts w:eastAsiaTheme="minorEastAsia"/>
                <w:color w:val="000000" w:themeColor="text1"/>
                <w:szCs w:val="21"/>
              </w:rPr>
              <w:t>2,726,206.00</w:t>
            </w:r>
          </w:p>
        </w:tc>
        <w:tc>
          <w:tcPr>
            <w:tcW w:w="3175" w:type="dxa"/>
            <w:vAlign w:val="center"/>
          </w:tcPr>
          <w:p w:rsidR="00F7735C" w:rsidRDefault="00AD6886">
            <w:pPr>
              <w:jc w:val="right"/>
            </w:pPr>
            <w:r>
              <w:rPr>
                <w:rFonts w:eastAsiaTheme="minorEastAsia"/>
                <w:color w:val="000000" w:themeColor="text1"/>
                <w:szCs w:val="21"/>
              </w:rPr>
              <w:t>2.97</w:t>
            </w:r>
          </w:p>
        </w:tc>
      </w:tr>
      <w:tr w:rsidR="00F7735C">
        <w:tc>
          <w:tcPr>
            <w:tcW w:w="2787" w:type="dxa"/>
            <w:vAlign w:val="center"/>
          </w:tcPr>
          <w:p w:rsidR="00F7735C" w:rsidRDefault="00AD6886">
            <w:pPr>
              <w:jc w:val="left"/>
            </w:pPr>
            <w:r>
              <w:rPr>
                <w:rFonts w:eastAsiaTheme="minorEastAsia"/>
                <w:color w:val="000000" w:themeColor="text1"/>
                <w:szCs w:val="21"/>
              </w:rPr>
              <w:t>电信服务</w:t>
            </w:r>
          </w:p>
        </w:tc>
        <w:tc>
          <w:tcPr>
            <w:tcW w:w="2551" w:type="dxa"/>
            <w:vAlign w:val="center"/>
          </w:tcPr>
          <w:p w:rsidR="00F7735C" w:rsidRDefault="00AD6886">
            <w:pPr>
              <w:jc w:val="right"/>
            </w:pPr>
            <w:r>
              <w:rPr>
                <w:rFonts w:eastAsiaTheme="minorEastAsia"/>
                <w:color w:val="000000" w:themeColor="text1"/>
                <w:szCs w:val="21"/>
              </w:rPr>
              <w:t>2,721,748.66</w:t>
            </w:r>
          </w:p>
        </w:tc>
        <w:tc>
          <w:tcPr>
            <w:tcW w:w="3175" w:type="dxa"/>
            <w:vAlign w:val="center"/>
          </w:tcPr>
          <w:p w:rsidR="00F7735C" w:rsidRDefault="00AD6886">
            <w:pPr>
              <w:jc w:val="right"/>
            </w:pPr>
            <w:r>
              <w:rPr>
                <w:rFonts w:eastAsiaTheme="minorEastAsia"/>
                <w:color w:val="000000" w:themeColor="text1"/>
                <w:szCs w:val="21"/>
              </w:rPr>
              <w:t>2.96</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82,464,833.31</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89.70</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508"/>
        <w:gridCol w:w="1787"/>
        <w:gridCol w:w="793"/>
        <w:gridCol w:w="846"/>
        <w:gridCol w:w="674"/>
        <w:gridCol w:w="727"/>
        <w:gridCol w:w="945"/>
        <w:gridCol w:w="1319"/>
        <w:gridCol w:w="914"/>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F7735C">
        <w:tc>
          <w:tcPr>
            <w:tcW w:w="0" w:type="auto"/>
            <w:vMerge w:val="restart"/>
            <w:vAlign w:val="center"/>
          </w:tcPr>
          <w:p w:rsidR="00F7735C" w:rsidRDefault="00AD6886">
            <w:pPr>
              <w:jc w:val="center"/>
            </w:pPr>
            <w:r>
              <w:rPr>
                <w:rFonts w:eastAsiaTheme="minorEastAsia"/>
                <w:color w:val="000000" w:themeColor="text1"/>
                <w:szCs w:val="21"/>
              </w:rPr>
              <w:t>1</w:t>
            </w:r>
          </w:p>
        </w:tc>
        <w:tc>
          <w:tcPr>
            <w:tcW w:w="0" w:type="auto"/>
            <w:vMerge w:val="restart"/>
            <w:vAlign w:val="center"/>
          </w:tcPr>
          <w:p w:rsidR="00F7735C" w:rsidRDefault="00AD6886">
            <w:pPr>
              <w:jc w:val="center"/>
            </w:pPr>
            <w:r>
              <w:rPr>
                <w:rFonts w:eastAsiaTheme="minorEastAsia"/>
                <w:color w:val="000000" w:themeColor="text1"/>
                <w:szCs w:val="21"/>
              </w:rPr>
              <w:t>Zijin Mining Group Co Ltd</w:t>
            </w:r>
          </w:p>
        </w:tc>
        <w:tc>
          <w:tcPr>
            <w:tcW w:w="0" w:type="auto"/>
            <w:vMerge w:val="restart"/>
            <w:vAlign w:val="center"/>
          </w:tcPr>
          <w:p w:rsidR="00F7735C" w:rsidRDefault="00AD6886">
            <w:pPr>
              <w:jc w:val="center"/>
            </w:pPr>
            <w:r>
              <w:rPr>
                <w:rFonts w:eastAsiaTheme="minorEastAsia"/>
                <w:color w:val="000000" w:themeColor="text1"/>
                <w:szCs w:val="21"/>
              </w:rPr>
              <w:t>紫金矿业</w:t>
            </w:r>
          </w:p>
        </w:tc>
        <w:tc>
          <w:tcPr>
            <w:tcW w:w="0" w:type="auto"/>
            <w:vAlign w:val="center"/>
          </w:tcPr>
          <w:p w:rsidR="00F7735C" w:rsidRDefault="00AD6886">
            <w:pPr>
              <w:jc w:val="center"/>
            </w:pPr>
            <w:r>
              <w:rPr>
                <w:rFonts w:eastAsiaTheme="minorEastAsia"/>
                <w:color w:val="000000" w:themeColor="text1"/>
                <w:szCs w:val="21"/>
              </w:rPr>
              <w:t>2899</w:t>
            </w:r>
          </w:p>
        </w:tc>
        <w:tc>
          <w:tcPr>
            <w:tcW w:w="0" w:type="auto"/>
            <w:vAlign w:val="center"/>
          </w:tcPr>
          <w:p w:rsidR="00F7735C" w:rsidRDefault="00AD6886">
            <w:pPr>
              <w:jc w:val="center"/>
            </w:pPr>
            <w:r>
              <w:rPr>
                <w:rFonts w:eastAsiaTheme="minorEastAsia"/>
                <w:color w:val="000000" w:themeColor="text1"/>
                <w:szCs w:val="21"/>
              </w:rPr>
              <w:t>香港证券交易所</w:t>
            </w:r>
          </w:p>
        </w:tc>
        <w:tc>
          <w:tcPr>
            <w:tcW w:w="0" w:type="auto"/>
            <w:vAlign w:val="center"/>
          </w:tcPr>
          <w:p w:rsidR="00F7735C" w:rsidRDefault="00AD6886">
            <w:pPr>
              <w:jc w:val="center"/>
            </w:pPr>
            <w:r>
              <w:rPr>
                <w:rFonts w:eastAsiaTheme="minorEastAsia"/>
                <w:color w:val="000000" w:themeColor="text1"/>
                <w:szCs w:val="21"/>
              </w:rPr>
              <w:t>中国香港</w:t>
            </w:r>
          </w:p>
        </w:tc>
        <w:tc>
          <w:tcPr>
            <w:tcW w:w="0" w:type="auto"/>
            <w:vAlign w:val="center"/>
          </w:tcPr>
          <w:p w:rsidR="00F7735C" w:rsidRDefault="00AD6886">
            <w:pPr>
              <w:jc w:val="right"/>
            </w:pPr>
            <w:r>
              <w:rPr>
                <w:rFonts w:eastAsiaTheme="minorEastAsia"/>
                <w:color w:val="000000" w:themeColor="text1"/>
                <w:szCs w:val="21"/>
              </w:rPr>
              <w:t>190,000</w:t>
            </w:r>
          </w:p>
        </w:tc>
        <w:tc>
          <w:tcPr>
            <w:tcW w:w="0" w:type="auto"/>
            <w:vAlign w:val="center"/>
          </w:tcPr>
          <w:p w:rsidR="00F7735C" w:rsidRDefault="00AD6886">
            <w:pPr>
              <w:jc w:val="right"/>
            </w:pPr>
            <w:r>
              <w:rPr>
                <w:rFonts w:eastAsiaTheme="minorEastAsia"/>
                <w:color w:val="000000" w:themeColor="text1"/>
                <w:szCs w:val="21"/>
              </w:rPr>
              <w:t>2,857,783.62</w:t>
            </w:r>
          </w:p>
        </w:tc>
        <w:tc>
          <w:tcPr>
            <w:tcW w:w="0" w:type="auto"/>
            <w:vAlign w:val="center"/>
          </w:tcPr>
          <w:p w:rsidR="00F7735C" w:rsidRDefault="00AD6886">
            <w:pPr>
              <w:jc w:val="right"/>
            </w:pPr>
            <w:r>
              <w:rPr>
                <w:rFonts w:eastAsiaTheme="minorEastAsia"/>
                <w:color w:val="000000" w:themeColor="text1"/>
                <w:szCs w:val="21"/>
              </w:rPr>
              <w:t>3.11</w:t>
            </w:r>
          </w:p>
        </w:tc>
      </w:tr>
      <w:tr w:rsidR="00F7735C">
        <w:tc>
          <w:tcPr>
            <w:tcW w:w="0" w:type="auto"/>
            <w:vMerge/>
          </w:tcPr>
          <w:p w:rsidR="00F7735C" w:rsidRDefault="00F7735C"/>
        </w:tc>
        <w:tc>
          <w:tcPr>
            <w:tcW w:w="0" w:type="auto"/>
            <w:vMerge/>
          </w:tcPr>
          <w:p w:rsidR="00F7735C" w:rsidRDefault="00F7735C"/>
        </w:tc>
        <w:tc>
          <w:tcPr>
            <w:tcW w:w="0" w:type="auto"/>
            <w:vMerge/>
          </w:tcPr>
          <w:p w:rsidR="00F7735C" w:rsidRDefault="00F7735C"/>
        </w:tc>
        <w:tc>
          <w:tcPr>
            <w:tcW w:w="0" w:type="auto"/>
            <w:vAlign w:val="center"/>
          </w:tcPr>
          <w:p w:rsidR="00F7735C" w:rsidRDefault="00AD6886">
            <w:pPr>
              <w:jc w:val="center"/>
            </w:pPr>
            <w:r>
              <w:rPr>
                <w:rFonts w:eastAsiaTheme="minorEastAsia"/>
                <w:color w:val="000000" w:themeColor="text1"/>
                <w:szCs w:val="21"/>
              </w:rPr>
              <w:t>601899</w:t>
            </w:r>
          </w:p>
        </w:tc>
        <w:tc>
          <w:tcPr>
            <w:tcW w:w="0" w:type="auto"/>
            <w:vAlign w:val="center"/>
          </w:tcPr>
          <w:p w:rsidR="00F7735C" w:rsidRDefault="00AD6886">
            <w:pPr>
              <w:jc w:val="center"/>
            </w:pPr>
            <w:r>
              <w:rPr>
                <w:rFonts w:eastAsiaTheme="minorEastAsia"/>
                <w:color w:val="000000" w:themeColor="text1"/>
                <w:szCs w:val="21"/>
              </w:rPr>
              <w:t>上海证券交易所</w:t>
            </w:r>
          </w:p>
        </w:tc>
        <w:tc>
          <w:tcPr>
            <w:tcW w:w="0" w:type="auto"/>
            <w:vAlign w:val="center"/>
          </w:tcPr>
          <w:p w:rsidR="00F7735C" w:rsidRDefault="00AD6886">
            <w:pPr>
              <w:jc w:val="center"/>
            </w:pPr>
            <w:r>
              <w:rPr>
                <w:rFonts w:eastAsiaTheme="minorEastAsia"/>
                <w:color w:val="000000" w:themeColor="text1"/>
                <w:szCs w:val="21"/>
              </w:rPr>
              <w:t>中国</w:t>
            </w:r>
          </w:p>
        </w:tc>
        <w:tc>
          <w:tcPr>
            <w:tcW w:w="0" w:type="auto"/>
            <w:vAlign w:val="center"/>
          </w:tcPr>
          <w:p w:rsidR="00F7735C" w:rsidRDefault="00AD6886">
            <w:pPr>
              <w:jc w:val="right"/>
            </w:pPr>
            <w:r>
              <w:rPr>
                <w:rFonts w:eastAsiaTheme="minorEastAsia"/>
                <w:color w:val="000000" w:themeColor="text1"/>
                <w:szCs w:val="21"/>
              </w:rPr>
              <w:t>155,589</w:t>
            </w:r>
          </w:p>
        </w:tc>
        <w:tc>
          <w:tcPr>
            <w:tcW w:w="0" w:type="auto"/>
            <w:vAlign w:val="center"/>
          </w:tcPr>
          <w:p w:rsidR="00F7735C" w:rsidRDefault="00AD6886">
            <w:pPr>
              <w:jc w:val="right"/>
            </w:pPr>
            <w:r>
              <w:rPr>
                <w:rFonts w:eastAsiaTheme="minorEastAsia"/>
                <w:color w:val="000000" w:themeColor="text1"/>
                <w:szCs w:val="21"/>
              </w:rPr>
              <w:t>2,733,698.73</w:t>
            </w:r>
          </w:p>
        </w:tc>
        <w:tc>
          <w:tcPr>
            <w:tcW w:w="0" w:type="auto"/>
            <w:vAlign w:val="center"/>
          </w:tcPr>
          <w:p w:rsidR="00F7735C" w:rsidRDefault="00AD6886">
            <w:pPr>
              <w:jc w:val="right"/>
            </w:pPr>
            <w:r>
              <w:rPr>
                <w:rFonts w:eastAsiaTheme="minorEastAsia"/>
                <w:color w:val="000000" w:themeColor="text1"/>
                <w:szCs w:val="21"/>
              </w:rPr>
              <w:t>2.97</w:t>
            </w:r>
          </w:p>
        </w:tc>
      </w:tr>
      <w:tr w:rsidR="00F7735C">
        <w:tc>
          <w:tcPr>
            <w:tcW w:w="0" w:type="auto"/>
            <w:vMerge w:val="restart"/>
            <w:vAlign w:val="center"/>
          </w:tcPr>
          <w:p w:rsidR="00F7735C" w:rsidRDefault="00AD6886">
            <w:pPr>
              <w:jc w:val="center"/>
            </w:pPr>
            <w:r>
              <w:rPr>
                <w:rFonts w:eastAsiaTheme="minorEastAsia"/>
                <w:color w:val="000000" w:themeColor="text1"/>
                <w:szCs w:val="21"/>
              </w:rPr>
              <w:t>2</w:t>
            </w:r>
          </w:p>
        </w:tc>
        <w:tc>
          <w:tcPr>
            <w:tcW w:w="0" w:type="auto"/>
            <w:vMerge w:val="restart"/>
            <w:vAlign w:val="center"/>
          </w:tcPr>
          <w:p w:rsidR="00F7735C" w:rsidRDefault="00AD6886">
            <w:pPr>
              <w:jc w:val="center"/>
            </w:pPr>
            <w:r>
              <w:rPr>
                <w:rFonts w:eastAsiaTheme="minorEastAsia"/>
                <w:color w:val="000000" w:themeColor="text1"/>
                <w:szCs w:val="21"/>
              </w:rPr>
              <w:t>Dongfang Electric Corp Ltd</w:t>
            </w:r>
          </w:p>
        </w:tc>
        <w:tc>
          <w:tcPr>
            <w:tcW w:w="0" w:type="auto"/>
            <w:vMerge w:val="restart"/>
            <w:vAlign w:val="center"/>
          </w:tcPr>
          <w:p w:rsidR="00F7735C" w:rsidRDefault="00AD6886">
            <w:pPr>
              <w:jc w:val="center"/>
            </w:pPr>
            <w:r>
              <w:rPr>
                <w:rFonts w:eastAsiaTheme="minorEastAsia"/>
                <w:color w:val="000000" w:themeColor="text1"/>
                <w:szCs w:val="21"/>
              </w:rPr>
              <w:t>东方电气</w:t>
            </w:r>
          </w:p>
        </w:tc>
        <w:tc>
          <w:tcPr>
            <w:tcW w:w="0" w:type="auto"/>
            <w:vAlign w:val="center"/>
          </w:tcPr>
          <w:p w:rsidR="00F7735C" w:rsidRDefault="00AD6886">
            <w:pPr>
              <w:jc w:val="center"/>
            </w:pPr>
            <w:r>
              <w:rPr>
                <w:rFonts w:eastAsiaTheme="minorEastAsia"/>
                <w:color w:val="000000" w:themeColor="text1"/>
                <w:szCs w:val="21"/>
              </w:rPr>
              <w:t>1072</w:t>
            </w:r>
          </w:p>
        </w:tc>
        <w:tc>
          <w:tcPr>
            <w:tcW w:w="0" w:type="auto"/>
            <w:vAlign w:val="center"/>
          </w:tcPr>
          <w:p w:rsidR="00F7735C" w:rsidRDefault="00AD6886">
            <w:pPr>
              <w:jc w:val="center"/>
            </w:pPr>
            <w:r>
              <w:rPr>
                <w:rFonts w:eastAsiaTheme="minorEastAsia"/>
                <w:color w:val="000000" w:themeColor="text1"/>
                <w:szCs w:val="21"/>
              </w:rPr>
              <w:t>香港证券交易所</w:t>
            </w:r>
          </w:p>
        </w:tc>
        <w:tc>
          <w:tcPr>
            <w:tcW w:w="0" w:type="auto"/>
            <w:vAlign w:val="center"/>
          </w:tcPr>
          <w:p w:rsidR="00F7735C" w:rsidRDefault="00AD6886">
            <w:pPr>
              <w:jc w:val="center"/>
            </w:pPr>
            <w:r>
              <w:rPr>
                <w:rFonts w:eastAsiaTheme="minorEastAsia"/>
                <w:color w:val="000000" w:themeColor="text1"/>
                <w:szCs w:val="21"/>
              </w:rPr>
              <w:t>中国香港</w:t>
            </w:r>
          </w:p>
        </w:tc>
        <w:tc>
          <w:tcPr>
            <w:tcW w:w="0" w:type="auto"/>
            <w:vAlign w:val="center"/>
          </w:tcPr>
          <w:p w:rsidR="00F7735C" w:rsidRDefault="00AD6886">
            <w:pPr>
              <w:jc w:val="right"/>
            </w:pPr>
            <w:r>
              <w:rPr>
                <w:rFonts w:eastAsiaTheme="minorEastAsia"/>
                <w:color w:val="000000" w:themeColor="text1"/>
                <w:szCs w:val="21"/>
              </w:rPr>
              <w:t>236,600</w:t>
            </w:r>
          </w:p>
        </w:tc>
        <w:tc>
          <w:tcPr>
            <w:tcW w:w="0" w:type="auto"/>
            <w:vAlign w:val="center"/>
          </w:tcPr>
          <w:p w:rsidR="00F7735C" w:rsidRDefault="00AD6886">
            <w:pPr>
              <w:jc w:val="right"/>
            </w:pPr>
            <w:r>
              <w:rPr>
                <w:rFonts w:eastAsiaTheme="minorEastAsia"/>
                <w:color w:val="000000" w:themeColor="text1"/>
                <w:szCs w:val="21"/>
              </w:rPr>
              <w:t>2,686,294.69</w:t>
            </w:r>
          </w:p>
        </w:tc>
        <w:tc>
          <w:tcPr>
            <w:tcW w:w="0" w:type="auto"/>
            <w:vAlign w:val="center"/>
          </w:tcPr>
          <w:p w:rsidR="00F7735C" w:rsidRDefault="00AD6886">
            <w:pPr>
              <w:jc w:val="right"/>
            </w:pPr>
            <w:r>
              <w:rPr>
                <w:rFonts w:eastAsiaTheme="minorEastAsia"/>
                <w:color w:val="000000" w:themeColor="text1"/>
                <w:szCs w:val="21"/>
              </w:rPr>
              <w:t>2.92</w:t>
            </w:r>
          </w:p>
        </w:tc>
      </w:tr>
      <w:tr w:rsidR="00F7735C">
        <w:tc>
          <w:tcPr>
            <w:tcW w:w="0" w:type="auto"/>
            <w:vMerge/>
          </w:tcPr>
          <w:p w:rsidR="00F7735C" w:rsidRDefault="00F7735C"/>
        </w:tc>
        <w:tc>
          <w:tcPr>
            <w:tcW w:w="0" w:type="auto"/>
            <w:vMerge/>
          </w:tcPr>
          <w:p w:rsidR="00F7735C" w:rsidRDefault="00F7735C"/>
        </w:tc>
        <w:tc>
          <w:tcPr>
            <w:tcW w:w="0" w:type="auto"/>
            <w:vMerge/>
          </w:tcPr>
          <w:p w:rsidR="00F7735C" w:rsidRDefault="00F7735C"/>
        </w:tc>
        <w:tc>
          <w:tcPr>
            <w:tcW w:w="0" w:type="auto"/>
            <w:vAlign w:val="center"/>
          </w:tcPr>
          <w:p w:rsidR="00F7735C" w:rsidRDefault="00AD6886">
            <w:pPr>
              <w:jc w:val="center"/>
            </w:pPr>
            <w:r>
              <w:rPr>
                <w:rFonts w:eastAsiaTheme="minorEastAsia"/>
                <w:color w:val="000000" w:themeColor="text1"/>
                <w:szCs w:val="21"/>
              </w:rPr>
              <w:t>600875</w:t>
            </w:r>
          </w:p>
        </w:tc>
        <w:tc>
          <w:tcPr>
            <w:tcW w:w="0" w:type="auto"/>
            <w:vAlign w:val="center"/>
          </w:tcPr>
          <w:p w:rsidR="00F7735C" w:rsidRDefault="00AD6886">
            <w:pPr>
              <w:jc w:val="center"/>
            </w:pPr>
            <w:r>
              <w:rPr>
                <w:rFonts w:eastAsiaTheme="minorEastAsia"/>
                <w:color w:val="000000" w:themeColor="text1"/>
                <w:szCs w:val="21"/>
              </w:rPr>
              <w:t>上海证券交易所</w:t>
            </w:r>
          </w:p>
        </w:tc>
        <w:tc>
          <w:tcPr>
            <w:tcW w:w="0" w:type="auto"/>
            <w:vAlign w:val="center"/>
          </w:tcPr>
          <w:p w:rsidR="00F7735C" w:rsidRDefault="00AD6886">
            <w:pPr>
              <w:jc w:val="center"/>
            </w:pPr>
            <w:r>
              <w:rPr>
                <w:rFonts w:eastAsiaTheme="minorEastAsia"/>
                <w:color w:val="000000" w:themeColor="text1"/>
                <w:szCs w:val="21"/>
              </w:rPr>
              <w:t>中国</w:t>
            </w:r>
          </w:p>
        </w:tc>
        <w:tc>
          <w:tcPr>
            <w:tcW w:w="0" w:type="auto"/>
            <w:vAlign w:val="center"/>
          </w:tcPr>
          <w:p w:rsidR="00F7735C" w:rsidRDefault="00AD6886">
            <w:pPr>
              <w:jc w:val="right"/>
            </w:pPr>
            <w:r>
              <w:rPr>
                <w:rFonts w:eastAsiaTheme="minorEastAsia"/>
                <w:color w:val="000000" w:themeColor="text1"/>
                <w:szCs w:val="21"/>
              </w:rPr>
              <w:t>144,595</w:t>
            </w:r>
          </w:p>
        </w:tc>
        <w:tc>
          <w:tcPr>
            <w:tcW w:w="0" w:type="auto"/>
            <w:vAlign w:val="center"/>
          </w:tcPr>
          <w:p w:rsidR="00F7735C" w:rsidRDefault="00AD6886">
            <w:pPr>
              <w:jc w:val="right"/>
            </w:pPr>
            <w:r>
              <w:rPr>
                <w:rFonts w:eastAsiaTheme="minorEastAsia"/>
                <w:color w:val="000000" w:themeColor="text1"/>
                <w:szCs w:val="21"/>
              </w:rPr>
              <w:t>2,667,777.75</w:t>
            </w:r>
          </w:p>
        </w:tc>
        <w:tc>
          <w:tcPr>
            <w:tcW w:w="0" w:type="auto"/>
            <w:vAlign w:val="center"/>
          </w:tcPr>
          <w:p w:rsidR="00F7735C" w:rsidRDefault="00AD6886">
            <w:pPr>
              <w:jc w:val="right"/>
            </w:pPr>
            <w:r>
              <w:rPr>
                <w:rFonts w:eastAsiaTheme="minorEastAsia"/>
                <w:color w:val="000000" w:themeColor="text1"/>
                <w:szCs w:val="21"/>
              </w:rPr>
              <w:t>2.90</w:t>
            </w:r>
          </w:p>
        </w:tc>
      </w:tr>
      <w:tr w:rsidR="00F7735C">
        <w:tc>
          <w:tcPr>
            <w:tcW w:w="0" w:type="auto"/>
            <w:vMerge w:val="restart"/>
            <w:vAlign w:val="center"/>
          </w:tcPr>
          <w:p w:rsidR="00F7735C" w:rsidRDefault="00AD6886">
            <w:pPr>
              <w:jc w:val="center"/>
            </w:pPr>
            <w:r>
              <w:rPr>
                <w:rFonts w:eastAsiaTheme="minorEastAsia"/>
                <w:color w:val="000000" w:themeColor="text1"/>
                <w:szCs w:val="21"/>
              </w:rPr>
              <w:t>3</w:t>
            </w:r>
          </w:p>
        </w:tc>
        <w:tc>
          <w:tcPr>
            <w:tcW w:w="0" w:type="auto"/>
            <w:vMerge w:val="restart"/>
            <w:vAlign w:val="center"/>
          </w:tcPr>
          <w:p w:rsidR="00F7735C" w:rsidRDefault="00AD6886">
            <w:pPr>
              <w:jc w:val="center"/>
            </w:pPr>
            <w:r>
              <w:rPr>
                <w:rFonts w:eastAsiaTheme="minorEastAsia"/>
                <w:color w:val="000000" w:themeColor="text1"/>
                <w:szCs w:val="21"/>
              </w:rPr>
              <w:t>China Life Insurance Co Ltd</w:t>
            </w:r>
          </w:p>
        </w:tc>
        <w:tc>
          <w:tcPr>
            <w:tcW w:w="0" w:type="auto"/>
            <w:vMerge w:val="restart"/>
            <w:vAlign w:val="center"/>
          </w:tcPr>
          <w:p w:rsidR="00F7735C" w:rsidRDefault="00AD6886">
            <w:pPr>
              <w:jc w:val="center"/>
            </w:pPr>
            <w:r>
              <w:rPr>
                <w:rFonts w:eastAsiaTheme="minorEastAsia"/>
                <w:color w:val="000000" w:themeColor="text1"/>
                <w:szCs w:val="21"/>
              </w:rPr>
              <w:t>中国人寿</w:t>
            </w:r>
          </w:p>
        </w:tc>
        <w:tc>
          <w:tcPr>
            <w:tcW w:w="0" w:type="auto"/>
            <w:vAlign w:val="center"/>
          </w:tcPr>
          <w:p w:rsidR="00F7735C" w:rsidRDefault="00AD6886">
            <w:pPr>
              <w:jc w:val="center"/>
            </w:pPr>
            <w:r>
              <w:rPr>
                <w:rFonts w:eastAsiaTheme="minorEastAsia"/>
                <w:color w:val="000000" w:themeColor="text1"/>
                <w:szCs w:val="21"/>
              </w:rPr>
              <w:t>2628</w:t>
            </w:r>
          </w:p>
        </w:tc>
        <w:tc>
          <w:tcPr>
            <w:tcW w:w="0" w:type="auto"/>
            <w:vAlign w:val="center"/>
          </w:tcPr>
          <w:p w:rsidR="00F7735C" w:rsidRDefault="00AD6886">
            <w:pPr>
              <w:jc w:val="center"/>
            </w:pPr>
            <w:r>
              <w:rPr>
                <w:rFonts w:eastAsiaTheme="minorEastAsia"/>
                <w:color w:val="000000" w:themeColor="text1"/>
                <w:szCs w:val="21"/>
              </w:rPr>
              <w:t>香港证券交易所</w:t>
            </w:r>
          </w:p>
        </w:tc>
        <w:tc>
          <w:tcPr>
            <w:tcW w:w="0" w:type="auto"/>
            <w:vAlign w:val="center"/>
          </w:tcPr>
          <w:p w:rsidR="00F7735C" w:rsidRDefault="00AD6886">
            <w:pPr>
              <w:jc w:val="center"/>
            </w:pPr>
            <w:r>
              <w:rPr>
                <w:rFonts w:eastAsiaTheme="minorEastAsia"/>
                <w:color w:val="000000" w:themeColor="text1"/>
                <w:szCs w:val="21"/>
              </w:rPr>
              <w:t>中国香港</w:t>
            </w:r>
          </w:p>
        </w:tc>
        <w:tc>
          <w:tcPr>
            <w:tcW w:w="0" w:type="auto"/>
            <w:vAlign w:val="center"/>
          </w:tcPr>
          <w:p w:rsidR="00F7735C" w:rsidRDefault="00AD6886">
            <w:pPr>
              <w:jc w:val="right"/>
            </w:pPr>
            <w:r>
              <w:rPr>
                <w:rFonts w:eastAsiaTheme="minorEastAsia"/>
                <w:color w:val="000000" w:themeColor="text1"/>
                <w:szCs w:val="21"/>
              </w:rPr>
              <w:t>263,000</w:t>
            </w:r>
          </w:p>
        </w:tc>
        <w:tc>
          <w:tcPr>
            <w:tcW w:w="0" w:type="auto"/>
            <w:vAlign w:val="center"/>
          </w:tcPr>
          <w:p w:rsidR="00F7735C" w:rsidRDefault="00AD6886">
            <w:pPr>
              <w:jc w:val="right"/>
            </w:pPr>
            <w:r>
              <w:rPr>
                <w:rFonts w:eastAsiaTheme="minorEastAsia"/>
                <w:color w:val="000000" w:themeColor="text1"/>
                <w:szCs w:val="21"/>
              </w:rPr>
              <w:t>2,649,984.63</w:t>
            </w:r>
          </w:p>
        </w:tc>
        <w:tc>
          <w:tcPr>
            <w:tcW w:w="0" w:type="auto"/>
            <w:vAlign w:val="center"/>
          </w:tcPr>
          <w:p w:rsidR="00F7735C" w:rsidRDefault="00AD6886">
            <w:pPr>
              <w:jc w:val="right"/>
            </w:pPr>
            <w:r>
              <w:rPr>
                <w:rFonts w:eastAsiaTheme="minorEastAsia"/>
                <w:color w:val="000000" w:themeColor="text1"/>
                <w:szCs w:val="21"/>
              </w:rPr>
              <w:t>2.88</w:t>
            </w:r>
          </w:p>
        </w:tc>
      </w:tr>
      <w:tr w:rsidR="00F7735C">
        <w:tc>
          <w:tcPr>
            <w:tcW w:w="0" w:type="auto"/>
            <w:vMerge/>
          </w:tcPr>
          <w:p w:rsidR="00F7735C" w:rsidRDefault="00F7735C"/>
        </w:tc>
        <w:tc>
          <w:tcPr>
            <w:tcW w:w="0" w:type="auto"/>
            <w:vMerge/>
          </w:tcPr>
          <w:p w:rsidR="00F7735C" w:rsidRDefault="00F7735C"/>
        </w:tc>
        <w:tc>
          <w:tcPr>
            <w:tcW w:w="0" w:type="auto"/>
            <w:vMerge/>
          </w:tcPr>
          <w:p w:rsidR="00F7735C" w:rsidRDefault="00F7735C"/>
        </w:tc>
        <w:tc>
          <w:tcPr>
            <w:tcW w:w="0" w:type="auto"/>
            <w:vAlign w:val="center"/>
          </w:tcPr>
          <w:p w:rsidR="00F7735C" w:rsidRDefault="00AD6886">
            <w:pPr>
              <w:jc w:val="center"/>
            </w:pPr>
            <w:r>
              <w:rPr>
                <w:rFonts w:eastAsiaTheme="minorEastAsia"/>
                <w:color w:val="000000" w:themeColor="text1"/>
                <w:szCs w:val="21"/>
              </w:rPr>
              <w:t>601628</w:t>
            </w:r>
          </w:p>
        </w:tc>
        <w:tc>
          <w:tcPr>
            <w:tcW w:w="0" w:type="auto"/>
            <w:vAlign w:val="center"/>
          </w:tcPr>
          <w:p w:rsidR="00F7735C" w:rsidRDefault="00AD6886">
            <w:pPr>
              <w:jc w:val="center"/>
            </w:pPr>
            <w:r>
              <w:rPr>
                <w:rFonts w:eastAsiaTheme="minorEastAsia"/>
                <w:color w:val="000000" w:themeColor="text1"/>
                <w:szCs w:val="21"/>
              </w:rPr>
              <w:t>上海证券交易</w:t>
            </w:r>
            <w:r>
              <w:rPr>
                <w:rFonts w:eastAsiaTheme="minorEastAsia"/>
                <w:color w:val="000000" w:themeColor="text1"/>
                <w:szCs w:val="21"/>
              </w:rPr>
              <w:lastRenderedPageBreak/>
              <w:t>所</w:t>
            </w:r>
          </w:p>
        </w:tc>
        <w:tc>
          <w:tcPr>
            <w:tcW w:w="0" w:type="auto"/>
            <w:vAlign w:val="center"/>
          </w:tcPr>
          <w:p w:rsidR="00F7735C" w:rsidRDefault="00AD6886">
            <w:pPr>
              <w:jc w:val="center"/>
            </w:pPr>
            <w:r>
              <w:rPr>
                <w:rFonts w:eastAsiaTheme="minorEastAsia"/>
                <w:color w:val="000000" w:themeColor="text1"/>
                <w:szCs w:val="21"/>
              </w:rPr>
              <w:lastRenderedPageBreak/>
              <w:t>中国</w:t>
            </w:r>
          </w:p>
        </w:tc>
        <w:tc>
          <w:tcPr>
            <w:tcW w:w="0" w:type="auto"/>
            <w:vAlign w:val="center"/>
          </w:tcPr>
          <w:p w:rsidR="00F7735C" w:rsidRDefault="00AD6886">
            <w:pPr>
              <w:jc w:val="right"/>
            </w:pPr>
            <w:r>
              <w:rPr>
                <w:rFonts w:eastAsiaTheme="minorEastAsia"/>
                <w:color w:val="000000" w:themeColor="text1"/>
                <w:szCs w:val="21"/>
              </w:rPr>
              <w:t>76,866</w:t>
            </w:r>
          </w:p>
        </w:tc>
        <w:tc>
          <w:tcPr>
            <w:tcW w:w="0" w:type="auto"/>
            <w:vAlign w:val="center"/>
          </w:tcPr>
          <w:p w:rsidR="00F7735C" w:rsidRDefault="00AD6886">
            <w:pPr>
              <w:jc w:val="right"/>
            </w:pPr>
            <w:r>
              <w:rPr>
                <w:rFonts w:eastAsiaTheme="minorEastAsia"/>
                <w:color w:val="000000" w:themeColor="text1"/>
                <w:szCs w:val="21"/>
              </w:rPr>
              <w:t>2,386,689.30</w:t>
            </w:r>
          </w:p>
        </w:tc>
        <w:tc>
          <w:tcPr>
            <w:tcW w:w="0" w:type="auto"/>
            <w:vAlign w:val="center"/>
          </w:tcPr>
          <w:p w:rsidR="00F7735C" w:rsidRDefault="00AD6886">
            <w:pPr>
              <w:jc w:val="right"/>
            </w:pPr>
            <w:r>
              <w:rPr>
                <w:rFonts w:eastAsiaTheme="minorEastAsia"/>
                <w:color w:val="000000" w:themeColor="text1"/>
                <w:szCs w:val="21"/>
              </w:rPr>
              <w:t>2.60</w:t>
            </w:r>
          </w:p>
        </w:tc>
      </w:tr>
      <w:tr w:rsidR="00F7735C">
        <w:tc>
          <w:tcPr>
            <w:tcW w:w="0" w:type="auto"/>
            <w:vMerge w:val="restart"/>
            <w:vAlign w:val="center"/>
          </w:tcPr>
          <w:p w:rsidR="00F7735C" w:rsidRDefault="00AD6886">
            <w:pPr>
              <w:jc w:val="center"/>
            </w:pPr>
            <w:r>
              <w:rPr>
                <w:rFonts w:eastAsiaTheme="minorEastAsia"/>
                <w:color w:val="000000" w:themeColor="text1"/>
                <w:szCs w:val="21"/>
              </w:rPr>
              <w:t>4</w:t>
            </w:r>
          </w:p>
        </w:tc>
        <w:tc>
          <w:tcPr>
            <w:tcW w:w="0" w:type="auto"/>
            <w:vMerge w:val="restart"/>
            <w:vAlign w:val="center"/>
          </w:tcPr>
          <w:p w:rsidR="00F7735C" w:rsidRDefault="00AD6886">
            <w:pPr>
              <w:jc w:val="center"/>
            </w:pPr>
            <w:r>
              <w:rPr>
                <w:rFonts w:eastAsiaTheme="minorEastAsia"/>
                <w:color w:val="000000" w:themeColor="text1"/>
                <w:szCs w:val="21"/>
              </w:rPr>
              <w:t>China Merchants Bank Co Ltd</w:t>
            </w:r>
          </w:p>
        </w:tc>
        <w:tc>
          <w:tcPr>
            <w:tcW w:w="0" w:type="auto"/>
            <w:vMerge w:val="restart"/>
            <w:vAlign w:val="center"/>
          </w:tcPr>
          <w:p w:rsidR="00F7735C" w:rsidRDefault="00AD6886">
            <w:pPr>
              <w:jc w:val="center"/>
            </w:pPr>
            <w:r>
              <w:rPr>
                <w:rFonts w:eastAsiaTheme="minorEastAsia"/>
                <w:color w:val="000000" w:themeColor="text1"/>
                <w:szCs w:val="21"/>
              </w:rPr>
              <w:t>招商银行</w:t>
            </w:r>
          </w:p>
        </w:tc>
        <w:tc>
          <w:tcPr>
            <w:tcW w:w="0" w:type="auto"/>
            <w:vAlign w:val="center"/>
          </w:tcPr>
          <w:p w:rsidR="00F7735C" w:rsidRDefault="00AD6886">
            <w:pPr>
              <w:jc w:val="center"/>
            </w:pPr>
            <w:r>
              <w:rPr>
                <w:rFonts w:eastAsiaTheme="minorEastAsia"/>
                <w:color w:val="000000" w:themeColor="text1"/>
                <w:szCs w:val="21"/>
              </w:rPr>
              <w:t>600036</w:t>
            </w:r>
          </w:p>
        </w:tc>
        <w:tc>
          <w:tcPr>
            <w:tcW w:w="0" w:type="auto"/>
            <w:vAlign w:val="center"/>
          </w:tcPr>
          <w:p w:rsidR="00F7735C" w:rsidRDefault="00AD6886">
            <w:pPr>
              <w:jc w:val="center"/>
            </w:pPr>
            <w:r>
              <w:rPr>
                <w:rFonts w:eastAsiaTheme="minorEastAsia"/>
                <w:color w:val="000000" w:themeColor="text1"/>
                <w:szCs w:val="21"/>
              </w:rPr>
              <w:t>上海证券交易所</w:t>
            </w:r>
          </w:p>
        </w:tc>
        <w:tc>
          <w:tcPr>
            <w:tcW w:w="0" w:type="auto"/>
            <w:vAlign w:val="center"/>
          </w:tcPr>
          <w:p w:rsidR="00F7735C" w:rsidRDefault="00AD6886">
            <w:pPr>
              <w:jc w:val="center"/>
            </w:pPr>
            <w:r>
              <w:rPr>
                <w:rFonts w:eastAsiaTheme="minorEastAsia"/>
                <w:color w:val="000000" w:themeColor="text1"/>
                <w:szCs w:val="21"/>
              </w:rPr>
              <w:t>中国</w:t>
            </w:r>
          </w:p>
        </w:tc>
        <w:tc>
          <w:tcPr>
            <w:tcW w:w="0" w:type="auto"/>
            <w:vAlign w:val="center"/>
          </w:tcPr>
          <w:p w:rsidR="00F7735C" w:rsidRDefault="00AD6886">
            <w:pPr>
              <w:jc w:val="right"/>
            </w:pPr>
            <w:r>
              <w:rPr>
                <w:rFonts w:eastAsiaTheme="minorEastAsia"/>
                <w:color w:val="000000" w:themeColor="text1"/>
                <w:szCs w:val="21"/>
              </w:rPr>
              <w:t>86,509</w:t>
            </w:r>
          </w:p>
        </w:tc>
        <w:tc>
          <w:tcPr>
            <w:tcW w:w="0" w:type="auto"/>
            <w:vAlign w:val="center"/>
          </w:tcPr>
          <w:p w:rsidR="00F7735C" w:rsidRDefault="00AD6886">
            <w:pPr>
              <w:jc w:val="right"/>
            </w:pPr>
            <w:r>
              <w:rPr>
                <w:rFonts w:eastAsiaTheme="minorEastAsia"/>
                <w:color w:val="000000" w:themeColor="text1"/>
                <w:szCs w:val="21"/>
              </w:rPr>
              <w:t>2,957,742.71</w:t>
            </w:r>
          </w:p>
        </w:tc>
        <w:tc>
          <w:tcPr>
            <w:tcW w:w="0" w:type="auto"/>
            <w:vAlign w:val="center"/>
          </w:tcPr>
          <w:p w:rsidR="00F7735C" w:rsidRDefault="00AD6886">
            <w:pPr>
              <w:jc w:val="right"/>
            </w:pPr>
            <w:r>
              <w:rPr>
                <w:rFonts w:eastAsiaTheme="minorEastAsia"/>
                <w:color w:val="000000" w:themeColor="text1"/>
                <w:szCs w:val="21"/>
              </w:rPr>
              <w:t>3.22</w:t>
            </w:r>
          </w:p>
        </w:tc>
      </w:tr>
      <w:tr w:rsidR="00F7735C">
        <w:tc>
          <w:tcPr>
            <w:tcW w:w="0" w:type="auto"/>
            <w:vMerge/>
          </w:tcPr>
          <w:p w:rsidR="00F7735C" w:rsidRDefault="00F7735C"/>
        </w:tc>
        <w:tc>
          <w:tcPr>
            <w:tcW w:w="0" w:type="auto"/>
            <w:vMerge/>
          </w:tcPr>
          <w:p w:rsidR="00F7735C" w:rsidRDefault="00F7735C"/>
        </w:tc>
        <w:tc>
          <w:tcPr>
            <w:tcW w:w="0" w:type="auto"/>
            <w:vMerge/>
          </w:tcPr>
          <w:p w:rsidR="00F7735C" w:rsidRDefault="00F7735C"/>
        </w:tc>
        <w:tc>
          <w:tcPr>
            <w:tcW w:w="0" w:type="auto"/>
            <w:vAlign w:val="center"/>
          </w:tcPr>
          <w:p w:rsidR="00F7735C" w:rsidRDefault="00AD6886">
            <w:pPr>
              <w:jc w:val="center"/>
            </w:pPr>
            <w:r>
              <w:rPr>
                <w:rFonts w:eastAsiaTheme="minorEastAsia"/>
                <w:color w:val="000000" w:themeColor="text1"/>
                <w:szCs w:val="21"/>
              </w:rPr>
              <w:t>3968</w:t>
            </w:r>
          </w:p>
        </w:tc>
        <w:tc>
          <w:tcPr>
            <w:tcW w:w="0" w:type="auto"/>
            <w:vAlign w:val="center"/>
          </w:tcPr>
          <w:p w:rsidR="00F7735C" w:rsidRDefault="00AD6886">
            <w:pPr>
              <w:jc w:val="center"/>
            </w:pPr>
            <w:r>
              <w:rPr>
                <w:rFonts w:eastAsiaTheme="minorEastAsia"/>
                <w:color w:val="000000" w:themeColor="text1"/>
                <w:szCs w:val="21"/>
              </w:rPr>
              <w:t>香港证券交易所</w:t>
            </w:r>
          </w:p>
        </w:tc>
        <w:tc>
          <w:tcPr>
            <w:tcW w:w="0" w:type="auto"/>
            <w:vAlign w:val="center"/>
          </w:tcPr>
          <w:p w:rsidR="00F7735C" w:rsidRDefault="00AD6886">
            <w:pPr>
              <w:jc w:val="center"/>
            </w:pPr>
            <w:r>
              <w:rPr>
                <w:rFonts w:eastAsiaTheme="minorEastAsia"/>
                <w:color w:val="000000" w:themeColor="text1"/>
                <w:szCs w:val="21"/>
              </w:rPr>
              <w:t>中国香港</w:t>
            </w:r>
          </w:p>
        </w:tc>
        <w:tc>
          <w:tcPr>
            <w:tcW w:w="0" w:type="auto"/>
            <w:vAlign w:val="center"/>
          </w:tcPr>
          <w:p w:rsidR="00F7735C" w:rsidRDefault="00AD6886">
            <w:pPr>
              <w:jc w:val="right"/>
            </w:pPr>
            <w:r>
              <w:rPr>
                <w:rFonts w:eastAsiaTheme="minorEastAsia"/>
                <w:color w:val="000000" w:themeColor="text1"/>
                <w:szCs w:val="21"/>
              </w:rPr>
              <w:t>45,000</w:t>
            </w:r>
          </w:p>
        </w:tc>
        <w:tc>
          <w:tcPr>
            <w:tcW w:w="0" w:type="auto"/>
            <w:vAlign w:val="center"/>
          </w:tcPr>
          <w:p w:rsidR="00F7735C" w:rsidRDefault="00AD6886">
            <w:pPr>
              <w:jc w:val="right"/>
            </w:pPr>
            <w:r>
              <w:rPr>
                <w:rFonts w:eastAsiaTheme="minorEastAsia"/>
                <w:color w:val="000000" w:themeColor="text1"/>
                <w:szCs w:val="21"/>
              </w:rPr>
              <w:t>1,455,952.77</w:t>
            </w:r>
          </w:p>
        </w:tc>
        <w:tc>
          <w:tcPr>
            <w:tcW w:w="0" w:type="auto"/>
            <w:vAlign w:val="center"/>
          </w:tcPr>
          <w:p w:rsidR="00F7735C" w:rsidRDefault="00AD6886">
            <w:pPr>
              <w:jc w:val="right"/>
            </w:pPr>
            <w:r>
              <w:rPr>
                <w:rFonts w:eastAsiaTheme="minorEastAsia"/>
                <w:color w:val="000000" w:themeColor="text1"/>
                <w:szCs w:val="21"/>
              </w:rPr>
              <w:t>1.58</w:t>
            </w:r>
          </w:p>
        </w:tc>
      </w:tr>
      <w:tr w:rsidR="00F7735C">
        <w:tc>
          <w:tcPr>
            <w:tcW w:w="0" w:type="auto"/>
            <w:vAlign w:val="center"/>
          </w:tcPr>
          <w:p w:rsidR="00F7735C" w:rsidRDefault="00AD6886">
            <w:pPr>
              <w:jc w:val="center"/>
            </w:pPr>
            <w:r>
              <w:rPr>
                <w:rFonts w:eastAsiaTheme="minorEastAsia"/>
                <w:color w:val="000000" w:themeColor="text1"/>
                <w:szCs w:val="21"/>
              </w:rPr>
              <w:t>5</w:t>
            </w:r>
          </w:p>
        </w:tc>
        <w:tc>
          <w:tcPr>
            <w:tcW w:w="0" w:type="auto"/>
            <w:vAlign w:val="center"/>
          </w:tcPr>
          <w:p w:rsidR="00F7735C" w:rsidRDefault="00AD6886">
            <w:pPr>
              <w:jc w:val="center"/>
            </w:pPr>
            <w:r>
              <w:rPr>
                <w:rFonts w:eastAsiaTheme="minorEastAsia"/>
                <w:color w:val="000000" w:themeColor="text1"/>
                <w:szCs w:val="21"/>
              </w:rPr>
              <w:t>CNOOC Ltd</w:t>
            </w:r>
          </w:p>
        </w:tc>
        <w:tc>
          <w:tcPr>
            <w:tcW w:w="0" w:type="auto"/>
            <w:vAlign w:val="center"/>
          </w:tcPr>
          <w:p w:rsidR="00F7735C" w:rsidRDefault="00AD6886">
            <w:pPr>
              <w:jc w:val="center"/>
            </w:pPr>
            <w:r>
              <w:rPr>
                <w:rFonts w:eastAsiaTheme="minorEastAsia"/>
                <w:color w:val="000000" w:themeColor="text1"/>
                <w:szCs w:val="21"/>
              </w:rPr>
              <w:t>中国海洋石油</w:t>
            </w:r>
          </w:p>
        </w:tc>
        <w:tc>
          <w:tcPr>
            <w:tcW w:w="0" w:type="auto"/>
            <w:vAlign w:val="center"/>
          </w:tcPr>
          <w:p w:rsidR="00F7735C" w:rsidRDefault="00AD6886">
            <w:pPr>
              <w:jc w:val="center"/>
            </w:pPr>
            <w:r>
              <w:rPr>
                <w:rFonts w:eastAsiaTheme="minorEastAsia"/>
                <w:color w:val="000000" w:themeColor="text1"/>
                <w:szCs w:val="21"/>
              </w:rPr>
              <w:t>883</w:t>
            </w:r>
          </w:p>
        </w:tc>
        <w:tc>
          <w:tcPr>
            <w:tcW w:w="0" w:type="auto"/>
            <w:vAlign w:val="center"/>
          </w:tcPr>
          <w:p w:rsidR="00F7735C" w:rsidRDefault="00AD6886">
            <w:pPr>
              <w:jc w:val="center"/>
            </w:pPr>
            <w:r>
              <w:rPr>
                <w:rFonts w:eastAsiaTheme="minorEastAsia"/>
                <w:color w:val="000000" w:themeColor="text1"/>
                <w:szCs w:val="21"/>
              </w:rPr>
              <w:t>香港证券交易所</w:t>
            </w:r>
          </w:p>
        </w:tc>
        <w:tc>
          <w:tcPr>
            <w:tcW w:w="0" w:type="auto"/>
            <w:vAlign w:val="center"/>
          </w:tcPr>
          <w:p w:rsidR="00F7735C" w:rsidRDefault="00AD6886">
            <w:pPr>
              <w:jc w:val="center"/>
            </w:pPr>
            <w:r>
              <w:rPr>
                <w:rFonts w:eastAsiaTheme="minorEastAsia"/>
                <w:color w:val="000000" w:themeColor="text1"/>
                <w:szCs w:val="21"/>
              </w:rPr>
              <w:t>中国香港</w:t>
            </w:r>
          </w:p>
        </w:tc>
        <w:tc>
          <w:tcPr>
            <w:tcW w:w="0" w:type="auto"/>
            <w:vAlign w:val="center"/>
          </w:tcPr>
          <w:p w:rsidR="00F7735C" w:rsidRDefault="00AD6886">
            <w:pPr>
              <w:jc w:val="right"/>
            </w:pPr>
            <w:r>
              <w:rPr>
                <w:rFonts w:eastAsiaTheme="minorEastAsia"/>
                <w:color w:val="000000" w:themeColor="text1"/>
                <w:szCs w:val="21"/>
              </w:rPr>
              <w:t>161,000</w:t>
            </w:r>
          </w:p>
        </w:tc>
        <w:tc>
          <w:tcPr>
            <w:tcW w:w="0" w:type="auto"/>
            <w:vAlign w:val="center"/>
          </w:tcPr>
          <w:p w:rsidR="00F7735C" w:rsidRDefault="00AD6886">
            <w:pPr>
              <w:jc w:val="right"/>
            </w:pPr>
            <w:r>
              <w:rPr>
                <w:rFonts w:eastAsiaTheme="minorEastAsia"/>
                <w:color w:val="000000" w:themeColor="text1"/>
                <w:szCs w:val="21"/>
              </w:rPr>
              <w:t>3,291,489.15</w:t>
            </w:r>
          </w:p>
        </w:tc>
        <w:tc>
          <w:tcPr>
            <w:tcW w:w="0" w:type="auto"/>
            <w:vAlign w:val="center"/>
          </w:tcPr>
          <w:p w:rsidR="00F7735C" w:rsidRDefault="00AD6886">
            <w:pPr>
              <w:jc w:val="right"/>
            </w:pPr>
            <w:r>
              <w:rPr>
                <w:rFonts w:eastAsiaTheme="minorEastAsia"/>
                <w:color w:val="000000" w:themeColor="text1"/>
                <w:szCs w:val="21"/>
              </w:rPr>
              <w:t>3.58</w:t>
            </w:r>
          </w:p>
        </w:tc>
      </w:tr>
      <w:tr w:rsidR="00F7735C">
        <w:tc>
          <w:tcPr>
            <w:tcW w:w="0" w:type="auto"/>
            <w:vAlign w:val="center"/>
          </w:tcPr>
          <w:p w:rsidR="00F7735C" w:rsidRDefault="00AD6886">
            <w:pPr>
              <w:jc w:val="center"/>
            </w:pPr>
            <w:r>
              <w:rPr>
                <w:rFonts w:eastAsiaTheme="minorEastAsia"/>
                <w:color w:val="000000" w:themeColor="text1"/>
                <w:szCs w:val="21"/>
              </w:rPr>
              <w:t>6</w:t>
            </w:r>
          </w:p>
        </w:tc>
        <w:tc>
          <w:tcPr>
            <w:tcW w:w="0" w:type="auto"/>
            <w:vAlign w:val="center"/>
          </w:tcPr>
          <w:p w:rsidR="00F7735C" w:rsidRDefault="00AD6886">
            <w:pPr>
              <w:jc w:val="center"/>
            </w:pPr>
            <w:r>
              <w:rPr>
                <w:rFonts w:eastAsiaTheme="minorEastAsia"/>
                <w:color w:val="000000" w:themeColor="text1"/>
                <w:szCs w:val="21"/>
              </w:rPr>
              <w:t>Bank of Nanjing Co Ltd</w:t>
            </w:r>
          </w:p>
        </w:tc>
        <w:tc>
          <w:tcPr>
            <w:tcW w:w="0" w:type="auto"/>
            <w:vAlign w:val="center"/>
          </w:tcPr>
          <w:p w:rsidR="00F7735C" w:rsidRDefault="00AD6886">
            <w:pPr>
              <w:jc w:val="center"/>
            </w:pPr>
            <w:r>
              <w:rPr>
                <w:rFonts w:eastAsiaTheme="minorEastAsia"/>
                <w:color w:val="000000" w:themeColor="text1"/>
                <w:szCs w:val="21"/>
              </w:rPr>
              <w:t>南京银行</w:t>
            </w:r>
          </w:p>
        </w:tc>
        <w:tc>
          <w:tcPr>
            <w:tcW w:w="0" w:type="auto"/>
            <w:vAlign w:val="center"/>
          </w:tcPr>
          <w:p w:rsidR="00F7735C" w:rsidRDefault="00AD6886">
            <w:pPr>
              <w:jc w:val="center"/>
            </w:pPr>
            <w:r>
              <w:rPr>
                <w:rFonts w:eastAsiaTheme="minorEastAsia"/>
                <w:color w:val="000000" w:themeColor="text1"/>
                <w:szCs w:val="21"/>
              </w:rPr>
              <w:t>601009</w:t>
            </w:r>
          </w:p>
        </w:tc>
        <w:tc>
          <w:tcPr>
            <w:tcW w:w="0" w:type="auto"/>
            <w:vAlign w:val="center"/>
          </w:tcPr>
          <w:p w:rsidR="00F7735C" w:rsidRDefault="00AD6886">
            <w:pPr>
              <w:jc w:val="center"/>
            </w:pPr>
            <w:r>
              <w:rPr>
                <w:rFonts w:eastAsiaTheme="minorEastAsia"/>
                <w:color w:val="000000" w:themeColor="text1"/>
                <w:szCs w:val="21"/>
              </w:rPr>
              <w:t>上海证券交易所</w:t>
            </w:r>
          </w:p>
        </w:tc>
        <w:tc>
          <w:tcPr>
            <w:tcW w:w="0" w:type="auto"/>
            <w:vAlign w:val="center"/>
          </w:tcPr>
          <w:p w:rsidR="00F7735C" w:rsidRDefault="00AD6886">
            <w:pPr>
              <w:jc w:val="center"/>
            </w:pPr>
            <w:r>
              <w:rPr>
                <w:rFonts w:eastAsiaTheme="minorEastAsia"/>
                <w:color w:val="000000" w:themeColor="text1"/>
                <w:szCs w:val="21"/>
              </w:rPr>
              <w:t>中国</w:t>
            </w:r>
          </w:p>
        </w:tc>
        <w:tc>
          <w:tcPr>
            <w:tcW w:w="0" w:type="auto"/>
            <w:vAlign w:val="center"/>
          </w:tcPr>
          <w:p w:rsidR="00F7735C" w:rsidRDefault="00AD6886">
            <w:pPr>
              <w:jc w:val="right"/>
            </w:pPr>
            <w:r>
              <w:rPr>
                <w:rFonts w:eastAsiaTheme="minorEastAsia"/>
                <w:color w:val="000000" w:themeColor="text1"/>
                <w:szCs w:val="21"/>
              </w:rPr>
              <w:t>292,700</w:t>
            </w:r>
          </w:p>
        </w:tc>
        <w:tc>
          <w:tcPr>
            <w:tcW w:w="0" w:type="auto"/>
            <w:vAlign w:val="center"/>
          </w:tcPr>
          <w:p w:rsidR="00F7735C" w:rsidRDefault="00AD6886">
            <w:pPr>
              <w:jc w:val="right"/>
            </w:pPr>
            <w:r>
              <w:rPr>
                <w:rFonts w:eastAsiaTheme="minorEastAsia"/>
                <w:color w:val="000000" w:themeColor="text1"/>
                <w:szCs w:val="21"/>
              </w:rPr>
              <w:t>3,041,153.00</w:t>
            </w:r>
          </w:p>
        </w:tc>
        <w:tc>
          <w:tcPr>
            <w:tcW w:w="0" w:type="auto"/>
            <w:vAlign w:val="center"/>
          </w:tcPr>
          <w:p w:rsidR="00F7735C" w:rsidRDefault="00AD6886">
            <w:pPr>
              <w:jc w:val="right"/>
            </w:pPr>
            <w:r>
              <w:rPr>
                <w:rFonts w:eastAsiaTheme="minorEastAsia"/>
                <w:color w:val="000000" w:themeColor="text1"/>
                <w:szCs w:val="21"/>
              </w:rPr>
              <w:t>3.31</w:t>
            </w:r>
          </w:p>
        </w:tc>
      </w:tr>
      <w:tr w:rsidR="00F7735C">
        <w:tc>
          <w:tcPr>
            <w:tcW w:w="0" w:type="auto"/>
            <w:vAlign w:val="center"/>
          </w:tcPr>
          <w:p w:rsidR="00F7735C" w:rsidRDefault="00AD6886">
            <w:pPr>
              <w:jc w:val="center"/>
            </w:pPr>
            <w:r>
              <w:rPr>
                <w:rFonts w:eastAsiaTheme="minorEastAsia"/>
                <w:color w:val="000000" w:themeColor="text1"/>
                <w:szCs w:val="21"/>
              </w:rPr>
              <w:t>7</w:t>
            </w:r>
          </w:p>
        </w:tc>
        <w:tc>
          <w:tcPr>
            <w:tcW w:w="0" w:type="auto"/>
            <w:vAlign w:val="center"/>
          </w:tcPr>
          <w:p w:rsidR="00F7735C" w:rsidRDefault="00AD6886">
            <w:pPr>
              <w:jc w:val="center"/>
            </w:pPr>
            <w:r>
              <w:rPr>
                <w:rFonts w:eastAsiaTheme="minorEastAsia"/>
                <w:color w:val="000000" w:themeColor="text1"/>
                <w:szCs w:val="21"/>
              </w:rPr>
              <w:t>JCET Group Co Ltd</w:t>
            </w:r>
          </w:p>
        </w:tc>
        <w:tc>
          <w:tcPr>
            <w:tcW w:w="0" w:type="auto"/>
            <w:vAlign w:val="center"/>
          </w:tcPr>
          <w:p w:rsidR="00F7735C" w:rsidRDefault="00AD6886">
            <w:pPr>
              <w:jc w:val="center"/>
            </w:pPr>
            <w:r>
              <w:rPr>
                <w:rFonts w:eastAsiaTheme="minorEastAsia"/>
                <w:color w:val="000000" w:themeColor="text1"/>
                <w:szCs w:val="21"/>
              </w:rPr>
              <w:t>长电科技</w:t>
            </w:r>
          </w:p>
        </w:tc>
        <w:tc>
          <w:tcPr>
            <w:tcW w:w="0" w:type="auto"/>
            <w:vAlign w:val="center"/>
          </w:tcPr>
          <w:p w:rsidR="00F7735C" w:rsidRDefault="00AD6886">
            <w:pPr>
              <w:jc w:val="center"/>
            </w:pPr>
            <w:r>
              <w:rPr>
                <w:rFonts w:eastAsiaTheme="minorEastAsia"/>
                <w:color w:val="000000" w:themeColor="text1"/>
                <w:szCs w:val="21"/>
              </w:rPr>
              <w:t>600584</w:t>
            </w:r>
          </w:p>
        </w:tc>
        <w:tc>
          <w:tcPr>
            <w:tcW w:w="0" w:type="auto"/>
            <w:vAlign w:val="center"/>
          </w:tcPr>
          <w:p w:rsidR="00F7735C" w:rsidRDefault="00AD6886">
            <w:pPr>
              <w:jc w:val="center"/>
            </w:pPr>
            <w:r>
              <w:rPr>
                <w:rFonts w:eastAsiaTheme="minorEastAsia"/>
                <w:color w:val="000000" w:themeColor="text1"/>
                <w:szCs w:val="21"/>
              </w:rPr>
              <w:t>上海证券交易所</w:t>
            </w:r>
          </w:p>
        </w:tc>
        <w:tc>
          <w:tcPr>
            <w:tcW w:w="0" w:type="auto"/>
            <w:vAlign w:val="center"/>
          </w:tcPr>
          <w:p w:rsidR="00F7735C" w:rsidRDefault="00AD6886">
            <w:pPr>
              <w:jc w:val="center"/>
            </w:pPr>
            <w:r>
              <w:rPr>
                <w:rFonts w:eastAsiaTheme="minorEastAsia"/>
                <w:color w:val="000000" w:themeColor="text1"/>
                <w:szCs w:val="21"/>
              </w:rPr>
              <w:t>中国</w:t>
            </w:r>
          </w:p>
        </w:tc>
        <w:tc>
          <w:tcPr>
            <w:tcW w:w="0" w:type="auto"/>
            <w:vAlign w:val="center"/>
          </w:tcPr>
          <w:p w:rsidR="00F7735C" w:rsidRDefault="00AD6886">
            <w:pPr>
              <w:jc w:val="right"/>
            </w:pPr>
            <w:r>
              <w:rPr>
                <w:rFonts w:eastAsiaTheme="minorEastAsia"/>
                <w:color w:val="000000" w:themeColor="text1"/>
                <w:szCs w:val="21"/>
              </w:rPr>
              <w:t>92,500</w:t>
            </w:r>
          </w:p>
        </w:tc>
        <w:tc>
          <w:tcPr>
            <w:tcW w:w="0" w:type="auto"/>
            <w:vAlign w:val="center"/>
          </w:tcPr>
          <w:p w:rsidR="00F7735C" w:rsidRDefault="00AD6886">
            <w:pPr>
              <w:jc w:val="right"/>
            </w:pPr>
            <w:r>
              <w:rPr>
                <w:rFonts w:eastAsiaTheme="minorEastAsia"/>
                <w:color w:val="000000" w:themeColor="text1"/>
                <w:szCs w:val="21"/>
              </w:rPr>
              <w:t>2,933,175.00</w:t>
            </w:r>
          </w:p>
        </w:tc>
        <w:tc>
          <w:tcPr>
            <w:tcW w:w="0" w:type="auto"/>
            <w:vAlign w:val="center"/>
          </w:tcPr>
          <w:p w:rsidR="00F7735C" w:rsidRDefault="00AD6886">
            <w:pPr>
              <w:jc w:val="right"/>
            </w:pPr>
            <w:r>
              <w:rPr>
                <w:rFonts w:eastAsiaTheme="minorEastAsia"/>
                <w:color w:val="000000" w:themeColor="text1"/>
                <w:szCs w:val="21"/>
              </w:rPr>
              <w:t>3.19</w:t>
            </w:r>
          </w:p>
        </w:tc>
      </w:tr>
      <w:tr w:rsidR="00F7735C">
        <w:tc>
          <w:tcPr>
            <w:tcW w:w="0" w:type="auto"/>
            <w:vAlign w:val="center"/>
          </w:tcPr>
          <w:p w:rsidR="00F7735C" w:rsidRDefault="00AD6886">
            <w:pPr>
              <w:jc w:val="center"/>
            </w:pPr>
            <w:r>
              <w:rPr>
                <w:rFonts w:eastAsiaTheme="minorEastAsia"/>
                <w:color w:val="000000" w:themeColor="text1"/>
                <w:szCs w:val="21"/>
              </w:rPr>
              <w:t>8</w:t>
            </w:r>
          </w:p>
        </w:tc>
        <w:tc>
          <w:tcPr>
            <w:tcW w:w="0" w:type="auto"/>
            <w:vAlign w:val="center"/>
          </w:tcPr>
          <w:p w:rsidR="00F7735C" w:rsidRDefault="00AD6886">
            <w:pPr>
              <w:jc w:val="center"/>
            </w:pPr>
            <w:r>
              <w:rPr>
                <w:rFonts w:eastAsiaTheme="minorEastAsia"/>
                <w:color w:val="000000" w:themeColor="text1"/>
                <w:szCs w:val="21"/>
              </w:rPr>
              <w:t>Montage Technology Co Ltd</w:t>
            </w:r>
          </w:p>
        </w:tc>
        <w:tc>
          <w:tcPr>
            <w:tcW w:w="0" w:type="auto"/>
            <w:vAlign w:val="center"/>
          </w:tcPr>
          <w:p w:rsidR="00F7735C" w:rsidRDefault="00AD6886">
            <w:pPr>
              <w:jc w:val="center"/>
            </w:pPr>
            <w:r>
              <w:rPr>
                <w:rFonts w:eastAsiaTheme="minorEastAsia"/>
                <w:color w:val="000000" w:themeColor="text1"/>
                <w:szCs w:val="21"/>
              </w:rPr>
              <w:t>澜起科技</w:t>
            </w:r>
          </w:p>
        </w:tc>
        <w:tc>
          <w:tcPr>
            <w:tcW w:w="0" w:type="auto"/>
            <w:vAlign w:val="center"/>
          </w:tcPr>
          <w:p w:rsidR="00F7735C" w:rsidRDefault="00AD6886">
            <w:pPr>
              <w:jc w:val="center"/>
            </w:pPr>
            <w:r>
              <w:rPr>
                <w:rFonts w:eastAsiaTheme="minorEastAsia"/>
                <w:color w:val="000000" w:themeColor="text1"/>
                <w:szCs w:val="21"/>
              </w:rPr>
              <w:t>688008</w:t>
            </w:r>
          </w:p>
        </w:tc>
        <w:tc>
          <w:tcPr>
            <w:tcW w:w="0" w:type="auto"/>
            <w:vAlign w:val="center"/>
          </w:tcPr>
          <w:p w:rsidR="00F7735C" w:rsidRDefault="00AD6886">
            <w:pPr>
              <w:jc w:val="center"/>
            </w:pPr>
            <w:r>
              <w:rPr>
                <w:rFonts w:eastAsiaTheme="minorEastAsia"/>
                <w:color w:val="000000" w:themeColor="text1"/>
                <w:szCs w:val="21"/>
              </w:rPr>
              <w:t>上海证券交易所</w:t>
            </w:r>
          </w:p>
        </w:tc>
        <w:tc>
          <w:tcPr>
            <w:tcW w:w="0" w:type="auto"/>
            <w:vAlign w:val="center"/>
          </w:tcPr>
          <w:p w:rsidR="00F7735C" w:rsidRDefault="00AD6886">
            <w:pPr>
              <w:jc w:val="center"/>
            </w:pPr>
            <w:r>
              <w:rPr>
                <w:rFonts w:eastAsiaTheme="minorEastAsia"/>
                <w:color w:val="000000" w:themeColor="text1"/>
                <w:szCs w:val="21"/>
              </w:rPr>
              <w:t>中国</w:t>
            </w:r>
          </w:p>
        </w:tc>
        <w:tc>
          <w:tcPr>
            <w:tcW w:w="0" w:type="auto"/>
            <w:vAlign w:val="center"/>
          </w:tcPr>
          <w:p w:rsidR="00F7735C" w:rsidRDefault="00AD6886">
            <w:pPr>
              <w:jc w:val="right"/>
            </w:pPr>
            <w:r>
              <w:rPr>
                <w:rFonts w:eastAsiaTheme="minorEastAsia"/>
                <w:color w:val="000000" w:themeColor="text1"/>
                <w:szCs w:val="21"/>
              </w:rPr>
              <w:t>50,739</w:t>
            </w:r>
          </w:p>
        </w:tc>
        <w:tc>
          <w:tcPr>
            <w:tcW w:w="0" w:type="auto"/>
            <w:vAlign w:val="center"/>
          </w:tcPr>
          <w:p w:rsidR="00F7735C" w:rsidRDefault="00AD6886">
            <w:pPr>
              <w:jc w:val="right"/>
            </w:pPr>
            <w:r>
              <w:rPr>
                <w:rFonts w:eastAsiaTheme="minorEastAsia"/>
                <w:color w:val="000000" w:themeColor="text1"/>
                <w:szCs w:val="21"/>
              </w:rPr>
              <w:t>2,900,241.24</w:t>
            </w:r>
          </w:p>
        </w:tc>
        <w:tc>
          <w:tcPr>
            <w:tcW w:w="0" w:type="auto"/>
            <w:vAlign w:val="center"/>
          </w:tcPr>
          <w:p w:rsidR="00F7735C" w:rsidRDefault="00AD6886">
            <w:pPr>
              <w:jc w:val="right"/>
            </w:pPr>
            <w:r>
              <w:rPr>
                <w:rFonts w:eastAsiaTheme="minorEastAsia"/>
                <w:color w:val="000000" w:themeColor="text1"/>
                <w:szCs w:val="21"/>
              </w:rPr>
              <w:t>3.15</w:t>
            </w:r>
          </w:p>
        </w:tc>
      </w:tr>
      <w:tr w:rsidR="00F7735C">
        <w:tc>
          <w:tcPr>
            <w:tcW w:w="0" w:type="auto"/>
            <w:vAlign w:val="center"/>
          </w:tcPr>
          <w:p w:rsidR="00F7735C" w:rsidRDefault="00AD6886">
            <w:pPr>
              <w:jc w:val="center"/>
            </w:pPr>
            <w:r>
              <w:rPr>
                <w:rFonts w:eastAsiaTheme="minorEastAsia"/>
                <w:color w:val="000000" w:themeColor="text1"/>
                <w:szCs w:val="21"/>
              </w:rPr>
              <w:t>9</w:t>
            </w:r>
          </w:p>
        </w:tc>
        <w:tc>
          <w:tcPr>
            <w:tcW w:w="0" w:type="auto"/>
            <w:vAlign w:val="center"/>
          </w:tcPr>
          <w:p w:rsidR="00F7735C" w:rsidRDefault="00AD6886">
            <w:pPr>
              <w:jc w:val="center"/>
            </w:pPr>
            <w:r>
              <w:rPr>
                <w:rFonts w:eastAsiaTheme="minorEastAsia"/>
                <w:color w:val="000000" w:themeColor="text1"/>
                <w:szCs w:val="21"/>
              </w:rPr>
              <w:t>CMOC Group Ltd</w:t>
            </w:r>
          </w:p>
        </w:tc>
        <w:tc>
          <w:tcPr>
            <w:tcW w:w="0" w:type="auto"/>
            <w:vAlign w:val="center"/>
          </w:tcPr>
          <w:p w:rsidR="00F7735C" w:rsidRDefault="00AD6886">
            <w:pPr>
              <w:jc w:val="center"/>
            </w:pPr>
            <w:r>
              <w:rPr>
                <w:rFonts w:eastAsiaTheme="minorEastAsia"/>
                <w:color w:val="000000" w:themeColor="text1"/>
                <w:szCs w:val="21"/>
              </w:rPr>
              <w:t>洛阳钼业</w:t>
            </w:r>
          </w:p>
        </w:tc>
        <w:tc>
          <w:tcPr>
            <w:tcW w:w="0" w:type="auto"/>
            <w:vAlign w:val="center"/>
          </w:tcPr>
          <w:p w:rsidR="00F7735C" w:rsidRDefault="00AD6886">
            <w:pPr>
              <w:jc w:val="center"/>
            </w:pPr>
            <w:r>
              <w:rPr>
                <w:rFonts w:eastAsiaTheme="minorEastAsia"/>
                <w:color w:val="000000" w:themeColor="text1"/>
                <w:szCs w:val="21"/>
              </w:rPr>
              <w:t>603993</w:t>
            </w:r>
          </w:p>
        </w:tc>
        <w:tc>
          <w:tcPr>
            <w:tcW w:w="0" w:type="auto"/>
            <w:vAlign w:val="center"/>
          </w:tcPr>
          <w:p w:rsidR="00F7735C" w:rsidRDefault="00AD6886">
            <w:pPr>
              <w:jc w:val="center"/>
            </w:pPr>
            <w:r>
              <w:rPr>
                <w:rFonts w:eastAsiaTheme="minorEastAsia"/>
                <w:color w:val="000000" w:themeColor="text1"/>
                <w:szCs w:val="21"/>
              </w:rPr>
              <w:t>上海证券交易所</w:t>
            </w:r>
          </w:p>
        </w:tc>
        <w:tc>
          <w:tcPr>
            <w:tcW w:w="0" w:type="auto"/>
            <w:vAlign w:val="center"/>
          </w:tcPr>
          <w:p w:rsidR="00F7735C" w:rsidRDefault="00AD6886">
            <w:pPr>
              <w:jc w:val="center"/>
            </w:pPr>
            <w:r>
              <w:rPr>
                <w:rFonts w:eastAsiaTheme="minorEastAsia"/>
                <w:color w:val="000000" w:themeColor="text1"/>
                <w:szCs w:val="21"/>
              </w:rPr>
              <w:t>中国</w:t>
            </w:r>
          </w:p>
        </w:tc>
        <w:tc>
          <w:tcPr>
            <w:tcW w:w="0" w:type="auto"/>
            <w:vAlign w:val="center"/>
          </w:tcPr>
          <w:p w:rsidR="00F7735C" w:rsidRDefault="00AD6886">
            <w:pPr>
              <w:jc w:val="right"/>
            </w:pPr>
            <w:r>
              <w:rPr>
                <w:rFonts w:eastAsiaTheme="minorEastAsia"/>
                <w:color w:val="000000" w:themeColor="text1"/>
                <w:szCs w:val="21"/>
              </w:rPr>
              <w:t>340,953</w:t>
            </w:r>
          </w:p>
        </w:tc>
        <w:tc>
          <w:tcPr>
            <w:tcW w:w="0" w:type="auto"/>
            <w:vAlign w:val="center"/>
          </w:tcPr>
          <w:p w:rsidR="00F7735C" w:rsidRDefault="00AD6886">
            <w:pPr>
              <w:jc w:val="right"/>
            </w:pPr>
            <w:r>
              <w:rPr>
                <w:rFonts w:eastAsiaTheme="minorEastAsia"/>
                <w:color w:val="000000" w:themeColor="text1"/>
                <w:szCs w:val="21"/>
              </w:rPr>
              <w:t>2,898,100.50</w:t>
            </w:r>
          </w:p>
        </w:tc>
        <w:tc>
          <w:tcPr>
            <w:tcW w:w="0" w:type="auto"/>
            <w:vAlign w:val="center"/>
          </w:tcPr>
          <w:p w:rsidR="00F7735C" w:rsidRDefault="00AD6886">
            <w:pPr>
              <w:jc w:val="right"/>
            </w:pPr>
            <w:r>
              <w:rPr>
                <w:rFonts w:eastAsiaTheme="minorEastAsia"/>
                <w:color w:val="000000" w:themeColor="text1"/>
                <w:szCs w:val="21"/>
              </w:rPr>
              <w:t>3.15</w:t>
            </w:r>
          </w:p>
        </w:tc>
      </w:tr>
      <w:tr w:rsidR="00F7735C">
        <w:tc>
          <w:tcPr>
            <w:tcW w:w="0" w:type="auto"/>
            <w:vAlign w:val="center"/>
          </w:tcPr>
          <w:p w:rsidR="00F7735C" w:rsidRDefault="00AD6886">
            <w:pPr>
              <w:jc w:val="center"/>
            </w:pPr>
            <w:r>
              <w:rPr>
                <w:rFonts w:eastAsiaTheme="minorEastAsia"/>
                <w:color w:val="000000" w:themeColor="text1"/>
                <w:szCs w:val="21"/>
              </w:rPr>
              <w:t>10</w:t>
            </w:r>
          </w:p>
        </w:tc>
        <w:tc>
          <w:tcPr>
            <w:tcW w:w="0" w:type="auto"/>
            <w:vAlign w:val="center"/>
          </w:tcPr>
          <w:p w:rsidR="00F7735C" w:rsidRDefault="00AD6886">
            <w:pPr>
              <w:jc w:val="center"/>
            </w:pPr>
            <w:r>
              <w:rPr>
                <w:rFonts w:eastAsiaTheme="minorEastAsia"/>
                <w:color w:val="000000" w:themeColor="text1"/>
                <w:szCs w:val="21"/>
              </w:rPr>
              <w:t>Guangzhou Kingmed Diagnostics Group Co Ltd</w:t>
            </w:r>
          </w:p>
        </w:tc>
        <w:tc>
          <w:tcPr>
            <w:tcW w:w="0" w:type="auto"/>
            <w:vAlign w:val="center"/>
          </w:tcPr>
          <w:p w:rsidR="00F7735C" w:rsidRDefault="00AD6886">
            <w:pPr>
              <w:jc w:val="center"/>
            </w:pPr>
            <w:r>
              <w:rPr>
                <w:rFonts w:eastAsiaTheme="minorEastAsia"/>
                <w:color w:val="000000" w:themeColor="text1"/>
                <w:szCs w:val="21"/>
              </w:rPr>
              <w:t>金域医学</w:t>
            </w:r>
          </w:p>
        </w:tc>
        <w:tc>
          <w:tcPr>
            <w:tcW w:w="0" w:type="auto"/>
            <w:vAlign w:val="center"/>
          </w:tcPr>
          <w:p w:rsidR="00F7735C" w:rsidRDefault="00AD6886">
            <w:pPr>
              <w:jc w:val="center"/>
            </w:pPr>
            <w:r>
              <w:rPr>
                <w:rFonts w:eastAsiaTheme="minorEastAsia"/>
                <w:color w:val="000000" w:themeColor="text1"/>
                <w:szCs w:val="21"/>
              </w:rPr>
              <w:t>603882</w:t>
            </w:r>
          </w:p>
        </w:tc>
        <w:tc>
          <w:tcPr>
            <w:tcW w:w="0" w:type="auto"/>
            <w:vAlign w:val="center"/>
          </w:tcPr>
          <w:p w:rsidR="00F7735C" w:rsidRDefault="00AD6886">
            <w:pPr>
              <w:jc w:val="center"/>
            </w:pPr>
            <w:r>
              <w:rPr>
                <w:rFonts w:eastAsiaTheme="minorEastAsia"/>
                <w:color w:val="000000" w:themeColor="text1"/>
                <w:szCs w:val="21"/>
              </w:rPr>
              <w:t>上海证券交易所</w:t>
            </w:r>
          </w:p>
        </w:tc>
        <w:tc>
          <w:tcPr>
            <w:tcW w:w="0" w:type="auto"/>
            <w:vAlign w:val="center"/>
          </w:tcPr>
          <w:p w:rsidR="00F7735C" w:rsidRDefault="00AD6886">
            <w:pPr>
              <w:jc w:val="center"/>
            </w:pPr>
            <w:r>
              <w:rPr>
                <w:rFonts w:eastAsiaTheme="minorEastAsia"/>
                <w:color w:val="000000" w:themeColor="text1"/>
                <w:szCs w:val="21"/>
              </w:rPr>
              <w:t>中国</w:t>
            </w:r>
          </w:p>
        </w:tc>
        <w:tc>
          <w:tcPr>
            <w:tcW w:w="0" w:type="auto"/>
            <w:vAlign w:val="center"/>
          </w:tcPr>
          <w:p w:rsidR="00F7735C" w:rsidRDefault="00AD6886">
            <w:pPr>
              <w:jc w:val="right"/>
            </w:pPr>
            <w:r>
              <w:rPr>
                <w:rFonts w:eastAsiaTheme="minorEastAsia"/>
                <w:color w:val="000000" w:themeColor="text1"/>
                <w:szCs w:val="21"/>
              </w:rPr>
              <w:t>101,044</w:t>
            </w:r>
          </w:p>
        </w:tc>
        <w:tc>
          <w:tcPr>
            <w:tcW w:w="0" w:type="auto"/>
            <w:vAlign w:val="center"/>
          </w:tcPr>
          <w:p w:rsidR="00F7735C" w:rsidRDefault="00AD6886">
            <w:pPr>
              <w:jc w:val="right"/>
            </w:pPr>
            <w:r>
              <w:rPr>
                <w:rFonts w:eastAsiaTheme="minorEastAsia"/>
                <w:color w:val="000000" w:themeColor="text1"/>
                <w:szCs w:val="21"/>
              </w:rPr>
              <w:t>2,747,386.36</w:t>
            </w:r>
          </w:p>
        </w:tc>
        <w:tc>
          <w:tcPr>
            <w:tcW w:w="0" w:type="auto"/>
            <w:vAlign w:val="center"/>
          </w:tcPr>
          <w:p w:rsidR="00F7735C" w:rsidRDefault="00AD6886">
            <w:pPr>
              <w:jc w:val="right"/>
            </w:pPr>
            <w:r>
              <w:rPr>
                <w:rFonts w:eastAsiaTheme="minorEastAsia"/>
                <w:color w:val="000000" w:themeColor="text1"/>
                <w:szCs w:val="21"/>
              </w:rPr>
              <w:t>2.99</w:t>
            </w:r>
          </w:p>
        </w:tc>
      </w:tr>
    </w:tbl>
    <w:p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注：此处所用证券代码的类别是当地市场代码。</w:t>
      </w:r>
    </w:p>
    <w:p w:rsidR="00521EDE" w:rsidRPr="004D1766" w:rsidRDefault="00521EDE" w:rsidP="006429EE">
      <w:pPr>
        <w:autoSpaceDE w:val="0"/>
        <w:autoSpaceDN w:val="0"/>
        <w:adjustRightInd w:val="0"/>
        <w:spacing w:before="29"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本基金投资的前十名证券的发行主体中，招商银行股份有限公司在报告编制日前一年内曾受到国家金融监督管理总局、国家金融监督管理总局深圳监管局、国家外汇管理局深圳市分局的处罚。南京银行股份有限公司在报告编制日前一年内曾受到国家外汇管理局江苏省分局的处罚。</w:t>
      </w:r>
    </w:p>
    <w:p w:rsidR="00F7735C" w:rsidRDefault="00AD6886">
      <w:pPr>
        <w:widowControl/>
        <w:spacing w:line="360" w:lineRule="auto"/>
        <w:ind w:left="120" w:hangingChars="50" w:hanging="120"/>
        <w:rPr>
          <w:rFonts w:eastAsiaTheme="minorEastAsia"/>
          <w:color w:val="000000" w:themeColor="text1"/>
          <w:sz w:val="24"/>
        </w:rPr>
      </w:pPr>
      <w:r>
        <w:rPr>
          <w:rFonts w:eastAsiaTheme="minorEastAsia"/>
          <w:color w:val="000000" w:themeColor="text1"/>
          <w:sz w:val="24"/>
        </w:rPr>
        <w:t>本基金对上述主体所发行证券的投资决策程序符合相关法律法规、基金合同及公司投资制度的要求。</w:t>
      </w:r>
    </w:p>
    <w:p w:rsidR="00F7735C" w:rsidRDefault="00AD6886">
      <w:pPr>
        <w:widowControl/>
        <w:spacing w:line="360" w:lineRule="auto"/>
        <w:ind w:left="120" w:hangingChars="50" w:hanging="120"/>
        <w:rPr>
          <w:rFonts w:eastAsiaTheme="minorEastAsia"/>
          <w:color w:val="000000" w:themeColor="text1"/>
          <w:sz w:val="24"/>
        </w:rPr>
      </w:pPr>
      <w:r>
        <w:rPr>
          <w:rFonts w:eastAsiaTheme="minorEastAsia"/>
          <w:color w:val="000000" w:themeColor="text1"/>
          <w:sz w:val="24"/>
        </w:rPr>
        <w:t>除上述股票外，本基金投资的其余前十名证券的发行主体本期未出现被监管部门立案调查，或在报告编制日前一年内受到公开谴责、处罚的情形。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44,930.18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389,703.39</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lastRenderedPageBreak/>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32,609.47</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467,243.04</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79,186,510.42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1,648,677.68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4,585,580.63</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76,249,607.47</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rsidR="00BB5F3D" w:rsidRPr="00A76A42" w:rsidRDefault="00BB5F3D" w:rsidP="00BB5F3D">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单位：份</w:t>
      </w:r>
    </w:p>
    <w:tbl>
      <w:tblPr>
        <w:tblW w:w="9215" w:type="dxa"/>
        <w:tblInd w:w="-318" w:type="dxa"/>
        <w:tblLayout w:type="fixed"/>
        <w:tblLook w:val="04A0" w:firstRow="1" w:lastRow="0" w:firstColumn="1" w:lastColumn="0" w:noHBand="0" w:noVBand="1"/>
      </w:tblPr>
      <w:tblGrid>
        <w:gridCol w:w="5463"/>
        <w:gridCol w:w="3752"/>
      </w:tblGrid>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pStyle w:val="af"/>
              <w:adjustRightInd w:val="0"/>
              <w:snapToGrid w:val="0"/>
              <w:spacing w:line="360" w:lineRule="exact"/>
              <w:rPr>
                <w:rFonts w:eastAsiaTheme="minorEastAsia"/>
                <w:color w:val="000000" w:themeColor="text1"/>
                <w:sz w:val="21"/>
                <w:szCs w:val="21"/>
              </w:rPr>
            </w:pPr>
            <w:r w:rsidRPr="00A76A42">
              <w:rPr>
                <w:rFonts w:eastAsiaTheme="minorEastAsia"/>
                <w:color w:val="000000" w:themeColor="text1"/>
                <w:sz w:val="21"/>
                <w:szCs w:val="21"/>
              </w:rPr>
              <w:t>报告期期初管理人持有的本基金份额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191,897.65</w:t>
            </w:r>
          </w:p>
        </w:tc>
      </w:tr>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报告期期间买入</w:t>
            </w:r>
            <w:r w:rsidRPr="00A76A42">
              <w:rPr>
                <w:rFonts w:eastAsiaTheme="minorEastAsia"/>
                <w:color w:val="000000" w:themeColor="text1"/>
                <w:szCs w:val="21"/>
              </w:rPr>
              <w:t>/</w:t>
            </w:r>
            <w:r w:rsidRPr="00A76A42">
              <w:rPr>
                <w:rFonts w:eastAsiaTheme="minorEastAsia"/>
                <w:color w:val="000000" w:themeColor="text1"/>
                <w:szCs w:val="21"/>
              </w:rPr>
              <w:t>申购总份额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22,615.91</w:t>
            </w:r>
          </w:p>
        </w:tc>
      </w:tr>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lastRenderedPageBreak/>
              <w:t>报告期期间卖出</w:t>
            </w:r>
            <w:r w:rsidRPr="00A76A42">
              <w:rPr>
                <w:rFonts w:eastAsiaTheme="minorEastAsia"/>
                <w:color w:val="000000" w:themeColor="text1"/>
                <w:szCs w:val="21"/>
              </w:rPr>
              <w:t>/</w:t>
            </w:r>
            <w:r w:rsidRPr="00A76A42">
              <w:rPr>
                <w:rFonts w:eastAsiaTheme="minorEastAsia"/>
                <w:color w:val="000000" w:themeColor="text1"/>
                <w:szCs w:val="21"/>
              </w:rPr>
              <w:t>赎回总份额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63,326.23</w:t>
            </w:r>
          </w:p>
        </w:tc>
      </w:tr>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报告期期末管理人持有的本基金份额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151,187.33</w:t>
            </w:r>
          </w:p>
        </w:tc>
      </w:tr>
      <w:tr w:rsidR="00BB5F3D" w:rsidRPr="00A76A42"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报告期期末持有的本基金份额占基金总份额比例（</w:t>
            </w:r>
            <w:r w:rsidRPr="00A76A42">
              <w:rPr>
                <w:rFonts w:eastAsiaTheme="minorEastAsia"/>
                <w:color w:val="000000" w:themeColor="text1"/>
                <w:szCs w:val="21"/>
              </w:rPr>
              <w:t>%</w:t>
            </w:r>
            <w:r w:rsidRPr="00A76A42">
              <w:rPr>
                <w:rFonts w:eastAsiaTheme="minorEastAsia"/>
                <w:color w:val="000000" w:themeColor="text1"/>
                <w:szCs w:val="21"/>
              </w:rPr>
              <w:t>）</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A76A42" w:rsidRDefault="00BB5F3D" w:rsidP="00FF6B7C">
            <w:pPr>
              <w:jc w:val="right"/>
              <w:rPr>
                <w:rFonts w:eastAsiaTheme="minorEastAsia"/>
                <w:color w:val="000000" w:themeColor="text1"/>
                <w:szCs w:val="21"/>
              </w:rPr>
            </w:pPr>
            <w:r w:rsidRPr="00A76A42">
              <w:rPr>
                <w:rFonts w:eastAsiaTheme="minorEastAsia"/>
                <w:color w:val="000000" w:themeColor="text1"/>
                <w:szCs w:val="21"/>
              </w:rPr>
              <w:t>0.20</w:t>
            </w:r>
          </w:p>
        </w:tc>
      </w:tr>
    </w:tbl>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BB5F3D" w:rsidRPr="00A76A42" w:rsidTr="00FF6B7C">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BB5F3D" w:rsidRPr="00A76A42" w:rsidRDefault="00BB5F3D" w:rsidP="00FF6B7C">
            <w:pPr>
              <w:pStyle w:val="af"/>
              <w:adjustRightInd w:val="0"/>
              <w:snapToGrid w:val="0"/>
              <w:spacing w:line="360" w:lineRule="exact"/>
              <w:jc w:val="center"/>
              <w:rPr>
                <w:rFonts w:eastAsiaTheme="minorEastAsia"/>
                <w:color w:val="000000" w:themeColor="text1"/>
                <w:sz w:val="21"/>
                <w:szCs w:val="21"/>
              </w:rPr>
            </w:pPr>
            <w:r w:rsidRPr="00A76A42">
              <w:rPr>
                <w:rFonts w:eastAsiaTheme="minorEastAsia"/>
                <w:color w:val="000000" w:themeColor="text1"/>
                <w:sz w:val="21"/>
                <w:szCs w:val="21"/>
              </w:rPr>
              <w:t>序号</w:t>
            </w:r>
          </w:p>
        </w:tc>
        <w:tc>
          <w:tcPr>
            <w:tcW w:w="1851" w:type="dxa"/>
            <w:tcBorders>
              <w:top w:val="single" w:sz="4" w:space="0" w:color="auto"/>
              <w:left w:val="single" w:sz="4" w:space="0" w:color="auto"/>
              <w:bottom w:val="single" w:sz="4" w:space="0" w:color="auto"/>
              <w:right w:val="single" w:sz="4" w:space="0" w:color="auto"/>
            </w:tcBorders>
            <w:hideMark/>
          </w:tcPr>
          <w:p w:rsidR="00BB5F3D" w:rsidRPr="00A76A42" w:rsidRDefault="00BB5F3D" w:rsidP="00FF6B7C">
            <w:pPr>
              <w:adjustRightInd w:val="0"/>
              <w:snapToGrid w:val="0"/>
              <w:spacing w:line="360" w:lineRule="exact"/>
              <w:jc w:val="center"/>
              <w:rPr>
                <w:rFonts w:eastAsiaTheme="minorEastAsia"/>
                <w:color w:val="000000" w:themeColor="text1"/>
                <w:szCs w:val="21"/>
              </w:rPr>
            </w:pPr>
            <w:r w:rsidRPr="00A76A42">
              <w:rPr>
                <w:rFonts w:eastAsiaTheme="minorEastAsia"/>
                <w:color w:val="000000" w:themeColor="text1"/>
                <w:szCs w:val="21"/>
              </w:rPr>
              <w:t>交易方式</w:t>
            </w:r>
          </w:p>
        </w:tc>
        <w:tc>
          <w:tcPr>
            <w:tcW w:w="1370" w:type="dxa"/>
            <w:tcBorders>
              <w:top w:val="single" w:sz="4" w:space="0" w:color="auto"/>
              <w:left w:val="single" w:sz="4" w:space="0" w:color="auto"/>
              <w:bottom w:val="single" w:sz="4" w:space="0" w:color="auto"/>
              <w:right w:val="single" w:sz="4" w:space="0" w:color="auto"/>
            </w:tcBorders>
            <w:hideMark/>
          </w:tcPr>
          <w:p w:rsidR="00BB5F3D" w:rsidRPr="00A76A42" w:rsidRDefault="00BB5F3D" w:rsidP="00FF6B7C">
            <w:pPr>
              <w:adjustRightInd w:val="0"/>
              <w:snapToGrid w:val="0"/>
              <w:spacing w:line="360" w:lineRule="exact"/>
              <w:rPr>
                <w:rFonts w:eastAsiaTheme="minorEastAsia"/>
                <w:color w:val="000000" w:themeColor="text1"/>
                <w:szCs w:val="21"/>
              </w:rPr>
            </w:pPr>
            <w:r w:rsidRPr="00A76A42">
              <w:rPr>
                <w:rFonts w:eastAsiaTheme="minorEastAsia"/>
                <w:color w:val="000000" w:themeColor="text1"/>
                <w:szCs w:val="21"/>
              </w:rPr>
              <w:t>交易日期</w:t>
            </w:r>
          </w:p>
        </w:tc>
        <w:tc>
          <w:tcPr>
            <w:tcW w:w="1701" w:type="dxa"/>
            <w:tcBorders>
              <w:top w:val="single" w:sz="4" w:space="0" w:color="auto"/>
              <w:left w:val="single" w:sz="4" w:space="0" w:color="auto"/>
              <w:bottom w:val="single" w:sz="4" w:space="0" w:color="auto"/>
              <w:right w:val="single" w:sz="4" w:space="0" w:color="auto"/>
            </w:tcBorders>
            <w:hideMark/>
          </w:tcPr>
          <w:p w:rsidR="00BB5F3D" w:rsidRPr="00A76A42" w:rsidRDefault="00BB5F3D" w:rsidP="00FF6B7C">
            <w:pPr>
              <w:adjustRightInd w:val="0"/>
              <w:snapToGrid w:val="0"/>
              <w:spacing w:line="360" w:lineRule="exact"/>
              <w:jc w:val="center"/>
              <w:rPr>
                <w:rFonts w:eastAsiaTheme="minorEastAsia"/>
                <w:color w:val="000000" w:themeColor="text1"/>
                <w:szCs w:val="21"/>
              </w:rPr>
            </w:pPr>
            <w:r w:rsidRPr="00A76A42">
              <w:rPr>
                <w:rFonts w:eastAsiaTheme="minorEastAsia"/>
                <w:color w:val="000000" w:themeColor="text1"/>
                <w:szCs w:val="21"/>
              </w:rPr>
              <w:t>交易份额（份）</w:t>
            </w:r>
          </w:p>
        </w:tc>
        <w:tc>
          <w:tcPr>
            <w:tcW w:w="1842" w:type="dxa"/>
            <w:tcBorders>
              <w:top w:val="single" w:sz="4" w:space="0" w:color="auto"/>
              <w:left w:val="single" w:sz="4" w:space="0" w:color="auto"/>
              <w:bottom w:val="single" w:sz="4" w:space="0" w:color="auto"/>
              <w:right w:val="single" w:sz="4" w:space="0" w:color="auto"/>
            </w:tcBorders>
            <w:hideMark/>
          </w:tcPr>
          <w:p w:rsidR="00BB5F3D" w:rsidRPr="00A76A42" w:rsidRDefault="00BB5F3D" w:rsidP="00FF6B7C">
            <w:pPr>
              <w:adjustRightInd w:val="0"/>
              <w:snapToGrid w:val="0"/>
              <w:spacing w:line="360" w:lineRule="exact"/>
              <w:jc w:val="center"/>
              <w:rPr>
                <w:rFonts w:eastAsiaTheme="minorEastAsia"/>
                <w:color w:val="000000" w:themeColor="text1"/>
                <w:szCs w:val="21"/>
              </w:rPr>
            </w:pPr>
            <w:r w:rsidRPr="00A76A42">
              <w:rPr>
                <w:rFonts w:eastAsiaTheme="minorEastAsia"/>
                <w:color w:val="000000" w:themeColor="text1"/>
                <w:szCs w:val="21"/>
              </w:rPr>
              <w:t>交易金额（元）</w:t>
            </w:r>
          </w:p>
        </w:tc>
        <w:tc>
          <w:tcPr>
            <w:tcW w:w="1397" w:type="dxa"/>
            <w:tcBorders>
              <w:top w:val="single" w:sz="4" w:space="0" w:color="auto"/>
              <w:left w:val="single" w:sz="4" w:space="0" w:color="auto"/>
              <w:bottom w:val="single" w:sz="4" w:space="0" w:color="auto"/>
              <w:right w:val="single" w:sz="4" w:space="0" w:color="auto"/>
            </w:tcBorders>
            <w:vAlign w:val="center"/>
            <w:hideMark/>
          </w:tcPr>
          <w:p w:rsidR="00BB5F3D" w:rsidRPr="00A76A42" w:rsidRDefault="00BB5F3D" w:rsidP="00FF6B7C">
            <w:pPr>
              <w:adjustRightInd w:val="0"/>
              <w:snapToGrid w:val="0"/>
              <w:spacing w:line="360" w:lineRule="exact"/>
              <w:jc w:val="center"/>
              <w:rPr>
                <w:rFonts w:eastAsiaTheme="minorEastAsia"/>
                <w:color w:val="000000" w:themeColor="text1"/>
                <w:szCs w:val="21"/>
              </w:rPr>
            </w:pPr>
            <w:r w:rsidRPr="00A76A42">
              <w:rPr>
                <w:rFonts w:eastAsiaTheme="minorEastAsia"/>
                <w:color w:val="000000" w:themeColor="text1"/>
                <w:szCs w:val="21"/>
              </w:rPr>
              <w:t>适用费率</w:t>
            </w:r>
          </w:p>
        </w:tc>
      </w:tr>
      <w:tr w:rsidR="00F7735C">
        <w:trPr>
          <w:jc w:val="center"/>
        </w:trPr>
        <w:tc>
          <w:tcPr>
            <w:tcW w:w="1069" w:type="dxa"/>
            <w:vAlign w:val="center"/>
          </w:tcPr>
          <w:p w:rsidR="00F7735C" w:rsidRDefault="00AD6886">
            <w:pPr>
              <w:jc w:val="center"/>
            </w:pPr>
            <w:r>
              <w:rPr>
                <w:rFonts w:eastAsiaTheme="minorEastAsia"/>
                <w:color w:val="000000" w:themeColor="text1"/>
                <w:szCs w:val="21"/>
              </w:rPr>
              <w:t>1</w:t>
            </w:r>
          </w:p>
        </w:tc>
        <w:tc>
          <w:tcPr>
            <w:tcW w:w="1850" w:type="dxa"/>
            <w:vAlign w:val="center"/>
          </w:tcPr>
          <w:p w:rsidR="00F7735C" w:rsidRDefault="00AD6886">
            <w:pPr>
              <w:jc w:val="center"/>
            </w:pPr>
            <w:r>
              <w:rPr>
                <w:rFonts w:eastAsiaTheme="minorEastAsia"/>
                <w:color w:val="000000" w:themeColor="text1"/>
                <w:szCs w:val="21"/>
              </w:rPr>
              <w:t>赎回</w:t>
            </w:r>
          </w:p>
        </w:tc>
        <w:tc>
          <w:tcPr>
            <w:tcW w:w="1369" w:type="dxa"/>
            <w:vAlign w:val="center"/>
          </w:tcPr>
          <w:p w:rsidR="00F7735C" w:rsidRDefault="00AD6886">
            <w:pPr>
              <w:jc w:val="center"/>
            </w:pPr>
            <w:r>
              <w:rPr>
                <w:rFonts w:eastAsiaTheme="minorEastAsia"/>
                <w:color w:val="000000" w:themeColor="text1"/>
                <w:szCs w:val="21"/>
              </w:rPr>
              <w:t>2024-04-24</w:t>
            </w:r>
          </w:p>
        </w:tc>
        <w:tc>
          <w:tcPr>
            <w:tcW w:w="1700" w:type="dxa"/>
            <w:vAlign w:val="center"/>
          </w:tcPr>
          <w:p w:rsidR="00F7735C" w:rsidRDefault="00AD6886">
            <w:pPr>
              <w:jc w:val="right"/>
            </w:pPr>
            <w:r>
              <w:rPr>
                <w:rFonts w:eastAsiaTheme="minorEastAsia"/>
                <w:color w:val="000000" w:themeColor="text1"/>
                <w:szCs w:val="21"/>
              </w:rPr>
              <w:t>63,326.23</w:t>
            </w:r>
          </w:p>
        </w:tc>
        <w:tc>
          <w:tcPr>
            <w:tcW w:w="1841" w:type="dxa"/>
            <w:vAlign w:val="center"/>
          </w:tcPr>
          <w:p w:rsidR="00F7735C" w:rsidRDefault="00AD6886">
            <w:pPr>
              <w:jc w:val="right"/>
            </w:pPr>
            <w:r>
              <w:rPr>
                <w:rFonts w:eastAsiaTheme="minorEastAsia"/>
                <w:color w:val="000000" w:themeColor="text1"/>
                <w:szCs w:val="21"/>
              </w:rPr>
              <w:t>-81,455.40</w:t>
            </w:r>
          </w:p>
        </w:tc>
        <w:tc>
          <w:tcPr>
            <w:tcW w:w="1396" w:type="dxa"/>
            <w:vAlign w:val="center"/>
          </w:tcPr>
          <w:p w:rsidR="00F7735C" w:rsidRDefault="00AD6886">
            <w:pPr>
              <w:jc w:val="center"/>
            </w:pPr>
            <w:r>
              <w:rPr>
                <w:rFonts w:eastAsiaTheme="minorEastAsia"/>
                <w:color w:val="000000" w:themeColor="text1"/>
                <w:szCs w:val="21"/>
              </w:rPr>
              <w:t>0.35%</w:t>
            </w:r>
          </w:p>
        </w:tc>
      </w:tr>
      <w:tr w:rsidR="00F7735C">
        <w:trPr>
          <w:jc w:val="center"/>
        </w:trPr>
        <w:tc>
          <w:tcPr>
            <w:tcW w:w="1069" w:type="dxa"/>
            <w:vAlign w:val="center"/>
          </w:tcPr>
          <w:p w:rsidR="00F7735C" w:rsidRDefault="00AD6886">
            <w:pPr>
              <w:jc w:val="center"/>
            </w:pPr>
            <w:r>
              <w:rPr>
                <w:rFonts w:eastAsiaTheme="minorEastAsia"/>
                <w:color w:val="000000" w:themeColor="text1"/>
                <w:szCs w:val="21"/>
              </w:rPr>
              <w:t>2</w:t>
            </w:r>
          </w:p>
        </w:tc>
        <w:tc>
          <w:tcPr>
            <w:tcW w:w="1850" w:type="dxa"/>
            <w:vAlign w:val="center"/>
          </w:tcPr>
          <w:p w:rsidR="00F7735C" w:rsidRDefault="00AD6886">
            <w:pPr>
              <w:jc w:val="center"/>
            </w:pPr>
            <w:r>
              <w:rPr>
                <w:rFonts w:eastAsiaTheme="minorEastAsia"/>
                <w:color w:val="000000" w:themeColor="text1"/>
                <w:szCs w:val="21"/>
              </w:rPr>
              <w:t>申购</w:t>
            </w:r>
          </w:p>
        </w:tc>
        <w:tc>
          <w:tcPr>
            <w:tcW w:w="1369" w:type="dxa"/>
            <w:vAlign w:val="center"/>
          </w:tcPr>
          <w:p w:rsidR="00F7735C" w:rsidRDefault="00AD6886">
            <w:pPr>
              <w:jc w:val="center"/>
            </w:pPr>
            <w:r>
              <w:rPr>
                <w:rFonts w:eastAsiaTheme="minorEastAsia"/>
                <w:color w:val="000000" w:themeColor="text1"/>
                <w:szCs w:val="21"/>
              </w:rPr>
              <w:t>2024-05-16</w:t>
            </w:r>
          </w:p>
        </w:tc>
        <w:tc>
          <w:tcPr>
            <w:tcW w:w="1700" w:type="dxa"/>
            <w:vAlign w:val="center"/>
          </w:tcPr>
          <w:p w:rsidR="00F7735C" w:rsidRDefault="00AD6886">
            <w:pPr>
              <w:jc w:val="right"/>
            </w:pPr>
            <w:r>
              <w:rPr>
                <w:rFonts w:eastAsiaTheme="minorEastAsia"/>
                <w:color w:val="000000" w:themeColor="text1"/>
                <w:szCs w:val="21"/>
              </w:rPr>
              <w:t>22,615.91</w:t>
            </w:r>
          </w:p>
        </w:tc>
        <w:tc>
          <w:tcPr>
            <w:tcW w:w="1841" w:type="dxa"/>
            <w:vAlign w:val="center"/>
          </w:tcPr>
          <w:p w:rsidR="00F7735C" w:rsidRDefault="00AD6886">
            <w:pPr>
              <w:jc w:val="right"/>
            </w:pPr>
            <w:r>
              <w:rPr>
                <w:rFonts w:eastAsiaTheme="minorEastAsia"/>
                <w:color w:val="000000" w:themeColor="text1"/>
                <w:szCs w:val="21"/>
              </w:rPr>
              <w:t>30,000.00</w:t>
            </w:r>
          </w:p>
        </w:tc>
        <w:tc>
          <w:tcPr>
            <w:tcW w:w="1396" w:type="dxa"/>
            <w:vAlign w:val="center"/>
          </w:tcPr>
          <w:p w:rsidR="00F7735C" w:rsidRDefault="00AD6886">
            <w:pPr>
              <w:jc w:val="center"/>
            </w:pPr>
            <w:r>
              <w:rPr>
                <w:rFonts w:eastAsiaTheme="minorEastAsia"/>
                <w:color w:val="000000" w:themeColor="text1"/>
                <w:szCs w:val="21"/>
              </w:rPr>
              <w:t>-</w:t>
            </w:r>
          </w:p>
        </w:tc>
      </w:tr>
      <w:tr w:rsidR="00BB5F3D" w:rsidRPr="00A76A42" w:rsidTr="00FF6B7C">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BB5F3D" w:rsidRPr="00A76A42" w:rsidRDefault="00BB5F3D" w:rsidP="00FF6B7C">
            <w:pPr>
              <w:pStyle w:val="af"/>
              <w:adjustRightInd w:val="0"/>
              <w:snapToGrid w:val="0"/>
              <w:spacing w:line="360" w:lineRule="exact"/>
              <w:jc w:val="center"/>
              <w:rPr>
                <w:rFonts w:eastAsiaTheme="minorEastAsia"/>
                <w:color w:val="000000" w:themeColor="text1"/>
                <w:sz w:val="21"/>
                <w:szCs w:val="21"/>
              </w:rPr>
            </w:pPr>
            <w:r w:rsidRPr="00A76A42">
              <w:rPr>
                <w:rFonts w:eastAsiaTheme="minorEastAsia"/>
                <w:color w:val="000000" w:themeColor="text1"/>
                <w:sz w:val="21"/>
                <w:szCs w:val="21"/>
              </w:rPr>
              <w:t>合计</w:t>
            </w:r>
          </w:p>
        </w:tc>
        <w:tc>
          <w:tcPr>
            <w:tcW w:w="1851" w:type="dxa"/>
            <w:tcBorders>
              <w:top w:val="single" w:sz="4" w:space="0" w:color="auto"/>
              <w:left w:val="single" w:sz="4" w:space="0" w:color="auto"/>
              <w:bottom w:val="single" w:sz="4" w:space="0" w:color="auto"/>
              <w:right w:val="single" w:sz="4" w:space="0" w:color="auto"/>
            </w:tcBorders>
          </w:tcPr>
          <w:p w:rsidR="00BB5F3D" w:rsidRPr="00A76A42" w:rsidRDefault="00BB5F3D" w:rsidP="00FF6B7C">
            <w:pPr>
              <w:adjustRightInd w:val="0"/>
              <w:snapToGrid w:val="0"/>
              <w:spacing w:line="360" w:lineRule="exact"/>
              <w:jc w:val="right"/>
              <w:rPr>
                <w:rFonts w:eastAsiaTheme="minorEastAsia"/>
                <w:color w:val="000000" w:themeColor="text1"/>
                <w:szCs w:val="21"/>
              </w:rPr>
            </w:pPr>
          </w:p>
        </w:tc>
        <w:tc>
          <w:tcPr>
            <w:tcW w:w="1370" w:type="dxa"/>
            <w:tcBorders>
              <w:top w:val="single" w:sz="4" w:space="0" w:color="auto"/>
              <w:left w:val="single" w:sz="4" w:space="0" w:color="auto"/>
              <w:bottom w:val="single" w:sz="4" w:space="0" w:color="auto"/>
              <w:right w:val="single" w:sz="4" w:space="0" w:color="auto"/>
            </w:tcBorders>
          </w:tcPr>
          <w:p w:rsidR="00BB5F3D" w:rsidRPr="00A76A42" w:rsidRDefault="00BB5F3D" w:rsidP="00FF6B7C">
            <w:pPr>
              <w:adjustRightInd w:val="0"/>
              <w:snapToGrid w:val="0"/>
              <w:spacing w:line="360" w:lineRule="exact"/>
              <w:jc w:val="right"/>
              <w:rPr>
                <w:rFonts w:eastAsia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rsidR="00BB5F3D" w:rsidRPr="00A76A42" w:rsidRDefault="00BB5F3D" w:rsidP="00FF6B7C">
            <w:pPr>
              <w:adjustRightInd w:val="0"/>
              <w:snapToGrid w:val="0"/>
              <w:spacing w:line="360" w:lineRule="exact"/>
              <w:jc w:val="right"/>
              <w:rPr>
                <w:rFonts w:eastAsiaTheme="minorEastAsia"/>
                <w:color w:val="000000" w:themeColor="text1"/>
                <w:szCs w:val="21"/>
              </w:rPr>
            </w:pPr>
            <w:r w:rsidRPr="00A76A42">
              <w:rPr>
                <w:rFonts w:eastAsiaTheme="minorEastAsia"/>
                <w:color w:val="000000" w:themeColor="text1"/>
                <w:szCs w:val="21"/>
              </w:rPr>
              <w:t>85,942.14</w:t>
            </w:r>
          </w:p>
        </w:tc>
        <w:tc>
          <w:tcPr>
            <w:tcW w:w="1842" w:type="dxa"/>
            <w:tcBorders>
              <w:top w:val="single" w:sz="4" w:space="0" w:color="auto"/>
              <w:left w:val="single" w:sz="4" w:space="0" w:color="auto"/>
              <w:bottom w:val="single" w:sz="4" w:space="0" w:color="auto"/>
              <w:right w:val="single" w:sz="4" w:space="0" w:color="auto"/>
            </w:tcBorders>
            <w:hideMark/>
          </w:tcPr>
          <w:p w:rsidR="00BB5F3D" w:rsidRPr="00A76A42" w:rsidRDefault="00BB5F3D" w:rsidP="00FF6B7C">
            <w:pPr>
              <w:adjustRightInd w:val="0"/>
              <w:snapToGrid w:val="0"/>
              <w:spacing w:line="360" w:lineRule="exact"/>
              <w:jc w:val="right"/>
              <w:rPr>
                <w:rFonts w:eastAsiaTheme="minorEastAsia"/>
                <w:color w:val="000000" w:themeColor="text1"/>
                <w:szCs w:val="21"/>
              </w:rPr>
            </w:pPr>
            <w:r w:rsidRPr="00A76A42">
              <w:rPr>
                <w:rFonts w:eastAsiaTheme="minorEastAsia"/>
                <w:color w:val="000000" w:themeColor="text1"/>
                <w:szCs w:val="21"/>
              </w:rPr>
              <w:t>-51,455.40</w:t>
            </w:r>
          </w:p>
        </w:tc>
        <w:tc>
          <w:tcPr>
            <w:tcW w:w="1397" w:type="dxa"/>
            <w:tcBorders>
              <w:top w:val="single" w:sz="4" w:space="0" w:color="auto"/>
              <w:left w:val="single" w:sz="4" w:space="0" w:color="auto"/>
              <w:bottom w:val="single" w:sz="4" w:space="0" w:color="auto"/>
              <w:right w:val="single" w:sz="4" w:space="0" w:color="auto"/>
            </w:tcBorders>
            <w:vAlign w:val="center"/>
          </w:tcPr>
          <w:p w:rsidR="00BB5F3D" w:rsidRPr="00A76A42" w:rsidRDefault="00BB5F3D" w:rsidP="00FF6B7C">
            <w:pPr>
              <w:adjustRightInd w:val="0"/>
              <w:snapToGrid w:val="0"/>
              <w:spacing w:line="360" w:lineRule="exact"/>
              <w:jc w:val="right"/>
              <w:rPr>
                <w:rFonts w:eastAsiaTheme="minorEastAsia"/>
                <w:color w:val="000000" w:themeColor="text1"/>
                <w:szCs w:val="21"/>
              </w:rPr>
            </w:pPr>
          </w:p>
        </w:tc>
      </w:tr>
    </w:tbl>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注：基金管理人运用固有资金投资本基金相关的费用符合基金招募说明书和相关公告的规定。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（一）中国证监会批准本基金募集的文件</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（二）摩根中国世纪灵活配置混合型证券投资基金（</w:t>
      </w:r>
      <w:r>
        <w:rPr>
          <w:rFonts w:eastAsiaTheme="minorEastAsia"/>
          <w:color w:val="000000" w:themeColor="text1"/>
          <w:szCs w:val="21"/>
        </w:rPr>
        <w:t>QDII</w:t>
      </w:r>
      <w:r>
        <w:rPr>
          <w:rFonts w:eastAsiaTheme="minorEastAsia"/>
          <w:color w:val="000000" w:themeColor="text1"/>
          <w:szCs w:val="21"/>
        </w:rPr>
        <w:t>）基金合同</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（三）摩根中国世纪灵活配置混合型证券投资基金（</w:t>
      </w:r>
      <w:r>
        <w:rPr>
          <w:rFonts w:eastAsiaTheme="minorEastAsia"/>
          <w:color w:val="000000" w:themeColor="text1"/>
          <w:szCs w:val="21"/>
        </w:rPr>
        <w:t>QDII</w:t>
      </w:r>
      <w:r>
        <w:rPr>
          <w:rFonts w:eastAsiaTheme="minorEastAsia"/>
          <w:color w:val="000000" w:themeColor="text1"/>
          <w:szCs w:val="21"/>
        </w:rPr>
        <w:t>）托管协议</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F7735C" w:rsidRDefault="00AD6886">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（八）中国证监会要求的其他文件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二〇二四年七月十九日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A21" w:rsidRDefault="002C5A21">
      <w:r>
        <w:separator/>
      </w:r>
    </w:p>
  </w:endnote>
  <w:endnote w:type="continuationSeparator" w:id="0">
    <w:p w:rsidR="002C5A21" w:rsidRDefault="002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14333D">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14333D">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14333D">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A21" w:rsidRDefault="002C5A21">
      <w:r>
        <w:separator/>
      </w:r>
    </w:p>
  </w:footnote>
  <w:footnote w:type="continuationSeparator" w:id="0">
    <w:p w:rsidR="002C5A21" w:rsidRDefault="002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摩根中国世纪灵活配置混合型证券投资基金</w:t>
    </w:r>
    <w:r w:rsidRPr="006669C9">
      <w:t>(QDII)2024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33D"/>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C5A21"/>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29EE"/>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6886"/>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7735C"/>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47</TotalTime>
  <Pages>15</Pages>
  <Words>1264</Words>
  <Characters>7210</Characters>
  <Application>Microsoft Office Word</Application>
  <DocSecurity>0</DocSecurity>
  <Lines>60</Lines>
  <Paragraphs>16</Paragraphs>
  <ScaleCrop>false</ScaleCrop>
  <Company>TRT. Ltd. Co.</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Landy.Li@FA</cp:lastModifiedBy>
  <cp:revision>22</cp:revision>
  <cp:lastPrinted>2007-07-19T00:46:00Z</cp:lastPrinted>
  <dcterms:created xsi:type="dcterms:W3CDTF">2014-12-16T02:40:00Z</dcterms:created>
  <dcterms:modified xsi:type="dcterms:W3CDTF">2024-07-18T06:15:00Z</dcterms:modified>
</cp:coreProperties>
</file>