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9D736C" w:rsidRDefault="009D736C">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9D736C" w:rsidRDefault="009D736C">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9D736C" w:rsidRDefault="009D736C">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摩根中国世纪灵活配置混合型证券投资基金</w:t>
      </w:r>
      <w:r>
        <w:rPr>
          <w:rFonts w:ascii="宋体" w:hAnsi="宋体" w:hint="eastAsia"/>
          <w:b/>
          <w:bCs/>
          <w:sz w:val="48"/>
          <w:szCs w:val="48"/>
        </w:rPr>
        <w:t>(QDII)</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9D736C" w:rsidRDefault="009D736C">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9D736C" w:rsidRDefault="009D736C">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9D736C" w:rsidRDefault="009D736C">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9D736C" w:rsidRDefault="009D736C">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9D736C" w:rsidRDefault="009D736C">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9D736C" w:rsidRDefault="009D736C">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9D736C" w:rsidRDefault="009D736C">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9D736C" w:rsidRDefault="009D736C">
      <w:pPr>
        <w:spacing w:line="360" w:lineRule="auto"/>
        <w:ind w:firstLineChars="200" w:firstLine="420"/>
        <w:divId w:val="1844708711"/>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9D736C" w:rsidRDefault="009D736C">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5000"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3500"/>
        <w:gridCol w:w="5335"/>
      </w:tblGrid>
      <w:tr w:rsidR="00000000">
        <w:trPr>
          <w:divId w:val="729841122"/>
          <w:trHeight w:val="406"/>
          <w:jc w:val="center"/>
        </w:trPr>
        <w:tc>
          <w:tcPr>
            <w:tcW w:w="197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rPr>
                <w:rFonts w:hint="eastAsia"/>
              </w:rPr>
            </w:pPr>
            <w:bookmarkStart w:id="37" w:name="OLE_LINK1" w:colFirst="0" w:colLast="1"/>
            <w:bookmarkEnd w:id="18"/>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012"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摩根中国世纪混合</w:t>
            </w:r>
            <w:r>
              <w:rPr>
                <w:rFonts w:asciiTheme="minorEastAsia" w:eastAsiaTheme="minorEastAsia" w:hAnsiTheme="minorEastAsia" w:hint="eastAsia"/>
              </w:rPr>
              <w:t>(QDII</w:t>
            </w:r>
            <w:r>
              <w:rPr>
                <w:rFonts w:asciiTheme="minorEastAsia" w:eastAsiaTheme="minorEastAsia" w:hAnsiTheme="minorEastAsia" w:hint="eastAsia"/>
              </w:rPr>
              <w:t>)</w:t>
            </w:r>
          </w:p>
        </w:tc>
      </w:tr>
      <w:tr w:rsidR="00000000">
        <w:trPr>
          <w:divId w:val="72984112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00324</w:t>
            </w:r>
            <w:r>
              <w:rPr>
                <w:rFonts w:asciiTheme="minorEastAsia" w:eastAsiaTheme="minorEastAsia" w:hAnsiTheme="minorEastAsia" w:hint="eastAsia"/>
              </w:rPr>
              <w:t>3</w:t>
            </w:r>
          </w:p>
        </w:tc>
      </w:tr>
      <w:tr w:rsidR="00000000">
        <w:trPr>
          <w:divId w:val="72984112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契约型开放</w:t>
            </w:r>
            <w:r>
              <w:rPr>
                <w:rFonts w:asciiTheme="minorEastAsia" w:eastAsiaTheme="minorEastAsia" w:hAnsiTheme="minorEastAsia" w:hint="eastAsia"/>
              </w:rPr>
              <w:t>式</w:t>
            </w:r>
          </w:p>
        </w:tc>
      </w:tr>
      <w:tr w:rsidR="00000000">
        <w:trPr>
          <w:divId w:val="72984112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2016</w:t>
            </w:r>
            <w:r>
              <w:rPr>
                <w:rFonts w:asciiTheme="minorEastAsia" w:eastAsiaTheme="minorEastAsia" w:hAnsiTheme="minorEastAsia" w:hint="eastAsia"/>
              </w:rPr>
              <w:t>年</w:t>
            </w:r>
            <w:r>
              <w:rPr>
                <w:rFonts w:asciiTheme="minorEastAsia" w:eastAsiaTheme="minorEastAsia" w:hAnsiTheme="minorEastAsia" w:hint="eastAsia"/>
              </w:rPr>
              <w:t>11</w:t>
            </w:r>
            <w:r>
              <w:rPr>
                <w:rFonts w:asciiTheme="minorEastAsia" w:eastAsiaTheme="minorEastAsia" w:hAnsiTheme="minorEastAsia" w:hint="eastAsia"/>
              </w:rPr>
              <w:t>月</w:t>
            </w:r>
            <w:r>
              <w:rPr>
                <w:rFonts w:asciiTheme="minorEastAsia" w:eastAsiaTheme="minorEastAsia" w:hAnsiTheme="minorEastAsia" w:hint="eastAsia"/>
              </w:rPr>
              <w:t>11</w:t>
            </w:r>
            <w:r>
              <w:rPr>
                <w:rFonts w:asciiTheme="minorEastAsia" w:eastAsiaTheme="minorEastAsia" w:hAnsiTheme="minorEastAsia" w:hint="eastAsia"/>
              </w:rPr>
              <w:t>日</w:t>
            </w:r>
          </w:p>
        </w:tc>
      </w:tr>
      <w:tr w:rsidR="00000000">
        <w:trPr>
          <w:divId w:val="729841122"/>
          <w:trHeight w:val="461"/>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51,580,226.3</w:t>
            </w:r>
            <w:r>
              <w:rPr>
                <w:rFonts w:asciiTheme="minorEastAsia" w:eastAsiaTheme="minorEastAsia" w:hAnsiTheme="minorEastAsia" w:hint="eastAsia"/>
              </w:rPr>
              <w:t>5</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729841122"/>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本基金采用定量及定性研究方法，自下而上优选在中国境内及香港、美国等海外市场上市的中国公司，通过严格风险控制，力争实现基金资产的长期增值</w:t>
            </w:r>
            <w:r>
              <w:rPr>
                <w:rFonts w:asciiTheme="minorEastAsia" w:eastAsiaTheme="minorEastAsia" w:hAnsiTheme="minorEastAsia" w:hint="eastAsia"/>
              </w:rPr>
              <w:t>。</w:t>
            </w:r>
          </w:p>
        </w:tc>
      </w:tr>
      <w:tr w:rsidR="00000000">
        <w:trPr>
          <w:divId w:val="729841122"/>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1</w:t>
            </w:r>
            <w:r>
              <w:rPr>
                <w:rFonts w:asciiTheme="minorEastAsia" w:eastAsiaTheme="minorEastAsia" w:hAnsiTheme="minorEastAsia" w:hint="eastAsia"/>
              </w:rPr>
              <w:t>、各市场资产配置策略</w:t>
            </w:r>
            <w:r>
              <w:rPr>
                <w:rFonts w:asciiTheme="minorEastAsia" w:eastAsiaTheme="minorEastAsia" w:hAnsiTheme="minorEastAsia" w:hint="eastAsia"/>
              </w:rPr>
              <w:br/>
            </w:r>
            <w:r>
              <w:rPr>
                <w:rFonts w:asciiTheme="minorEastAsia" w:eastAsiaTheme="minorEastAsia" w:hAnsiTheme="minorEastAsia" w:hint="eastAsia"/>
              </w:rPr>
              <w:t>本基金综合考虑不同市场的宏观经济环境、增长和通胀背景、不同市场的估值水平和流动性因素、相关公司所处的发展阶段、盈利前景和竞争环境以及其他重要要素将基金资产在中国境内及香港、美国等海外市场之间进行配置。另外，本基金将根据各类证券的风险收益特征的相对变化，适度的调整确定基金资产在股票、债券及现金等类别资产间的分配比例。</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）中国境内市场投资策略</w:t>
            </w:r>
            <w:r>
              <w:rPr>
                <w:rFonts w:asciiTheme="minorEastAsia" w:eastAsiaTheme="minorEastAsia" w:hAnsiTheme="minorEastAsia" w:hint="eastAsia"/>
              </w:rPr>
              <w:br/>
            </w:r>
            <w:r>
              <w:rPr>
                <w:rFonts w:asciiTheme="minorEastAsia" w:eastAsiaTheme="minorEastAsia" w:hAnsiTheme="minorEastAsia" w:hint="eastAsia"/>
              </w:rPr>
              <w:t>本基金将专注投资于影响国民经济的龙头行业、经济转型和产业升级过程中的重点行业和具备成长潜力的新兴行业。</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）香港、美国等海外市场投资策略</w:t>
            </w:r>
            <w:r>
              <w:rPr>
                <w:rFonts w:asciiTheme="minorEastAsia" w:eastAsiaTheme="minorEastAsia" w:hAnsiTheme="minorEastAsia" w:hint="eastAsia"/>
              </w:rPr>
              <w:br/>
            </w:r>
            <w:r>
              <w:rPr>
                <w:rFonts w:asciiTheme="minorEastAsia" w:eastAsiaTheme="minorEastAsia" w:hAnsiTheme="minorEastAsia" w:hint="eastAsia"/>
              </w:rPr>
              <w:t>本基金将结合宏观基本面，包含资金流向等对海外市场上市公司进行初步判断，并结合产业趋势以及公司发展前景自下而上进行布局，从公司商业模式、产品创新及竞争力、主营业务收入来源和区域分布等多维度进行考量，挖掘优质企业。</w:t>
            </w:r>
            <w:r>
              <w:rPr>
                <w:rFonts w:asciiTheme="minorEastAsia" w:eastAsiaTheme="minorEastAsia" w:hAnsiTheme="minorEastAsia" w:hint="eastAsia"/>
              </w:rPr>
              <w:br/>
              <w:t>3</w:t>
            </w:r>
            <w:r>
              <w:rPr>
                <w:rFonts w:asciiTheme="minorEastAsia" w:eastAsiaTheme="minorEastAsia" w:hAnsiTheme="minorEastAsia" w:hint="eastAsia"/>
              </w:rPr>
              <w:t>、债券投资策略</w:t>
            </w:r>
            <w:r>
              <w:rPr>
                <w:rFonts w:asciiTheme="minorEastAsia" w:eastAsiaTheme="minorEastAsia" w:hAnsiTheme="minorEastAsia" w:hint="eastAsia"/>
              </w:rPr>
              <w:br/>
            </w:r>
            <w:r>
              <w:rPr>
                <w:rFonts w:asciiTheme="minorEastAsia" w:eastAsiaTheme="minorEastAsia" w:hAnsiTheme="minorEastAsia" w:hint="eastAsia"/>
              </w:rPr>
              <w:t>本基金债券投资将采取多种积极投资策略，自上而下地管理组合的久期，同时精选个券，以增强组合的持有期收益。</w:t>
            </w:r>
            <w:r>
              <w:rPr>
                <w:rFonts w:asciiTheme="minorEastAsia" w:eastAsiaTheme="minorEastAsia" w:hAnsiTheme="minorEastAsia" w:hint="eastAsia"/>
              </w:rPr>
              <w:br/>
              <w:t>4</w:t>
            </w:r>
            <w:r>
              <w:rPr>
                <w:rFonts w:asciiTheme="minorEastAsia" w:eastAsiaTheme="minorEastAsia" w:hAnsiTheme="minorEastAsia" w:hint="eastAsia"/>
              </w:rPr>
              <w:t>、其他投资策略：包括股指期货投资策略、资产支持证券投资策略、权证投资策略、金融衍生品投资策略、存托凭证投资策略</w:t>
            </w:r>
            <w:r>
              <w:rPr>
                <w:rFonts w:asciiTheme="minorEastAsia" w:eastAsiaTheme="minorEastAsia" w:hAnsiTheme="minorEastAsia" w:hint="eastAsia"/>
              </w:rPr>
              <w:t>。</w:t>
            </w:r>
          </w:p>
        </w:tc>
      </w:tr>
      <w:tr w:rsidR="00000000">
        <w:trPr>
          <w:divId w:val="729841122"/>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中证中国内地企业</w:t>
            </w:r>
            <w:r>
              <w:rPr>
                <w:rFonts w:asciiTheme="minorEastAsia" w:eastAsiaTheme="minorEastAsia" w:hAnsiTheme="minorEastAsia" w:hint="eastAsia"/>
              </w:rPr>
              <w:t>500</w:t>
            </w:r>
            <w:r>
              <w:rPr>
                <w:rFonts w:asciiTheme="minorEastAsia" w:eastAsiaTheme="minorEastAsia" w:hAnsiTheme="minorEastAsia" w:hint="eastAsia"/>
              </w:rPr>
              <w:t>指数收益率×</w:t>
            </w:r>
            <w:r>
              <w:rPr>
                <w:rFonts w:asciiTheme="minorEastAsia" w:eastAsiaTheme="minorEastAsia" w:hAnsiTheme="minorEastAsia" w:hint="eastAsia"/>
              </w:rPr>
              <w:t>60%+</w:t>
            </w:r>
            <w:r>
              <w:rPr>
                <w:rFonts w:asciiTheme="minorEastAsia" w:eastAsiaTheme="minorEastAsia" w:hAnsiTheme="minorEastAsia" w:hint="eastAsia"/>
              </w:rPr>
              <w:t>中债总指数收益率×</w:t>
            </w:r>
            <w:r>
              <w:rPr>
                <w:rFonts w:asciiTheme="minorEastAsia" w:eastAsiaTheme="minorEastAsia" w:hAnsiTheme="minorEastAsia" w:hint="eastAsia"/>
              </w:rPr>
              <w:t>40</w:t>
            </w:r>
            <w:r>
              <w:rPr>
                <w:rFonts w:asciiTheme="minorEastAsia" w:eastAsiaTheme="minorEastAsia" w:hAnsiTheme="minorEastAsia" w:hint="eastAsia"/>
              </w:rPr>
              <w:t>%</w:t>
            </w:r>
          </w:p>
        </w:tc>
      </w:tr>
      <w:tr w:rsidR="00000000">
        <w:trPr>
          <w:divId w:val="729841122"/>
          <w:trHeight w:val="41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本基金属于混合型基金产品，预期风险和收益水平低于股票型基金，高于债券型基金和货币市场基金，属于中等风险收益水平的基金产品。</w:t>
            </w:r>
            <w:r>
              <w:rPr>
                <w:rFonts w:asciiTheme="minorEastAsia" w:eastAsiaTheme="minorEastAsia" w:hAnsiTheme="minorEastAsia" w:hint="eastAsia"/>
              </w:rPr>
              <w:br/>
            </w:r>
            <w:r>
              <w:rPr>
                <w:rFonts w:asciiTheme="minorEastAsia" w:eastAsiaTheme="minorEastAsia" w:hAnsiTheme="minorEastAsia" w:hint="eastAsia"/>
              </w:rPr>
              <w:t>根据</w:t>
            </w:r>
            <w:r>
              <w:rPr>
                <w:rFonts w:asciiTheme="minorEastAsia" w:eastAsiaTheme="minorEastAsia" w:hAnsiTheme="minorEastAsia" w:hint="eastAsia"/>
              </w:rPr>
              <w:t>2017</w:t>
            </w:r>
            <w:r>
              <w:rPr>
                <w:rFonts w:asciiTheme="minorEastAsia" w:eastAsiaTheme="minorEastAsia" w:hAnsiTheme="minorEastAsia" w:hint="eastAsia"/>
              </w:rPr>
              <w:t>年</w:t>
            </w:r>
            <w:r>
              <w:rPr>
                <w:rFonts w:asciiTheme="minorEastAsia" w:eastAsiaTheme="minorEastAsia" w:hAnsiTheme="minorEastAsia" w:hint="eastAsia"/>
              </w:rPr>
              <w:t>7</w:t>
            </w:r>
            <w:r>
              <w:rPr>
                <w:rFonts w:asciiTheme="minorEastAsia" w:eastAsiaTheme="minorEastAsia" w:hAnsiTheme="minorEastAsia" w:hint="eastAsia"/>
              </w:rPr>
              <w:t>月</w:t>
            </w:r>
            <w:r>
              <w:rPr>
                <w:rFonts w:asciiTheme="minorEastAsia" w:eastAsiaTheme="minorEastAsia" w:hAnsiTheme="minorEastAsia" w:hint="eastAsia"/>
              </w:rPr>
              <w:t>1</w:t>
            </w:r>
            <w:r>
              <w:rPr>
                <w:rFonts w:asciiTheme="minorEastAsia" w:eastAsiaTheme="minorEastAsia" w:hAnsiTheme="minorEastAsia" w:hint="eastAsia"/>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Theme="minorEastAsia" w:eastAsiaTheme="minorEastAsia" w:hAnsiTheme="minorEastAsia" w:hint="eastAsia"/>
              </w:rPr>
              <w:t>。</w:t>
            </w:r>
          </w:p>
        </w:tc>
      </w:tr>
      <w:tr w:rsidR="00000000">
        <w:trPr>
          <w:divId w:val="72984112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729841122"/>
          <w:jc w:val="center"/>
        </w:trPr>
        <w:tc>
          <w:tcPr>
            <w:tcW w:w="1977"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中国建设银行股份有限公</w:t>
            </w:r>
            <w:r>
              <w:rPr>
                <w:rFonts w:asciiTheme="minorEastAsia" w:eastAsiaTheme="minorEastAsia" w:hAnsiTheme="minorEastAsia" w:hint="eastAsia"/>
              </w:rPr>
              <w:t>司</w:t>
            </w:r>
          </w:p>
        </w:tc>
      </w:tr>
      <w:tr w:rsidR="00000000">
        <w:trPr>
          <w:divId w:val="729841122"/>
          <w:trHeight w:val="382"/>
          <w:jc w:val="center"/>
        </w:trPr>
        <w:tc>
          <w:tcPr>
            <w:tcW w:w="1977" w:type="pct"/>
            <w:vMerge w:val="restart"/>
            <w:tcBorders>
              <w:top w:val="nil"/>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widowControl/>
              <w:spacing w:line="315" w:lineRule="atLeast"/>
              <w:jc w:val="left"/>
            </w:pPr>
            <w:r>
              <w:rPr>
                <w:rFonts w:asciiTheme="minorEastAsia" w:eastAsiaTheme="minorEastAsia" w:hAnsiTheme="minorEastAsia" w:hint="eastAsia"/>
              </w:rPr>
              <w:t>境外资产托管人</w:t>
            </w:r>
            <w:r>
              <w:rPr>
                <w:rFonts w:asciiTheme="minorEastAsia" w:eastAsiaTheme="minorEastAsia" w:hAnsiTheme="minorEastAsia" w:hint="eastAsia"/>
              </w:rPr>
              <w:t xml:space="preserve"> </w:t>
            </w:r>
          </w:p>
        </w:tc>
        <w:tc>
          <w:tcPr>
            <w:tcW w:w="3012" w:type="pct"/>
            <w:tcBorders>
              <w:top w:val="nil"/>
              <w:left w:val="nil"/>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Chase Bank, N.A</w:t>
            </w:r>
            <w:r>
              <w:rPr>
                <w:rFonts w:asciiTheme="minorEastAsia" w:eastAsiaTheme="minorEastAsia" w:hAnsiTheme="minorEastAsia" w:hint="eastAsia"/>
              </w:rPr>
              <w:t>.</w:t>
            </w:r>
          </w:p>
        </w:tc>
      </w:tr>
      <w:tr w:rsidR="00000000">
        <w:trPr>
          <w:divId w:val="729841122"/>
          <w:trHeight w:val="345"/>
          <w:jc w:val="center"/>
        </w:trPr>
        <w:tc>
          <w:tcPr>
            <w:tcW w:w="0" w:type="auto"/>
            <w:vMerge/>
            <w:tcBorders>
              <w:top w:val="nil"/>
              <w:left w:val="single" w:sz="4" w:space="0" w:color="000000"/>
              <w:bottom w:val="single" w:sz="4" w:space="0" w:color="000000"/>
              <w:right w:val="single" w:sz="4" w:space="0" w:color="000000"/>
            </w:tcBorders>
            <w:vAlign w:val="center"/>
            <w:hideMark/>
          </w:tcPr>
          <w:p w:rsidR="009D736C" w:rsidRDefault="009D736C">
            <w:pPr>
              <w:widowControl/>
              <w:jc w:val="left"/>
            </w:pPr>
          </w:p>
        </w:tc>
        <w:tc>
          <w:tcPr>
            <w:tcW w:w="3012"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9D736C" w:rsidRDefault="009D736C">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摩根大通银</w:t>
            </w:r>
            <w:r>
              <w:rPr>
                <w:rFonts w:asciiTheme="minorEastAsia" w:eastAsiaTheme="minorEastAsia" w:hAnsiTheme="minorEastAsia" w:hint="eastAsia"/>
              </w:rPr>
              <w:t>行</w:t>
            </w:r>
          </w:p>
        </w:tc>
      </w:tr>
    </w:tbl>
    <w:p w:rsidR="009D736C" w:rsidRDefault="009D736C">
      <w:pPr>
        <w:pStyle w:val="XBRLTitle1"/>
        <w:spacing w:before="156"/>
        <w:ind w:left="425"/>
      </w:pPr>
      <w:bookmarkStart w:id="38" w:name="_Toc514088245"/>
      <w:bookmarkStart w:id="39" w:name="_Toc480465415"/>
      <w:bookmarkStart w:id="40" w:name="_Toc448480286"/>
      <w:bookmarkStart w:id="41" w:name="_Toc438654074"/>
      <w:bookmarkStart w:id="42" w:name="_Toc456107120"/>
      <w:bookmarkStart w:id="43" w:name="_Toc459213766"/>
      <w:bookmarkStart w:id="44" w:name="_Toc513542646"/>
      <w:bookmarkStart w:id="45" w:name="_Toc512696252"/>
      <w:bookmarkStart w:id="46" w:name="_Toc512612255"/>
      <w:bookmarkStart w:id="47" w:name="_Toc512612079"/>
      <w:bookmarkStart w:id="48" w:name="_Toc512611283"/>
      <w:bookmarkStart w:id="49" w:name="m401_tab"/>
      <w:bookmarkStart w:id="50" w:name="m401"/>
      <w:bookmarkEnd w:id="37"/>
      <w:r>
        <w:rPr>
          <w:rFonts w:hint="eastAsia"/>
        </w:rPr>
        <w:t>主要财务指标和基金净值表</w:t>
      </w:r>
      <w:r>
        <w:rPr>
          <w:rFonts w:hint="eastAsia"/>
        </w:rPr>
        <w:t>现</w:t>
      </w:r>
      <w:bookmarkEnd w:id="38"/>
      <w:bookmarkEnd w:id="39"/>
      <w:bookmarkEnd w:id="40"/>
      <w:bookmarkEnd w:id="41"/>
      <w:bookmarkEnd w:id="42"/>
      <w:bookmarkEnd w:id="43"/>
      <w:bookmarkEnd w:id="44"/>
      <w:bookmarkEnd w:id="45"/>
      <w:bookmarkEnd w:id="46"/>
      <w:bookmarkEnd w:id="47"/>
      <w:bookmarkEnd w:id="48"/>
    </w:p>
    <w:p w:rsidR="009D736C" w:rsidRDefault="009D736C">
      <w:pPr>
        <w:pStyle w:val="XBRLTitle2"/>
        <w:spacing w:before="156" w:line="360" w:lineRule="auto"/>
        <w:ind w:left="454"/>
        <w:rPr>
          <w:rFonts w:hint="eastAsia"/>
        </w:rPr>
      </w:pPr>
      <w:bookmarkStart w:id="51" w:name="_Toc514088246"/>
      <w:bookmarkStart w:id="52" w:name="_Toc480465416"/>
      <w:bookmarkStart w:id="53" w:name="_Toc448480287"/>
      <w:bookmarkStart w:id="54" w:name="_Toc438654075"/>
      <w:bookmarkStart w:id="55" w:name="_Toc456107121"/>
      <w:bookmarkStart w:id="56" w:name="_Toc459213767"/>
      <w:bookmarkStart w:id="57" w:name="_Toc513542647"/>
      <w:bookmarkStart w:id="58" w:name="_Toc512696253"/>
      <w:bookmarkStart w:id="59" w:name="_Toc512612256"/>
      <w:bookmarkStart w:id="60" w:name="_Toc512612080"/>
      <w:bookmarkStart w:id="61" w:name="_Toc512611284"/>
      <w:r>
        <w:rPr>
          <w:rFonts w:eastAsia="宋体" w:hint="eastAsia"/>
        </w:rPr>
        <w:t>主要财务指</w:t>
      </w:r>
      <w:r>
        <w:rPr>
          <w:rFonts w:eastAsia="宋体" w:hint="eastAsia"/>
        </w:rPr>
        <w:t>标</w:t>
      </w:r>
      <w:bookmarkEnd w:id="51"/>
      <w:bookmarkEnd w:id="52"/>
      <w:bookmarkEnd w:id="53"/>
      <w:bookmarkEnd w:id="54"/>
      <w:bookmarkEnd w:id="55"/>
      <w:bookmarkEnd w:id="56"/>
      <w:r>
        <w:rPr>
          <w:rFonts w:eastAsia="宋体" w:hint="eastAsia"/>
        </w:rPr>
        <w:t xml:space="preserve"> </w:t>
      </w:r>
      <w:bookmarkEnd w:id="57"/>
      <w:bookmarkEnd w:id="58"/>
      <w:bookmarkEnd w:id="59"/>
      <w:bookmarkEnd w:id="60"/>
      <w:bookmarkEnd w:id="61"/>
    </w:p>
    <w:p w:rsidR="009D736C" w:rsidRDefault="009D736C">
      <w:pPr>
        <w:jc w:val="right"/>
        <w:divId w:val="726295906"/>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726295906"/>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D736C" w:rsidRDefault="009D736C">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D736C" w:rsidRDefault="009D736C">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72629590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rPr>
                <w:rFonts w:hint="eastAsia"/>
              </w:rPr>
            </w:pPr>
            <w:r>
              <w:rPr>
                <w:rFonts w:ascii="宋体" w:hAnsi="宋体" w:hint="eastAsia"/>
                <w:szCs w:val="24"/>
                <w:lang w:eastAsia="zh-Hans"/>
              </w:rPr>
              <w:t>8,018,396.4</w:t>
            </w:r>
            <w:r>
              <w:rPr>
                <w:rFonts w:ascii="宋体" w:hAnsi="宋体" w:hint="eastAsia"/>
                <w:szCs w:val="24"/>
                <w:lang w:eastAsia="zh-Hans"/>
              </w:rPr>
              <w:t>6</w:t>
            </w:r>
          </w:p>
        </w:tc>
      </w:tr>
      <w:tr w:rsidR="00000000">
        <w:trPr>
          <w:divId w:val="72629590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rPr>
                <w:rFonts w:hint="eastAsia"/>
              </w:rPr>
            </w:pPr>
            <w:r>
              <w:rPr>
                <w:rFonts w:ascii="宋体" w:hAnsi="宋体" w:hint="eastAsia"/>
                <w:szCs w:val="24"/>
                <w:lang w:eastAsia="zh-Hans"/>
              </w:rPr>
              <w:t>26,650,263.2</w:t>
            </w:r>
            <w:r>
              <w:rPr>
                <w:rFonts w:ascii="宋体" w:hAnsi="宋体" w:hint="eastAsia"/>
                <w:szCs w:val="24"/>
                <w:lang w:eastAsia="zh-Hans"/>
              </w:rPr>
              <w:t>3</w:t>
            </w:r>
          </w:p>
        </w:tc>
      </w:tr>
      <w:tr w:rsidR="00000000">
        <w:trPr>
          <w:divId w:val="72629590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rPr>
                <w:rFonts w:hint="eastAsia"/>
              </w:rPr>
            </w:pPr>
            <w:r>
              <w:rPr>
                <w:rFonts w:ascii="宋体" w:hAnsi="宋体" w:hint="eastAsia"/>
                <w:szCs w:val="24"/>
                <w:lang w:eastAsia="zh-Hans"/>
              </w:rPr>
              <w:t>0.483</w:t>
            </w:r>
            <w:r>
              <w:rPr>
                <w:rFonts w:ascii="宋体" w:hAnsi="宋体" w:hint="eastAsia"/>
                <w:szCs w:val="24"/>
                <w:lang w:eastAsia="zh-Hans"/>
              </w:rPr>
              <w:t>6</w:t>
            </w:r>
          </w:p>
        </w:tc>
      </w:tr>
      <w:tr w:rsidR="00000000">
        <w:trPr>
          <w:divId w:val="72629590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rPr>
                <w:rFonts w:hint="eastAsia"/>
              </w:rPr>
            </w:pPr>
            <w:r>
              <w:rPr>
                <w:rFonts w:ascii="宋体" w:hAnsi="宋体" w:hint="eastAsia"/>
                <w:szCs w:val="24"/>
                <w:lang w:eastAsia="zh-Hans"/>
              </w:rPr>
              <w:t>124,120,736.7</w:t>
            </w:r>
            <w:r>
              <w:rPr>
                <w:rFonts w:ascii="宋体" w:hAnsi="宋体" w:hint="eastAsia"/>
                <w:szCs w:val="24"/>
                <w:lang w:eastAsia="zh-Hans"/>
              </w:rPr>
              <w:t>6</w:t>
            </w:r>
          </w:p>
        </w:tc>
      </w:tr>
      <w:tr w:rsidR="00000000">
        <w:trPr>
          <w:divId w:val="726295906"/>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rPr>
                <w:rFonts w:hint="eastAsia"/>
              </w:rPr>
            </w:pPr>
            <w:r>
              <w:rPr>
                <w:rFonts w:ascii="宋体" w:hAnsi="宋体" w:hint="eastAsia"/>
                <w:szCs w:val="24"/>
                <w:lang w:eastAsia="zh-Hans"/>
              </w:rPr>
              <w:t>2.406</w:t>
            </w:r>
            <w:r>
              <w:rPr>
                <w:rFonts w:ascii="宋体" w:hAnsi="宋体" w:hint="eastAsia"/>
                <w:szCs w:val="24"/>
                <w:lang w:eastAsia="zh-Hans"/>
              </w:rPr>
              <w:t>4</w:t>
            </w:r>
          </w:p>
        </w:tc>
      </w:tr>
    </w:tbl>
    <w:p w:rsidR="009D736C" w:rsidRDefault="009D736C">
      <w:pPr>
        <w:spacing w:line="360" w:lineRule="auto"/>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9D736C" w:rsidRDefault="009D736C">
      <w:pPr>
        <w:pStyle w:val="XBRLTitle2"/>
        <w:spacing w:before="156" w:line="360" w:lineRule="auto"/>
        <w:ind w:left="454"/>
      </w:pPr>
      <w:bookmarkStart w:id="62" w:name="_Toc514088247"/>
      <w:bookmarkStart w:id="63" w:name="_Toc480465417"/>
      <w:bookmarkStart w:id="64" w:name="_Toc448480288"/>
      <w:bookmarkStart w:id="65" w:name="_Toc438654076"/>
      <w:bookmarkStart w:id="66" w:name="_Toc456107122"/>
      <w:bookmarkStart w:id="67" w:name="_Toc459213768"/>
      <w:bookmarkStart w:id="68" w:name="_Toc513542648"/>
      <w:bookmarkStart w:id="69" w:name="_Toc512696254"/>
      <w:bookmarkStart w:id="70" w:name="_Toc512612257"/>
      <w:bookmarkStart w:id="71" w:name="_Toc512612081"/>
      <w:bookmarkStart w:id="72" w:name="_Toc512611285"/>
      <w:r>
        <w:rPr>
          <w:rFonts w:eastAsia="宋体" w:hint="eastAsia"/>
        </w:rPr>
        <w:t>基金净值表</w:t>
      </w:r>
      <w:r>
        <w:rPr>
          <w:rFonts w:eastAsia="宋体" w:hint="eastAsia"/>
        </w:rPr>
        <w:t>现</w:t>
      </w:r>
      <w:bookmarkEnd w:id="62"/>
      <w:bookmarkEnd w:id="63"/>
      <w:bookmarkEnd w:id="64"/>
      <w:bookmarkEnd w:id="65"/>
      <w:bookmarkEnd w:id="66"/>
      <w:bookmarkEnd w:id="67"/>
      <w:bookmarkEnd w:id="68"/>
      <w:bookmarkEnd w:id="69"/>
      <w:bookmarkEnd w:id="70"/>
      <w:bookmarkEnd w:id="71"/>
      <w:bookmarkEnd w:id="72"/>
      <w:r>
        <w:rPr>
          <w:rFonts w:eastAsia="宋体" w:hint="eastAsia"/>
        </w:rPr>
        <w:t xml:space="preserve"> </w:t>
      </w:r>
    </w:p>
    <w:p w:rsidR="009D736C" w:rsidRDefault="009D736C">
      <w:pPr>
        <w:pStyle w:val="XBRLTitle3"/>
        <w:spacing w:before="156" w:line="360" w:lineRule="auto"/>
        <w:ind w:left="624"/>
        <w:rPr>
          <w:rFonts w:hint="eastAsia"/>
        </w:rPr>
      </w:pPr>
      <w:bookmarkStart w:id="73" w:name="_Toc514088248"/>
      <w:bookmarkStart w:id="74" w:name="_Toc513542649"/>
      <w:bookmarkStart w:id="75" w:name="_Toc480465418"/>
      <w:r>
        <w:rPr>
          <w:rFonts w:hAnsi="宋体" w:hint="eastAsia"/>
        </w:rPr>
        <w:t>基金份额净值增长率及其与同期业绩比较基准收益率的比</w:t>
      </w:r>
      <w:r>
        <w:rPr>
          <w:rFonts w:hAnsi="宋体" w:hint="eastAsia"/>
        </w:rPr>
        <w:t>较</w:t>
      </w:r>
      <w:bookmarkEnd w:id="73"/>
      <w:bookmarkEnd w:id="74"/>
      <w:bookmarkEnd w:id="7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divId w:val="1991640972"/>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spacing w:line="360" w:lineRule="auto"/>
              <w:jc w:val="center"/>
            </w:pPr>
            <w:r>
              <w:rPr>
                <w:rFonts w:ascii="宋体" w:hAnsi="宋体" w:hint="eastAsia"/>
              </w:rPr>
              <w:t>②－④</w:t>
            </w:r>
            <w:r>
              <w:rPr>
                <w:rFonts w:ascii="宋体" w:hAnsi="宋体" w:hint="eastAsia"/>
              </w:rPr>
              <w:t xml:space="preserve"> </w:t>
            </w:r>
          </w:p>
        </w:tc>
      </w:tr>
      <w:tr w:rsidR="00000000">
        <w:trPr>
          <w:divId w:val="199164097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24.0</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2.2</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-4.5</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0.6</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28.6</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1.6</w:t>
            </w:r>
            <w:r>
              <w:rPr>
                <w:rFonts w:ascii="宋体" w:hAnsi="宋体" w:hint="eastAsia"/>
              </w:rPr>
              <w:t>4</w:t>
            </w:r>
            <w:r>
              <w:rPr>
                <w:rFonts w:ascii="宋体" w:hAnsi="宋体" w:hint="eastAsia"/>
              </w:rPr>
              <w:t>%</w:t>
            </w:r>
          </w:p>
        </w:tc>
      </w:tr>
      <w:tr w:rsidR="00000000">
        <w:trPr>
          <w:divId w:val="199164097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21.7</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2.0</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-8.4</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0.6</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30.1</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1.3</w:t>
            </w:r>
            <w:r>
              <w:rPr>
                <w:rFonts w:ascii="宋体" w:hAnsi="宋体" w:hint="eastAsia"/>
              </w:rPr>
              <w:t>7</w:t>
            </w:r>
            <w:r>
              <w:rPr>
                <w:rFonts w:ascii="宋体" w:hAnsi="宋体" w:hint="eastAsia"/>
              </w:rPr>
              <w:t>%</w:t>
            </w:r>
          </w:p>
        </w:tc>
      </w:tr>
      <w:tr w:rsidR="00000000">
        <w:trPr>
          <w:divId w:val="199164097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72.1</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1.9</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-2.6</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0.5</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74.8</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1.3</w:t>
            </w:r>
            <w:r>
              <w:rPr>
                <w:rFonts w:ascii="宋体" w:hAnsi="宋体" w:hint="eastAsia"/>
              </w:rPr>
              <w:t>8</w:t>
            </w:r>
            <w:r>
              <w:rPr>
                <w:rFonts w:ascii="宋体" w:hAnsi="宋体" w:hint="eastAsia"/>
              </w:rPr>
              <w:t>%</w:t>
            </w:r>
          </w:p>
        </w:tc>
      </w:tr>
      <w:tr w:rsidR="00000000">
        <w:trPr>
          <w:divId w:val="199164097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85.2</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1.5</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3.2</w:t>
            </w:r>
            <w:r>
              <w:rPr>
                <w:rFonts w:ascii="宋体" w:hAnsi="宋体" w:hint="eastAsia"/>
              </w:rPr>
              <w:t>0</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0.6</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82.0</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0.9</w:t>
            </w:r>
            <w:r>
              <w:rPr>
                <w:rFonts w:ascii="宋体" w:hAnsi="宋体" w:hint="eastAsia"/>
              </w:rPr>
              <w:t>0</w:t>
            </w:r>
            <w:r>
              <w:rPr>
                <w:rFonts w:ascii="宋体" w:hAnsi="宋体" w:hint="eastAsia"/>
              </w:rPr>
              <w:t>%</w:t>
            </w:r>
          </w:p>
        </w:tc>
      </w:tr>
      <w:tr w:rsidR="00000000">
        <w:trPr>
          <w:divId w:val="199164097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center"/>
            </w:pPr>
            <w:r>
              <w:rPr>
                <w:rFonts w:ascii="宋体" w:hAnsi="宋体" w:hint="eastAsia"/>
              </w:rPr>
              <w:t>过去五</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5.6</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1.5</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-13.4</w:t>
            </w:r>
            <w:r>
              <w:rPr>
                <w:rFonts w:ascii="宋体" w:hAnsi="宋体" w:hint="eastAsia"/>
              </w:rPr>
              <w:t>9</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0.7</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19.1</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0.7</w:t>
            </w:r>
            <w:r>
              <w:rPr>
                <w:rFonts w:ascii="宋体" w:hAnsi="宋体" w:hint="eastAsia"/>
              </w:rPr>
              <w:t>6</w:t>
            </w:r>
            <w:r>
              <w:rPr>
                <w:rFonts w:ascii="宋体" w:hAnsi="宋体" w:hint="eastAsia"/>
              </w:rPr>
              <w:t>%</w:t>
            </w:r>
          </w:p>
        </w:tc>
      </w:tr>
      <w:tr w:rsidR="00000000">
        <w:trPr>
          <w:divId w:val="199164097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center"/>
            </w:pPr>
            <w:r>
              <w:rPr>
                <w:rFonts w:ascii="宋体" w:hAnsi="宋体" w:hint="eastAsia"/>
              </w:rPr>
              <w:t>过去七</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81.4</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1.4</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13.0</w:t>
            </w:r>
            <w:r>
              <w:rPr>
                <w:rFonts w:ascii="宋体" w:hAnsi="宋体" w:hint="eastAsia"/>
              </w:rPr>
              <w:t>9</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0.7</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68.3</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0.7</w:t>
            </w:r>
            <w:r>
              <w:rPr>
                <w:rFonts w:ascii="宋体" w:hAnsi="宋体" w:hint="eastAsia"/>
              </w:rPr>
              <w:t>5</w:t>
            </w:r>
            <w:r>
              <w:rPr>
                <w:rFonts w:ascii="宋体" w:hAnsi="宋体" w:hint="eastAsia"/>
              </w:rPr>
              <w:t>%</w:t>
            </w:r>
          </w:p>
        </w:tc>
      </w:tr>
      <w:tr w:rsidR="00000000">
        <w:trPr>
          <w:divId w:val="1991640972"/>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140.6</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1.3</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28.7</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0.7</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111.8</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9D736C" w:rsidRDefault="009D736C">
            <w:pPr>
              <w:spacing w:line="360" w:lineRule="auto"/>
              <w:jc w:val="right"/>
            </w:pPr>
            <w:r>
              <w:rPr>
                <w:rFonts w:ascii="宋体" w:hAnsi="宋体" w:hint="eastAsia"/>
              </w:rPr>
              <w:t>0.6</w:t>
            </w:r>
            <w:r>
              <w:rPr>
                <w:rFonts w:ascii="宋体" w:hAnsi="宋体" w:hint="eastAsia"/>
              </w:rPr>
              <w:t>7</w:t>
            </w:r>
            <w:r>
              <w:rPr>
                <w:rFonts w:ascii="宋体" w:hAnsi="宋体" w:hint="eastAsia"/>
              </w:rPr>
              <w:t>%</w:t>
            </w:r>
          </w:p>
        </w:tc>
      </w:tr>
    </w:tbl>
    <w:p w:rsidR="009D736C" w:rsidRDefault="009D736C">
      <w:pPr>
        <w:pStyle w:val="XBRLTitle3"/>
        <w:spacing w:before="156" w:line="360" w:lineRule="auto"/>
        <w:ind w:left="624"/>
      </w:pPr>
      <w:bookmarkStart w:id="76" w:name="_Toc514088249"/>
      <w:bookmarkStart w:id="77" w:name="_Toc480465419"/>
      <w:bookmarkStart w:id="78"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6"/>
      <w:bookmarkEnd w:id="77"/>
      <w:bookmarkEnd w:id="78"/>
      <w:r>
        <w:rPr>
          <w:rFonts w:hAnsi="宋体" w:hint="eastAsia"/>
        </w:rPr>
        <w:t xml:space="preserve"> </w:t>
      </w:r>
    </w:p>
    <w:p w:rsidR="009D736C" w:rsidRDefault="009D736C">
      <w:pPr>
        <w:spacing w:line="360" w:lineRule="auto"/>
        <w:jc w:val="left"/>
        <w:divId w:val="523986006"/>
        <w:rPr>
          <w:rFonts w:hint="eastAsia"/>
        </w:rPr>
      </w:pPr>
      <w:bookmarkStart w:id="79" w:name="m07_04_07_09_tab"/>
      <w:bookmarkStart w:id="80" w:name="m07_04_07_09"/>
      <w:bookmarkStart w:id="81"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9D736C" w:rsidRDefault="009D736C">
      <w:pPr>
        <w:spacing w:line="360" w:lineRule="auto"/>
        <w:divId w:val="523986006"/>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2016</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bookmarkEnd w:id="79"/>
      <w:bookmarkEnd w:id="80"/>
    </w:p>
    <w:p w:rsidR="009D736C" w:rsidRDefault="009D736C">
      <w:pPr>
        <w:pStyle w:val="XBRLTitle1"/>
        <w:spacing w:before="156"/>
        <w:ind w:left="425"/>
      </w:pPr>
      <w:bookmarkStart w:id="82" w:name="_Toc514088250"/>
      <w:bookmarkStart w:id="83" w:name="_Toc480465420"/>
      <w:bookmarkStart w:id="84" w:name="_Toc448480289"/>
      <w:bookmarkStart w:id="85" w:name="_Toc438654077"/>
      <w:bookmarkStart w:id="86" w:name="_Toc456107123"/>
      <w:bookmarkStart w:id="87" w:name="_Toc459213769"/>
      <w:bookmarkStart w:id="88" w:name="_Toc513542651"/>
      <w:bookmarkStart w:id="89" w:name="_Toc512696255"/>
      <w:bookmarkStart w:id="90" w:name="_Toc512612258"/>
      <w:bookmarkStart w:id="91" w:name="_Toc512612082"/>
      <w:bookmarkStart w:id="92" w:name="_Toc512611286"/>
      <w:r>
        <w:rPr>
          <w:rFonts w:hint="eastAsia"/>
        </w:rPr>
        <w:t>管理人报</w:t>
      </w:r>
      <w:r>
        <w:rPr>
          <w:rFonts w:hint="eastAsia"/>
        </w:rPr>
        <w:t>告</w:t>
      </w:r>
      <w:bookmarkEnd w:id="82"/>
      <w:bookmarkEnd w:id="83"/>
      <w:bookmarkEnd w:id="84"/>
      <w:bookmarkEnd w:id="85"/>
      <w:bookmarkEnd w:id="86"/>
      <w:bookmarkEnd w:id="87"/>
      <w:bookmarkEnd w:id="88"/>
      <w:bookmarkEnd w:id="89"/>
      <w:bookmarkEnd w:id="90"/>
      <w:bookmarkEnd w:id="91"/>
      <w:bookmarkEnd w:id="92"/>
    </w:p>
    <w:p w:rsidR="009D736C" w:rsidRDefault="009D736C">
      <w:pPr>
        <w:pStyle w:val="XBRLTitle2"/>
        <w:spacing w:before="156" w:line="360" w:lineRule="auto"/>
        <w:ind w:left="454"/>
        <w:rPr>
          <w:rFonts w:hint="eastAsia"/>
        </w:rPr>
      </w:pPr>
      <w:bookmarkStart w:id="93" w:name="_Toc514088251"/>
      <w:bookmarkStart w:id="94" w:name="_Toc480465421"/>
      <w:bookmarkStart w:id="95" w:name="_Toc448480290"/>
      <w:bookmarkStart w:id="96" w:name="_Toc438654078"/>
      <w:bookmarkStart w:id="97" w:name="_Toc456107124"/>
      <w:bookmarkStart w:id="98" w:name="_Toc459213770"/>
      <w:bookmarkStart w:id="99" w:name="_Toc513542652"/>
      <w:bookmarkStart w:id="100" w:name="_Toc512696256"/>
      <w:bookmarkStart w:id="101" w:name="_Toc512612259"/>
      <w:bookmarkStart w:id="102" w:name="_Toc512612083"/>
      <w:bookmarkStart w:id="103" w:name="_Toc512611287"/>
      <w:r>
        <w:rPr>
          <w:rFonts w:eastAsia="宋体" w:hint="eastAsia"/>
        </w:rPr>
        <w:t>基金经理（或基金经理小组）简</w:t>
      </w:r>
      <w:r>
        <w:rPr>
          <w:rFonts w:eastAsia="宋体" w:hint="eastAsia"/>
        </w:rPr>
        <w:t>介</w:t>
      </w:r>
      <w:bookmarkEnd w:id="93"/>
      <w:bookmarkEnd w:id="94"/>
      <w:bookmarkEnd w:id="95"/>
      <w:bookmarkEnd w:id="96"/>
      <w:bookmarkEnd w:id="97"/>
      <w:bookmarkEnd w:id="98"/>
      <w:bookmarkEnd w:id="99"/>
      <w:bookmarkEnd w:id="100"/>
      <w:bookmarkEnd w:id="101"/>
      <w:bookmarkEnd w:id="102"/>
      <w:bookmarkEnd w:id="103"/>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9766545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snapToGrid w:val="0"/>
              <w:jc w:val="center"/>
              <w:rPr>
                <w:rFonts w:hint="eastAsia"/>
              </w:rPr>
            </w:pPr>
            <w:bookmarkStart w:id="104" w:name="m04_02"/>
            <w:bookmarkEnd w:id="10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9766545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736C" w:rsidRDefault="009D73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36C" w:rsidRDefault="009D736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36C" w:rsidRDefault="009D736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36C" w:rsidRDefault="009D736C">
            <w:pPr>
              <w:widowControl/>
              <w:jc w:val="left"/>
            </w:pPr>
          </w:p>
        </w:tc>
      </w:tr>
      <w:tr w:rsidR="00000000">
        <w:trPr>
          <w:divId w:val="19766545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szCs w:val="24"/>
                <w:lang w:eastAsia="zh-Hans"/>
              </w:rPr>
              <w:t>赵隆</w:t>
            </w:r>
            <w:r>
              <w:rPr>
                <w:rFonts w:ascii="宋体" w:hAnsi="宋体" w:hint="eastAsia"/>
                <w:szCs w:val="24"/>
                <w:lang w:eastAsia="zh-Hans"/>
              </w:rPr>
              <w:t>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szCs w:val="24"/>
                <w:lang w:eastAsia="zh-Hans"/>
              </w:rPr>
              <w:t>赵隆隆先生曾任上海申银万国证券研究所有限公司制造业研究部资深高级分析师。</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月起加入摩根基金管理（中国）有限公司（原上投摩根基金管理有限公司），历任行业专家、行业专家兼研究组长、行业专家兼研究组长</w:t>
            </w:r>
            <w:r>
              <w:rPr>
                <w:rFonts w:ascii="宋体" w:hAnsi="宋体" w:hint="eastAsia"/>
                <w:szCs w:val="24"/>
                <w:lang w:eastAsia="zh-Hans"/>
              </w:rPr>
              <w:t>/</w:t>
            </w:r>
            <w:r>
              <w:rPr>
                <w:rFonts w:ascii="宋体" w:hAnsi="宋体" w:hint="eastAsia"/>
                <w:szCs w:val="24"/>
                <w:lang w:eastAsia="zh-Hans"/>
              </w:rPr>
              <w:t>基金经理助理，现任基金经理</w:t>
            </w:r>
            <w:r>
              <w:rPr>
                <w:rFonts w:ascii="宋体" w:hAnsi="宋体" w:hint="eastAsia"/>
                <w:szCs w:val="24"/>
                <w:lang w:eastAsia="zh-Hans"/>
              </w:rPr>
              <w:t>。</w:t>
            </w:r>
          </w:p>
        </w:tc>
      </w:tr>
    </w:tbl>
    <w:p w:rsidR="009D736C" w:rsidRDefault="009D736C">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9D736C" w:rsidRDefault="009D736C">
      <w:pPr>
        <w:pStyle w:val="XBRLTitle2"/>
        <w:spacing w:before="156" w:line="360" w:lineRule="auto"/>
        <w:ind w:left="454"/>
      </w:pPr>
      <w:bookmarkStart w:id="105" w:name="m402"/>
      <w:bookmarkStart w:id="106" w:name="_Toc514088253"/>
      <w:bookmarkStart w:id="107" w:name="_Toc480465423"/>
      <w:bookmarkStart w:id="108" w:name="_Toc448480292"/>
      <w:bookmarkStart w:id="109" w:name="_Toc438654080"/>
      <w:bookmarkStart w:id="110" w:name="_Toc456107126"/>
      <w:bookmarkStart w:id="111" w:name="_Toc459213772"/>
      <w:bookmarkStart w:id="112" w:name="_Toc513542654"/>
      <w:bookmarkStart w:id="113" w:name="_Toc512696258"/>
      <w:bookmarkStart w:id="114" w:name="_Toc512612261"/>
      <w:bookmarkStart w:id="115" w:name="_Toc512612085"/>
      <w:bookmarkStart w:id="116" w:name="_Toc512611289"/>
      <w:bookmarkStart w:id="117" w:name="m403"/>
      <w:bookmarkEnd w:id="105"/>
      <w:r>
        <w:rPr>
          <w:rFonts w:eastAsia="宋体" w:hint="eastAsia"/>
        </w:rPr>
        <w:t>报告期内本基金运作遵规守信情况说</w:t>
      </w:r>
      <w:r>
        <w:rPr>
          <w:rFonts w:eastAsia="宋体" w:hint="eastAsia"/>
        </w:rPr>
        <w:t>明</w:t>
      </w:r>
      <w:bookmarkEnd w:id="106"/>
      <w:bookmarkEnd w:id="107"/>
      <w:bookmarkEnd w:id="108"/>
      <w:bookmarkEnd w:id="109"/>
      <w:bookmarkEnd w:id="110"/>
      <w:bookmarkEnd w:id="111"/>
      <w:bookmarkEnd w:id="112"/>
      <w:bookmarkEnd w:id="113"/>
      <w:bookmarkEnd w:id="114"/>
      <w:bookmarkEnd w:id="115"/>
      <w:bookmarkEnd w:id="116"/>
      <w:r>
        <w:rPr>
          <w:rFonts w:eastAsia="宋体" w:hint="eastAsia"/>
        </w:rPr>
        <w:t xml:space="preserve"> </w:t>
      </w:r>
    </w:p>
    <w:p w:rsidR="009D736C" w:rsidRDefault="009D736C">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9D736C" w:rsidRDefault="009D736C">
      <w:pPr>
        <w:pStyle w:val="XBRLTitle2"/>
        <w:spacing w:before="156" w:line="360" w:lineRule="auto"/>
        <w:ind w:left="454"/>
      </w:pPr>
      <w:bookmarkStart w:id="118" w:name="_Toc514088254"/>
      <w:bookmarkStart w:id="119" w:name="_Toc480465424"/>
      <w:bookmarkStart w:id="120" w:name="_Toc448480293"/>
      <w:bookmarkStart w:id="121" w:name="_Toc438654081"/>
      <w:bookmarkStart w:id="122" w:name="_Toc456107127"/>
      <w:bookmarkStart w:id="123" w:name="_Toc459213773"/>
      <w:bookmarkStart w:id="124" w:name="_Toc513542655"/>
      <w:bookmarkStart w:id="125" w:name="_Toc512696259"/>
      <w:bookmarkStart w:id="126" w:name="_Toc512612262"/>
      <w:bookmarkStart w:id="127" w:name="_Toc512612086"/>
      <w:bookmarkStart w:id="128" w:name="_Toc512611290"/>
      <w:bookmarkEnd w:id="117"/>
      <w:r>
        <w:rPr>
          <w:rFonts w:eastAsia="宋体" w:hint="eastAsia"/>
        </w:rPr>
        <w:t>公平交易专项说</w:t>
      </w:r>
      <w:r>
        <w:rPr>
          <w:rFonts w:eastAsia="宋体" w:hint="eastAsia"/>
        </w:rPr>
        <w:t>明</w:t>
      </w:r>
      <w:bookmarkEnd w:id="118"/>
      <w:bookmarkEnd w:id="119"/>
      <w:bookmarkEnd w:id="120"/>
      <w:bookmarkEnd w:id="121"/>
      <w:bookmarkEnd w:id="122"/>
      <w:bookmarkEnd w:id="123"/>
      <w:bookmarkEnd w:id="124"/>
      <w:bookmarkEnd w:id="125"/>
      <w:bookmarkEnd w:id="126"/>
      <w:bookmarkEnd w:id="127"/>
      <w:bookmarkEnd w:id="128"/>
      <w:r>
        <w:rPr>
          <w:rFonts w:eastAsia="宋体" w:hint="eastAsia"/>
        </w:rPr>
        <w:t xml:space="preserve"> </w:t>
      </w:r>
    </w:p>
    <w:p w:rsidR="009D736C" w:rsidRDefault="009D736C">
      <w:pPr>
        <w:pStyle w:val="XBRLTitle3"/>
        <w:spacing w:before="156" w:line="360" w:lineRule="auto"/>
        <w:ind w:left="624"/>
        <w:rPr>
          <w:rFonts w:hint="eastAsia"/>
        </w:rPr>
      </w:pPr>
      <w:bookmarkStart w:id="129" w:name="_Toc514088255"/>
      <w:bookmarkStart w:id="130" w:name="_Toc480465425"/>
      <w:bookmarkStart w:id="131" w:name="_Toc513542656"/>
      <w:bookmarkStart w:id="132" w:name="m404_01_0570"/>
      <w:r>
        <w:rPr>
          <w:rFonts w:hAnsi="宋体" w:hint="eastAsia"/>
        </w:rPr>
        <w:t>公平交易制度的执行情</w:t>
      </w:r>
      <w:r>
        <w:rPr>
          <w:rFonts w:hAnsi="宋体" w:hint="eastAsia"/>
        </w:rPr>
        <w:t>况</w:t>
      </w:r>
      <w:bookmarkEnd w:id="129"/>
      <w:r>
        <w:rPr>
          <w:rFonts w:hAnsi="宋体" w:hint="eastAsia"/>
        </w:rPr>
        <w:t xml:space="preserve"> </w:t>
      </w:r>
    </w:p>
    <w:p w:rsidR="009D736C" w:rsidRDefault="009D736C">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9D736C" w:rsidRDefault="009D736C">
      <w:pPr>
        <w:pStyle w:val="XBRLTitle3"/>
        <w:spacing w:before="156" w:line="360" w:lineRule="auto"/>
        <w:ind w:left="624"/>
      </w:pPr>
      <w:bookmarkStart w:id="133" w:name="_Toc514088256"/>
      <w:bookmarkStart w:id="134" w:name="_Toc480465426"/>
      <w:bookmarkStart w:id="135" w:name="_Toc513542657"/>
      <w:bookmarkStart w:id="136" w:name="m404_01_0578"/>
      <w:r>
        <w:rPr>
          <w:rFonts w:hAnsi="宋体" w:hint="eastAsia"/>
        </w:rPr>
        <w:t>异常交易行为的专项说</w:t>
      </w:r>
      <w:r>
        <w:rPr>
          <w:rFonts w:hAnsi="宋体" w:hint="eastAsia"/>
        </w:rPr>
        <w:t>明</w:t>
      </w:r>
      <w:bookmarkEnd w:id="133"/>
      <w:r>
        <w:rPr>
          <w:rFonts w:hAnsi="宋体" w:hint="eastAsia"/>
        </w:rPr>
        <w:t xml:space="preserve"> </w:t>
      </w:r>
    </w:p>
    <w:p w:rsidR="009D736C" w:rsidRDefault="009D736C">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9D736C" w:rsidRDefault="009D736C">
      <w:pPr>
        <w:pStyle w:val="XBRLTitle2"/>
        <w:spacing w:before="156" w:line="360" w:lineRule="auto"/>
        <w:ind w:left="454"/>
      </w:pPr>
      <w:bookmarkStart w:id="137" w:name="_Toc514088257"/>
      <w:bookmarkStart w:id="138" w:name="_Toc480465427"/>
      <w:bookmarkStart w:id="139" w:name="_Toc448480294"/>
      <w:bookmarkStart w:id="140" w:name="_Toc438654082"/>
      <w:bookmarkStart w:id="141" w:name="_Toc456107128"/>
      <w:bookmarkStart w:id="142" w:name="_Toc459213774"/>
      <w:bookmarkStart w:id="143" w:name="_Toc513542658"/>
      <w:bookmarkStart w:id="144" w:name="_Toc512696260"/>
      <w:bookmarkStart w:id="145" w:name="_Toc512612263"/>
      <w:bookmarkStart w:id="146" w:name="_Toc512612087"/>
      <w:bookmarkStart w:id="147" w:name="_Toc512611291"/>
      <w:r>
        <w:rPr>
          <w:rFonts w:eastAsia="宋体" w:hint="eastAsia"/>
        </w:rPr>
        <w:t>报告期内基金的投资策略和业绩表现说</w:t>
      </w:r>
      <w:r>
        <w:rPr>
          <w:rFonts w:eastAsia="宋体" w:hint="eastAsia"/>
        </w:rPr>
        <w:t>明</w:t>
      </w:r>
      <w:bookmarkEnd w:id="137"/>
      <w:bookmarkEnd w:id="138"/>
      <w:bookmarkEnd w:id="139"/>
      <w:bookmarkEnd w:id="140"/>
      <w:bookmarkEnd w:id="141"/>
      <w:bookmarkEnd w:id="142"/>
      <w:bookmarkEnd w:id="143"/>
      <w:bookmarkEnd w:id="144"/>
      <w:bookmarkEnd w:id="145"/>
      <w:bookmarkEnd w:id="146"/>
      <w:bookmarkEnd w:id="147"/>
      <w:r>
        <w:rPr>
          <w:rFonts w:eastAsia="宋体" w:hint="eastAsia"/>
        </w:rPr>
        <w:t xml:space="preserve"> </w:t>
      </w:r>
    </w:p>
    <w:p w:rsidR="009D736C" w:rsidRDefault="009D736C">
      <w:pPr>
        <w:pStyle w:val="XBRLTitle3"/>
        <w:spacing w:before="156" w:line="360" w:lineRule="auto"/>
        <w:ind w:left="624"/>
        <w:rPr>
          <w:rFonts w:hint="eastAsia"/>
        </w:rPr>
      </w:pPr>
      <w:bookmarkStart w:id="148" w:name="_Toc51408825711"/>
      <w:r>
        <w:rPr>
          <w:rFonts w:hAnsi="宋体" w:hint="eastAsia"/>
        </w:rPr>
        <w:t>报告期内基金投资策略和运作分</w:t>
      </w:r>
      <w:r>
        <w:rPr>
          <w:rFonts w:hAnsi="宋体" w:hint="eastAsia"/>
        </w:rPr>
        <w:t>析</w:t>
      </w:r>
      <w:bookmarkEnd w:id="130"/>
      <w:bookmarkEnd w:id="131"/>
      <w:bookmarkEnd w:id="148"/>
      <w:r>
        <w:rPr>
          <w:rFonts w:hAnsi="宋体" w:hint="eastAsia"/>
        </w:rPr>
        <w:t xml:space="preserve"> </w:t>
      </w:r>
    </w:p>
    <w:p w:rsidR="009D736C" w:rsidRDefault="009D736C">
      <w:pPr>
        <w:spacing w:line="360" w:lineRule="auto"/>
        <w:ind w:firstLineChars="200" w:firstLine="420"/>
        <w:divId w:val="1025667105"/>
        <w:rPr>
          <w:rFonts w:hint="eastAsia"/>
        </w:rPr>
      </w:pPr>
      <w:r>
        <w:rPr>
          <w:rFonts w:ascii="宋体" w:hAnsi="宋体" w:hint="eastAsia"/>
          <w:color w:val="000000"/>
          <w:kern w:val="0"/>
          <w:szCs w:val="21"/>
          <w:lang w:eastAsia="zh-Hans"/>
        </w:rPr>
        <w:t>回顾</w:t>
      </w:r>
      <w:r>
        <w:rPr>
          <w:rFonts w:ascii="宋体" w:hAnsi="宋体" w:hint="eastAsia"/>
          <w:color w:val="000000"/>
          <w:kern w:val="0"/>
          <w:szCs w:val="21"/>
          <w:lang w:eastAsia="zh-Hans"/>
        </w:rPr>
        <w:t>2026</w:t>
      </w:r>
      <w:r>
        <w:rPr>
          <w:rFonts w:ascii="宋体" w:hAnsi="宋体" w:hint="eastAsia"/>
          <w:color w:val="000000"/>
          <w:kern w:val="0"/>
          <w:szCs w:val="21"/>
          <w:lang w:eastAsia="zh-Hans"/>
        </w:rPr>
        <w:t>年二季度，</w:t>
      </w:r>
      <w:r>
        <w:rPr>
          <w:rFonts w:ascii="宋体" w:hAnsi="宋体" w:hint="eastAsia"/>
          <w:color w:val="000000"/>
          <w:kern w:val="0"/>
          <w:szCs w:val="21"/>
          <w:lang w:eastAsia="zh-Hans"/>
        </w:rPr>
        <w:t>A</w:t>
      </w:r>
      <w:r>
        <w:rPr>
          <w:rFonts w:ascii="宋体" w:hAnsi="宋体" w:hint="eastAsia"/>
          <w:color w:val="000000"/>
          <w:kern w:val="0"/>
          <w:szCs w:val="21"/>
          <w:lang w:eastAsia="zh-Hans"/>
        </w:rPr>
        <w:t>股市场在经历一季度中东地缘冲突后迎来修复性行情，但结构性</w:t>
      </w:r>
      <w:r>
        <w:rPr>
          <w:rFonts w:ascii="宋体" w:hAnsi="宋体" w:hint="eastAsia"/>
          <w:color w:val="000000"/>
          <w:kern w:val="0"/>
          <w:szCs w:val="21"/>
          <w:lang w:eastAsia="zh-Hans"/>
        </w:rPr>
        <w:t>K</w:t>
      </w:r>
      <w:r>
        <w:rPr>
          <w:rFonts w:ascii="宋体" w:hAnsi="宋体" w:hint="eastAsia"/>
          <w:color w:val="000000"/>
          <w:kern w:val="0"/>
          <w:szCs w:val="21"/>
          <w:lang w:eastAsia="zh-Hans"/>
        </w:rPr>
        <w:t>型分化极致演绎，港股市场则面临流动性、基本面等诸多问题，表现不佳。宽基指数也分化明显，上证指数上涨</w:t>
      </w:r>
      <w:r>
        <w:rPr>
          <w:rFonts w:ascii="宋体" w:hAnsi="宋体" w:hint="eastAsia"/>
          <w:color w:val="000000"/>
          <w:kern w:val="0"/>
          <w:szCs w:val="21"/>
          <w:lang w:eastAsia="zh-Hans"/>
        </w:rPr>
        <w:t>5.2%</w:t>
      </w:r>
      <w:r>
        <w:rPr>
          <w:rFonts w:ascii="宋体" w:hAnsi="宋体" w:hint="eastAsia"/>
          <w:color w:val="000000"/>
          <w:kern w:val="0"/>
          <w:szCs w:val="21"/>
          <w:lang w:eastAsia="zh-Hans"/>
        </w:rPr>
        <w:t>，深证成指上涨</w:t>
      </w:r>
      <w:r>
        <w:rPr>
          <w:rFonts w:ascii="宋体" w:hAnsi="宋体" w:hint="eastAsia"/>
          <w:color w:val="000000"/>
          <w:kern w:val="0"/>
          <w:szCs w:val="21"/>
          <w:lang w:eastAsia="zh-Hans"/>
        </w:rPr>
        <w:t>20.2%</w:t>
      </w:r>
      <w:r>
        <w:rPr>
          <w:rFonts w:ascii="宋体" w:hAnsi="宋体" w:hint="eastAsia"/>
          <w:color w:val="000000"/>
          <w:kern w:val="0"/>
          <w:szCs w:val="21"/>
          <w:lang w:eastAsia="zh-Hans"/>
        </w:rPr>
        <w:t>，香港恒生指数下跌</w:t>
      </w:r>
      <w:r>
        <w:rPr>
          <w:rFonts w:ascii="宋体" w:hAnsi="宋体" w:hint="eastAsia"/>
          <w:color w:val="000000"/>
          <w:kern w:val="0"/>
          <w:szCs w:val="21"/>
          <w:lang w:eastAsia="zh-Hans"/>
        </w:rPr>
        <w:t>7.69%</w:t>
      </w:r>
      <w:r>
        <w:rPr>
          <w:rFonts w:ascii="宋体" w:hAnsi="宋体" w:hint="eastAsia"/>
          <w:color w:val="000000"/>
          <w:kern w:val="0"/>
          <w:szCs w:val="21"/>
          <w:lang w:eastAsia="zh-Hans"/>
        </w:rPr>
        <w:t>（上半年恒指下跌</w:t>
      </w:r>
      <w:r>
        <w:rPr>
          <w:rFonts w:ascii="宋体" w:hAnsi="宋体" w:hint="eastAsia"/>
          <w:color w:val="000000"/>
          <w:kern w:val="0"/>
          <w:szCs w:val="21"/>
          <w:lang w:eastAsia="zh-Hans"/>
        </w:rPr>
        <w:t>10.7%</w:t>
      </w:r>
      <w:r>
        <w:rPr>
          <w:rFonts w:ascii="宋体" w:hAnsi="宋体" w:hint="eastAsia"/>
          <w:color w:val="000000"/>
          <w:kern w:val="0"/>
          <w:szCs w:val="21"/>
          <w:lang w:eastAsia="zh-Hans"/>
        </w:rPr>
        <w:t>，恒科下跌</w:t>
      </w:r>
      <w:r>
        <w:rPr>
          <w:rFonts w:ascii="宋体" w:hAnsi="宋体" w:hint="eastAsia"/>
          <w:color w:val="000000"/>
          <w:kern w:val="0"/>
          <w:szCs w:val="21"/>
          <w:lang w:eastAsia="zh-Hans"/>
        </w:rPr>
        <w:t>18.9%</w:t>
      </w:r>
      <w:r>
        <w:rPr>
          <w:rFonts w:ascii="宋体" w:hAnsi="宋体" w:hint="eastAsia"/>
          <w:color w:val="000000"/>
          <w:kern w:val="0"/>
          <w:szCs w:val="21"/>
          <w:lang w:eastAsia="zh-Hans"/>
        </w:rPr>
        <w:t>）。分板块来看，</w:t>
      </w:r>
      <w:r>
        <w:rPr>
          <w:rFonts w:ascii="宋体" w:hAnsi="宋体" w:hint="eastAsia"/>
          <w:color w:val="000000"/>
          <w:kern w:val="0"/>
          <w:szCs w:val="21"/>
          <w:lang w:eastAsia="zh-Hans"/>
        </w:rPr>
        <w:t>A</w:t>
      </w:r>
      <w:r>
        <w:rPr>
          <w:rFonts w:ascii="宋体" w:hAnsi="宋体" w:hint="eastAsia"/>
          <w:color w:val="000000"/>
          <w:kern w:val="0"/>
          <w:szCs w:val="21"/>
          <w:lang w:eastAsia="zh-Hans"/>
        </w:rPr>
        <w:t>股科创板、创业板指数表现强势，二季度科创</w:t>
      </w:r>
      <w:r>
        <w:rPr>
          <w:rFonts w:ascii="宋体" w:hAnsi="宋体" w:hint="eastAsia"/>
          <w:color w:val="000000"/>
          <w:kern w:val="0"/>
          <w:szCs w:val="21"/>
          <w:lang w:eastAsia="zh-Hans"/>
        </w:rPr>
        <w:t>50</w:t>
      </w:r>
      <w:r>
        <w:rPr>
          <w:rFonts w:ascii="宋体" w:hAnsi="宋体" w:hint="eastAsia"/>
          <w:color w:val="000000"/>
          <w:kern w:val="0"/>
          <w:szCs w:val="21"/>
          <w:lang w:eastAsia="zh-Hans"/>
        </w:rPr>
        <w:t>上涨</w:t>
      </w:r>
      <w:r>
        <w:rPr>
          <w:rFonts w:ascii="宋体" w:hAnsi="宋体" w:hint="eastAsia"/>
          <w:color w:val="000000"/>
          <w:kern w:val="0"/>
          <w:szCs w:val="21"/>
          <w:lang w:eastAsia="zh-Hans"/>
        </w:rPr>
        <w:t>75.7%</w:t>
      </w:r>
      <w:r>
        <w:rPr>
          <w:rFonts w:ascii="宋体" w:hAnsi="宋体" w:hint="eastAsia"/>
          <w:color w:val="000000"/>
          <w:kern w:val="0"/>
          <w:szCs w:val="21"/>
          <w:lang w:eastAsia="zh-Hans"/>
        </w:rPr>
        <w:t>，创业板指上涨</w:t>
      </w:r>
      <w:r>
        <w:rPr>
          <w:rFonts w:ascii="宋体" w:hAnsi="宋体" w:hint="eastAsia"/>
          <w:color w:val="000000"/>
          <w:kern w:val="0"/>
          <w:szCs w:val="21"/>
          <w:lang w:eastAsia="zh-Hans"/>
        </w:rPr>
        <w:t>36.4%</w:t>
      </w:r>
      <w:r>
        <w:rPr>
          <w:rFonts w:ascii="宋体" w:hAnsi="宋体" w:hint="eastAsia"/>
          <w:color w:val="000000"/>
          <w:kern w:val="0"/>
          <w:szCs w:val="21"/>
          <w:lang w:eastAsia="zh-Hans"/>
        </w:rPr>
        <w:t>，北证</w:t>
      </w:r>
      <w:r>
        <w:rPr>
          <w:rFonts w:ascii="宋体" w:hAnsi="宋体" w:hint="eastAsia"/>
          <w:color w:val="000000"/>
          <w:kern w:val="0"/>
          <w:szCs w:val="21"/>
          <w:lang w:eastAsia="zh-Hans"/>
        </w:rPr>
        <w:t>50</w:t>
      </w:r>
      <w:r>
        <w:rPr>
          <w:rFonts w:ascii="宋体" w:hAnsi="宋体" w:hint="eastAsia"/>
          <w:color w:val="000000"/>
          <w:kern w:val="0"/>
          <w:szCs w:val="21"/>
          <w:lang w:eastAsia="zh-Hans"/>
        </w:rPr>
        <w:t>上涨仅</w:t>
      </w:r>
      <w:r>
        <w:rPr>
          <w:rFonts w:ascii="宋体" w:hAnsi="宋体" w:hint="eastAsia"/>
          <w:color w:val="000000"/>
          <w:kern w:val="0"/>
          <w:szCs w:val="21"/>
          <w:lang w:eastAsia="zh-Hans"/>
        </w:rPr>
        <w:t>0.23%</w:t>
      </w:r>
      <w:r>
        <w:rPr>
          <w:rFonts w:ascii="宋体" w:hAnsi="宋体" w:hint="eastAsia"/>
          <w:color w:val="000000"/>
          <w:kern w:val="0"/>
          <w:szCs w:val="21"/>
          <w:lang w:eastAsia="zh-Hans"/>
        </w:rPr>
        <w:t>。中证新能指数下跌</w:t>
      </w:r>
      <w:r>
        <w:rPr>
          <w:rFonts w:ascii="宋体" w:hAnsi="宋体" w:hint="eastAsia"/>
          <w:color w:val="000000"/>
          <w:kern w:val="0"/>
          <w:szCs w:val="21"/>
          <w:lang w:eastAsia="zh-Hans"/>
        </w:rPr>
        <w:t>0.71%</w:t>
      </w:r>
      <w:r>
        <w:rPr>
          <w:rFonts w:ascii="宋体" w:hAnsi="宋体" w:hint="eastAsia"/>
          <w:color w:val="000000"/>
          <w:kern w:val="0"/>
          <w:szCs w:val="21"/>
          <w:lang w:eastAsia="zh-Hans"/>
        </w:rPr>
        <w:t>，红利指数下跌</w:t>
      </w:r>
      <w:r>
        <w:rPr>
          <w:rFonts w:ascii="宋体" w:hAnsi="宋体" w:hint="eastAsia"/>
          <w:color w:val="000000"/>
          <w:kern w:val="0"/>
          <w:szCs w:val="21"/>
          <w:lang w:eastAsia="zh-Hans"/>
        </w:rPr>
        <w:t>11.9%</w:t>
      </w:r>
      <w:r>
        <w:rPr>
          <w:rFonts w:ascii="宋体" w:hAnsi="宋体" w:hint="eastAsia"/>
          <w:color w:val="000000"/>
          <w:kern w:val="0"/>
          <w:szCs w:val="21"/>
          <w:lang w:eastAsia="zh-Hans"/>
        </w:rPr>
        <w:t>。</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行业板块也是极致分化，二季度仅</w:t>
      </w:r>
      <w:r>
        <w:rPr>
          <w:rFonts w:ascii="宋体" w:hAnsi="宋体" w:hint="eastAsia"/>
          <w:color w:val="000000"/>
          <w:kern w:val="0"/>
          <w:szCs w:val="21"/>
          <w:lang w:eastAsia="zh-Hans"/>
        </w:rPr>
        <w:t>6</w:t>
      </w:r>
      <w:r>
        <w:rPr>
          <w:rFonts w:ascii="宋体" w:hAnsi="宋体" w:hint="eastAsia"/>
          <w:color w:val="000000"/>
          <w:kern w:val="0"/>
          <w:szCs w:val="21"/>
          <w:lang w:eastAsia="zh-Hans"/>
        </w:rPr>
        <w:t>个行业取得正收益，上涨股票占比仅约三成。涨幅前三的行业（申万一级行业分类）为电子（</w:t>
      </w:r>
      <w:r>
        <w:rPr>
          <w:rFonts w:ascii="宋体" w:hAnsi="宋体" w:hint="eastAsia"/>
          <w:color w:val="000000"/>
          <w:kern w:val="0"/>
          <w:szCs w:val="21"/>
          <w:lang w:eastAsia="zh-Hans"/>
        </w:rPr>
        <w:t>+90.9%</w:t>
      </w:r>
      <w:r>
        <w:rPr>
          <w:rFonts w:ascii="宋体" w:hAnsi="宋体" w:hint="eastAsia"/>
          <w:color w:val="000000"/>
          <w:kern w:val="0"/>
          <w:szCs w:val="21"/>
          <w:lang w:eastAsia="zh-Hans"/>
        </w:rPr>
        <w:t>）、通信（</w:t>
      </w:r>
      <w:r>
        <w:rPr>
          <w:rFonts w:ascii="宋体" w:hAnsi="宋体" w:hint="eastAsia"/>
          <w:color w:val="000000"/>
          <w:kern w:val="0"/>
          <w:szCs w:val="21"/>
          <w:lang w:eastAsia="zh-Hans"/>
        </w:rPr>
        <w:t>+63.8%</w:t>
      </w:r>
      <w:r>
        <w:rPr>
          <w:rFonts w:ascii="宋体" w:hAnsi="宋体" w:hint="eastAsia"/>
          <w:color w:val="000000"/>
          <w:kern w:val="0"/>
          <w:szCs w:val="21"/>
          <w:lang w:eastAsia="zh-Hans"/>
        </w:rPr>
        <w:t>）、建筑材料（</w:t>
      </w:r>
      <w:r>
        <w:rPr>
          <w:rFonts w:ascii="宋体" w:hAnsi="宋体" w:hint="eastAsia"/>
          <w:color w:val="000000"/>
          <w:kern w:val="0"/>
          <w:szCs w:val="21"/>
          <w:lang w:eastAsia="zh-Hans"/>
        </w:rPr>
        <w:t>+35.2%</w:t>
      </w:r>
      <w:r>
        <w:rPr>
          <w:rFonts w:ascii="宋体" w:hAnsi="宋体" w:hint="eastAsia"/>
          <w:color w:val="000000"/>
          <w:kern w:val="0"/>
          <w:szCs w:val="21"/>
          <w:lang w:eastAsia="zh-Hans"/>
        </w:rPr>
        <w:t>），表现最差的三个行业为石油石化（</w:t>
      </w:r>
      <w:r>
        <w:rPr>
          <w:rFonts w:ascii="宋体" w:hAnsi="宋体" w:hint="eastAsia"/>
          <w:color w:val="000000"/>
          <w:kern w:val="0"/>
          <w:szCs w:val="21"/>
          <w:lang w:eastAsia="zh-Hans"/>
        </w:rPr>
        <w:t>-22.2%</w:t>
      </w:r>
      <w:r>
        <w:rPr>
          <w:rFonts w:ascii="宋体" w:hAnsi="宋体" w:hint="eastAsia"/>
          <w:color w:val="000000"/>
          <w:kern w:val="0"/>
          <w:szCs w:val="21"/>
          <w:lang w:eastAsia="zh-Hans"/>
        </w:rPr>
        <w:t>）、农林牧渔（</w:t>
      </w:r>
      <w:r>
        <w:rPr>
          <w:rFonts w:ascii="宋体" w:hAnsi="宋体" w:hint="eastAsia"/>
          <w:color w:val="000000"/>
          <w:kern w:val="0"/>
          <w:szCs w:val="21"/>
          <w:lang w:eastAsia="zh-Hans"/>
        </w:rPr>
        <w:t>-20.19%</w:t>
      </w:r>
      <w:r>
        <w:rPr>
          <w:rFonts w:ascii="宋体" w:hAnsi="宋体" w:hint="eastAsia"/>
          <w:color w:val="000000"/>
          <w:kern w:val="0"/>
          <w:szCs w:val="21"/>
          <w:lang w:eastAsia="zh-Hans"/>
        </w:rPr>
        <w:t>）、钢铁（</w:t>
      </w:r>
      <w:r>
        <w:rPr>
          <w:rFonts w:ascii="宋体" w:hAnsi="宋体" w:hint="eastAsia"/>
          <w:color w:val="000000"/>
          <w:kern w:val="0"/>
          <w:szCs w:val="21"/>
          <w:lang w:eastAsia="zh-Hans"/>
        </w:rPr>
        <w:t>-18.6%</w:t>
      </w:r>
      <w:r>
        <w:rPr>
          <w:rFonts w:ascii="宋体" w:hAnsi="宋体" w:hint="eastAsia"/>
          <w:color w:val="000000"/>
          <w:kern w:val="0"/>
          <w:szCs w:val="21"/>
          <w:lang w:eastAsia="zh-Hans"/>
        </w:rPr>
        <w:t>）。其中电力设备板块上涨</w:t>
      </w:r>
      <w:r>
        <w:rPr>
          <w:rFonts w:ascii="宋体" w:hAnsi="宋体" w:hint="eastAsia"/>
          <w:color w:val="000000"/>
          <w:kern w:val="0"/>
          <w:szCs w:val="21"/>
          <w:lang w:eastAsia="zh-Hans"/>
        </w:rPr>
        <w:t>0.46%</w:t>
      </w:r>
      <w:r>
        <w:rPr>
          <w:rFonts w:ascii="宋体" w:hAnsi="宋体" w:hint="eastAsia"/>
          <w:color w:val="000000"/>
          <w:kern w:val="0"/>
          <w:szCs w:val="21"/>
          <w:lang w:eastAsia="zh-Hans"/>
        </w:rPr>
        <w:t>，排名第六。全市场都在围绕着</w:t>
      </w:r>
      <w:r>
        <w:rPr>
          <w:rFonts w:ascii="宋体" w:hAnsi="宋体" w:hint="eastAsia"/>
          <w:color w:val="000000"/>
          <w:kern w:val="0"/>
          <w:szCs w:val="21"/>
          <w:lang w:eastAsia="zh-Hans"/>
        </w:rPr>
        <w:t>AI</w:t>
      </w:r>
      <w:r>
        <w:rPr>
          <w:rFonts w:ascii="宋体" w:hAnsi="宋体" w:hint="eastAsia"/>
          <w:color w:val="000000"/>
          <w:kern w:val="0"/>
          <w:szCs w:val="21"/>
          <w:lang w:eastAsia="zh-Hans"/>
        </w:rPr>
        <w:t>资本开支方向交易，尤其涨价链受到了极大关注。港股二季度</w:t>
      </w:r>
      <w:r>
        <w:rPr>
          <w:rFonts w:ascii="宋体" w:hAnsi="宋体" w:hint="eastAsia"/>
          <w:color w:val="000000"/>
          <w:kern w:val="0"/>
          <w:szCs w:val="21"/>
          <w:lang w:eastAsia="zh-Hans"/>
        </w:rPr>
        <w:t>30</w:t>
      </w:r>
      <w:r>
        <w:rPr>
          <w:rFonts w:ascii="宋体" w:hAnsi="宋体" w:hint="eastAsia"/>
          <w:color w:val="000000"/>
          <w:kern w:val="0"/>
          <w:szCs w:val="21"/>
          <w:lang w:eastAsia="zh-Hans"/>
        </w:rPr>
        <w:t>个行业（中信港股通指数）中仅</w:t>
      </w:r>
      <w:r>
        <w:rPr>
          <w:rFonts w:ascii="宋体" w:hAnsi="宋体" w:hint="eastAsia"/>
          <w:color w:val="000000"/>
          <w:kern w:val="0"/>
          <w:szCs w:val="21"/>
          <w:lang w:eastAsia="zh-Hans"/>
        </w:rPr>
        <w:t>5</w:t>
      </w:r>
      <w:r>
        <w:rPr>
          <w:rFonts w:ascii="宋体" w:hAnsi="宋体" w:hint="eastAsia"/>
          <w:color w:val="000000"/>
          <w:kern w:val="0"/>
          <w:szCs w:val="21"/>
          <w:lang w:eastAsia="zh-Hans"/>
        </w:rPr>
        <w:t>个行业正收益，涨幅前三的行业为电子（</w:t>
      </w:r>
      <w:r>
        <w:rPr>
          <w:rFonts w:ascii="宋体" w:hAnsi="宋体" w:hint="eastAsia"/>
          <w:color w:val="000000"/>
          <w:kern w:val="0"/>
          <w:szCs w:val="21"/>
          <w:lang w:eastAsia="zh-Hans"/>
        </w:rPr>
        <w:t>+37.9%</w:t>
      </w:r>
      <w:r>
        <w:rPr>
          <w:rFonts w:ascii="宋体" w:hAnsi="宋体" w:hint="eastAsia"/>
          <w:color w:val="000000"/>
          <w:kern w:val="0"/>
          <w:szCs w:val="21"/>
          <w:lang w:eastAsia="zh-Hans"/>
        </w:rPr>
        <w:t>）、计算机（</w:t>
      </w:r>
      <w:r>
        <w:rPr>
          <w:rFonts w:ascii="宋体" w:hAnsi="宋体" w:hint="eastAsia"/>
          <w:color w:val="000000"/>
          <w:kern w:val="0"/>
          <w:szCs w:val="21"/>
          <w:lang w:eastAsia="zh-Hans"/>
        </w:rPr>
        <w:t>+5.1%</w:t>
      </w:r>
      <w:r>
        <w:rPr>
          <w:rFonts w:ascii="宋体" w:hAnsi="宋体" w:hint="eastAsia"/>
          <w:color w:val="000000"/>
          <w:kern w:val="0"/>
          <w:szCs w:val="21"/>
          <w:lang w:eastAsia="zh-Hans"/>
        </w:rPr>
        <w:t>）和银行（</w:t>
      </w:r>
      <w:r>
        <w:rPr>
          <w:rFonts w:ascii="宋体" w:hAnsi="宋体" w:hint="eastAsia"/>
          <w:color w:val="000000"/>
          <w:kern w:val="0"/>
          <w:szCs w:val="21"/>
          <w:lang w:eastAsia="zh-Hans"/>
        </w:rPr>
        <w:t>+4.4%</w:t>
      </w:r>
      <w:r>
        <w:rPr>
          <w:rFonts w:ascii="宋体" w:hAnsi="宋体" w:hint="eastAsia"/>
          <w:color w:val="000000"/>
          <w:kern w:val="0"/>
          <w:szCs w:val="21"/>
          <w:lang w:eastAsia="zh-Hans"/>
        </w:rPr>
        <w:t>），跌幅前三的行业为综合（</w:t>
      </w:r>
      <w:r>
        <w:rPr>
          <w:rFonts w:ascii="宋体" w:hAnsi="宋体" w:hint="eastAsia"/>
          <w:color w:val="000000"/>
          <w:kern w:val="0"/>
          <w:szCs w:val="21"/>
          <w:lang w:eastAsia="zh-Hans"/>
        </w:rPr>
        <w:t>-41.9%</w:t>
      </w:r>
      <w:r>
        <w:rPr>
          <w:rFonts w:ascii="宋体" w:hAnsi="宋体" w:hint="eastAsia"/>
          <w:color w:val="000000"/>
          <w:kern w:val="0"/>
          <w:szCs w:val="21"/>
          <w:lang w:eastAsia="zh-Hans"/>
        </w:rPr>
        <w:t>）、有色金属（</w:t>
      </w:r>
      <w:r>
        <w:rPr>
          <w:rFonts w:ascii="宋体" w:hAnsi="宋体" w:hint="eastAsia"/>
          <w:color w:val="000000"/>
          <w:kern w:val="0"/>
          <w:szCs w:val="21"/>
          <w:lang w:eastAsia="zh-Hans"/>
        </w:rPr>
        <w:t>-28.4%</w:t>
      </w:r>
      <w:r>
        <w:rPr>
          <w:rFonts w:ascii="宋体" w:hAnsi="宋体" w:hint="eastAsia"/>
          <w:color w:val="000000"/>
          <w:kern w:val="0"/>
          <w:szCs w:val="21"/>
          <w:lang w:eastAsia="zh-Hans"/>
        </w:rPr>
        <w:t>）和石油石化（</w:t>
      </w:r>
      <w:r>
        <w:rPr>
          <w:rFonts w:ascii="宋体" w:hAnsi="宋体" w:hint="eastAsia"/>
          <w:color w:val="000000"/>
          <w:kern w:val="0"/>
          <w:szCs w:val="21"/>
          <w:lang w:eastAsia="zh-Hans"/>
        </w:rPr>
        <w:t>-25.4%</w:t>
      </w:r>
      <w:r>
        <w:rPr>
          <w:rFonts w:ascii="宋体" w:hAnsi="宋体" w:hint="eastAsia"/>
          <w:color w:val="000000"/>
          <w:kern w:val="0"/>
          <w:szCs w:val="21"/>
          <w:lang w:eastAsia="zh-Hans"/>
        </w:rPr>
        <w:t>）。</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w:t>
      </w:r>
      <w:r>
        <w:rPr>
          <w:rFonts w:ascii="宋体" w:hAnsi="宋体" w:hint="eastAsia"/>
          <w:color w:val="000000"/>
          <w:kern w:val="0"/>
          <w:szCs w:val="21"/>
          <w:lang w:eastAsia="zh-Hans"/>
        </w:rPr>
        <w:t>3</w:t>
      </w:r>
      <w:r>
        <w:rPr>
          <w:rFonts w:ascii="宋体" w:hAnsi="宋体" w:hint="eastAsia"/>
          <w:color w:val="000000"/>
          <w:kern w:val="0"/>
          <w:szCs w:val="21"/>
          <w:lang w:eastAsia="zh-Hans"/>
        </w:rPr>
        <w:t>月中下旬中东局势升级、美联储主席提名鹰派人物，深刻扰动了全球流动性预期，全球避险情绪浓厚、风险资产回调，美股投资也转向</w:t>
      </w:r>
      <w:r>
        <w:rPr>
          <w:rFonts w:ascii="宋体" w:hAnsi="宋体" w:hint="eastAsia"/>
          <w:color w:val="000000"/>
          <w:kern w:val="0"/>
          <w:szCs w:val="21"/>
          <w:lang w:eastAsia="zh-Hans"/>
        </w:rPr>
        <w:t>HALO</w:t>
      </w:r>
      <w:r>
        <w:rPr>
          <w:rFonts w:ascii="宋体" w:hAnsi="宋体" w:hint="eastAsia"/>
          <w:color w:val="000000"/>
          <w:kern w:val="0"/>
          <w:szCs w:val="21"/>
          <w:lang w:eastAsia="zh-Hans"/>
        </w:rPr>
        <w:t>策略（</w:t>
      </w:r>
      <w:r>
        <w:rPr>
          <w:rFonts w:ascii="宋体" w:hAnsi="宋体" w:hint="eastAsia"/>
          <w:color w:val="000000"/>
          <w:kern w:val="0"/>
          <w:szCs w:val="21"/>
          <w:lang w:eastAsia="zh-Hans"/>
        </w:rPr>
        <w:t>Heavy Assets</w:t>
      </w:r>
      <w:r>
        <w:rPr>
          <w:rFonts w:ascii="宋体" w:hAnsi="宋体" w:hint="eastAsia"/>
          <w:color w:val="000000"/>
          <w:kern w:val="0"/>
          <w:szCs w:val="21"/>
          <w:lang w:eastAsia="zh-Hans"/>
        </w:rPr>
        <w:t>，</w:t>
      </w:r>
      <w:r>
        <w:rPr>
          <w:rFonts w:ascii="宋体" w:hAnsi="宋体" w:hint="eastAsia"/>
          <w:color w:val="000000"/>
          <w:kern w:val="0"/>
          <w:szCs w:val="21"/>
          <w:lang w:eastAsia="zh-Hans"/>
        </w:rPr>
        <w:t>Low Obsolescence</w:t>
      </w:r>
      <w:r>
        <w:rPr>
          <w:rFonts w:ascii="宋体" w:hAnsi="宋体" w:hint="eastAsia"/>
          <w:color w:val="000000"/>
          <w:kern w:val="0"/>
          <w:szCs w:val="21"/>
          <w:lang w:eastAsia="zh-Hans"/>
        </w:rPr>
        <w:t>）。</w:t>
      </w:r>
      <w:r>
        <w:rPr>
          <w:rFonts w:ascii="宋体" w:hAnsi="宋体" w:hint="eastAsia"/>
          <w:color w:val="000000"/>
          <w:kern w:val="0"/>
          <w:szCs w:val="21"/>
          <w:lang w:eastAsia="zh-Hans"/>
        </w:rPr>
        <w:t>4</w:t>
      </w:r>
      <w:r>
        <w:rPr>
          <w:rFonts w:ascii="宋体" w:hAnsi="宋体" w:hint="eastAsia"/>
          <w:color w:val="000000"/>
          <w:kern w:val="0"/>
          <w:szCs w:val="21"/>
          <w:lang w:eastAsia="zh-Hans"/>
        </w:rPr>
        <w:t>月</w:t>
      </w:r>
      <w:r>
        <w:rPr>
          <w:rFonts w:ascii="宋体" w:hAnsi="宋体" w:hint="eastAsia"/>
          <w:color w:val="000000"/>
          <w:kern w:val="0"/>
          <w:szCs w:val="21"/>
          <w:lang w:eastAsia="zh-Hans"/>
        </w:rPr>
        <w:t>7</w:t>
      </w:r>
      <w:r>
        <w:rPr>
          <w:rFonts w:ascii="宋体" w:hAnsi="宋体" w:hint="eastAsia"/>
          <w:color w:val="000000"/>
          <w:kern w:val="0"/>
          <w:szCs w:val="21"/>
          <w:lang w:eastAsia="zh-Hans"/>
        </w:rPr>
        <w:t>日美伊达成临时协议后，全球风险资产迎来修复，</w:t>
      </w:r>
      <w:r>
        <w:rPr>
          <w:rFonts w:ascii="宋体" w:hAnsi="宋体" w:hint="eastAsia"/>
          <w:color w:val="000000"/>
          <w:kern w:val="0"/>
          <w:szCs w:val="21"/>
          <w:lang w:eastAsia="zh-Hans"/>
        </w:rPr>
        <w:t>CPO</w:t>
      </w:r>
      <w:r>
        <w:rPr>
          <w:rFonts w:ascii="宋体" w:hAnsi="宋体" w:hint="eastAsia"/>
          <w:color w:val="000000"/>
          <w:kern w:val="0"/>
          <w:szCs w:val="21"/>
          <w:lang w:eastAsia="zh-Hans"/>
        </w:rPr>
        <w:t>、</w:t>
      </w:r>
      <w:r>
        <w:rPr>
          <w:rFonts w:ascii="宋体" w:hAnsi="宋体" w:hint="eastAsia"/>
          <w:color w:val="000000"/>
          <w:kern w:val="0"/>
          <w:szCs w:val="21"/>
          <w:lang w:eastAsia="zh-Hans"/>
        </w:rPr>
        <w:t>PCB</w:t>
      </w:r>
      <w:r>
        <w:rPr>
          <w:rFonts w:ascii="宋体" w:hAnsi="宋体" w:hint="eastAsia"/>
          <w:color w:val="000000"/>
          <w:kern w:val="0"/>
          <w:szCs w:val="21"/>
          <w:lang w:eastAsia="zh-Hans"/>
        </w:rPr>
        <w:t>、</w:t>
      </w:r>
      <w:r>
        <w:rPr>
          <w:rFonts w:ascii="宋体" w:hAnsi="宋体" w:hint="eastAsia"/>
          <w:color w:val="000000"/>
          <w:kern w:val="0"/>
          <w:szCs w:val="21"/>
          <w:lang w:eastAsia="zh-Hans"/>
        </w:rPr>
        <w:t>MLCC</w:t>
      </w:r>
      <w:r>
        <w:rPr>
          <w:rFonts w:ascii="宋体" w:hAnsi="宋体" w:hint="eastAsia"/>
          <w:color w:val="000000"/>
          <w:kern w:val="0"/>
          <w:szCs w:val="21"/>
          <w:lang w:eastAsia="zh-Hans"/>
        </w:rPr>
        <w:t>、存储芯片等</w:t>
      </w:r>
      <w:r>
        <w:rPr>
          <w:rFonts w:ascii="宋体" w:hAnsi="宋体" w:hint="eastAsia"/>
          <w:color w:val="000000"/>
          <w:kern w:val="0"/>
          <w:szCs w:val="21"/>
          <w:lang w:eastAsia="zh-Hans"/>
        </w:rPr>
        <w:t>AI</w:t>
      </w:r>
      <w:r>
        <w:rPr>
          <w:rFonts w:ascii="宋体" w:hAnsi="宋体" w:hint="eastAsia"/>
          <w:color w:val="000000"/>
          <w:kern w:val="0"/>
          <w:szCs w:val="21"/>
          <w:lang w:eastAsia="zh-Hans"/>
        </w:rPr>
        <w:t>硬件细分领域在</w:t>
      </w:r>
      <w:r>
        <w:rPr>
          <w:rFonts w:ascii="宋体" w:hAnsi="宋体" w:hint="eastAsia"/>
          <w:color w:val="000000"/>
          <w:kern w:val="0"/>
          <w:szCs w:val="21"/>
          <w:lang w:eastAsia="zh-Hans"/>
        </w:rPr>
        <w:t>CSP</w:t>
      </w:r>
      <w:r>
        <w:rPr>
          <w:rFonts w:ascii="宋体" w:hAnsi="宋体" w:hint="eastAsia"/>
          <w:color w:val="000000"/>
          <w:kern w:val="0"/>
          <w:szCs w:val="21"/>
          <w:lang w:eastAsia="zh-Hans"/>
        </w:rPr>
        <w:t>大厂资本开支持续攀升叙事驱动下连续创出历史新高，与此形成鲜明对比的是，商贸零售、食品饮料等消费板块、汽车、地产等传统行业跌幅明显。随着美联储降息预期反复摇摆、美元指数阶段性走强，港股在二季度承受了较大的估值压力。</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w:t>
      </w:r>
      <w:r>
        <w:rPr>
          <w:rFonts w:ascii="宋体" w:hAnsi="宋体" w:hint="eastAsia"/>
          <w:color w:val="000000"/>
          <w:kern w:val="0"/>
          <w:szCs w:val="21"/>
          <w:lang w:eastAsia="zh-Hans"/>
        </w:rPr>
        <w:t>AH</w:t>
      </w:r>
      <w:r>
        <w:rPr>
          <w:rFonts w:ascii="宋体" w:hAnsi="宋体" w:hint="eastAsia"/>
          <w:color w:val="000000"/>
          <w:kern w:val="0"/>
          <w:szCs w:val="21"/>
          <w:lang w:eastAsia="zh-Hans"/>
        </w:rPr>
        <w:t>市场及行业配置上，本基金二季度整体降低了港股仓位，行业上总体相对均衡，但更偏向于投资港股市场中具备稀缺性的新经济标的，主要降低了之前超配的有色、汽车（机器人）、轻工等板块，加仓了受益</w:t>
      </w:r>
      <w:r>
        <w:rPr>
          <w:rFonts w:ascii="宋体" w:hAnsi="宋体" w:hint="eastAsia"/>
          <w:color w:val="000000"/>
          <w:kern w:val="0"/>
          <w:szCs w:val="21"/>
          <w:lang w:eastAsia="zh-Hans"/>
        </w:rPr>
        <w:t>CSP</w:t>
      </w:r>
      <w:r>
        <w:rPr>
          <w:rFonts w:ascii="宋体" w:hAnsi="宋体" w:hint="eastAsia"/>
          <w:color w:val="000000"/>
          <w:kern w:val="0"/>
          <w:szCs w:val="21"/>
          <w:lang w:eastAsia="zh-Hans"/>
        </w:rPr>
        <w:t>大厂资本开支扩张的</w:t>
      </w:r>
      <w:r>
        <w:rPr>
          <w:rFonts w:ascii="宋体" w:hAnsi="宋体" w:hint="eastAsia"/>
          <w:color w:val="000000"/>
          <w:kern w:val="0"/>
          <w:szCs w:val="21"/>
          <w:lang w:eastAsia="zh-Hans"/>
        </w:rPr>
        <w:t>AI</w:t>
      </w:r>
      <w:r>
        <w:rPr>
          <w:rFonts w:ascii="宋体" w:hAnsi="宋体" w:hint="eastAsia"/>
          <w:color w:val="000000"/>
          <w:kern w:val="0"/>
          <w:szCs w:val="21"/>
          <w:lang w:eastAsia="zh-Hans"/>
        </w:rPr>
        <w:t>硬件相关板块，以及优化了地缘冲突及</w:t>
      </w:r>
      <w:r>
        <w:rPr>
          <w:rFonts w:ascii="宋体" w:hAnsi="宋体" w:hint="eastAsia"/>
          <w:color w:val="000000"/>
          <w:kern w:val="0"/>
          <w:szCs w:val="21"/>
          <w:lang w:eastAsia="zh-Hans"/>
        </w:rPr>
        <w:t>AI</w:t>
      </w:r>
      <w:r>
        <w:rPr>
          <w:rFonts w:ascii="宋体" w:hAnsi="宋体" w:hint="eastAsia"/>
          <w:color w:val="000000"/>
          <w:kern w:val="0"/>
          <w:szCs w:val="21"/>
          <w:lang w:eastAsia="zh-Hans"/>
        </w:rPr>
        <w:t>建设双重受益的电力设备新能源板块的结构，增配了上游资源。继续低配银行、商贸零售、非银等板块。</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展望后市，国内外复杂多变的宏观环境在</w:t>
      </w:r>
      <w:r>
        <w:rPr>
          <w:rFonts w:ascii="宋体" w:hAnsi="宋体" w:hint="eastAsia"/>
          <w:color w:val="000000"/>
          <w:kern w:val="0"/>
          <w:szCs w:val="21"/>
          <w:lang w:eastAsia="zh-Hans"/>
        </w:rPr>
        <w:t>2026</w:t>
      </w:r>
      <w:r>
        <w:rPr>
          <w:rFonts w:ascii="宋体" w:hAnsi="宋体" w:hint="eastAsia"/>
          <w:color w:val="000000"/>
          <w:kern w:val="0"/>
          <w:szCs w:val="21"/>
          <w:lang w:eastAsia="zh-Hans"/>
        </w:rPr>
        <w:t>年并未明显改善，中东局势的反复进一步加大了全球经济复苏的不确定性。国内经济虽向好态势未变，但持续回升的基础仍需稳固，新形势下，中国持续发挥“确定性基石”和“稳定性港湾”的作用。正如刘结一所言，“中国始终是动荡世界中最稳定、最可靠、最积极的力量”。我们认为全球资金对中国市场的“稳定性”定价并未充分体现，我们继续对</w:t>
      </w:r>
      <w:r>
        <w:rPr>
          <w:rFonts w:ascii="宋体" w:hAnsi="宋体" w:hint="eastAsia"/>
          <w:color w:val="000000"/>
          <w:kern w:val="0"/>
          <w:szCs w:val="21"/>
          <w:lang w:eastAsia="zh-Hans"/>
        </w:rPr>
        <w:t>2026</w:t>
      </w:r>
      <w:r>
        <w:rPr>
          <w:rFonts w:ascii="宋体" w:hAnsi="宋体" w:hint="eastAsia"/>
          <w:color w:val="000000"/>
          <w:kern w:val="0"/>
          <w:szCs w:val="21"/>
          <w:lang w:eastAsia="zh-Hans"/>
        </w:rPr>
        <w:t>年下半年市场持乐观态度。</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行业层面，</w:t>
      </w:r>
      <w:r>
        <w:rPr>
          <w:rFonts w:ascii="宋体" w:hAnsi="宋体" w:hint="eastAsia"/>
          <w:color w:val="000000"/>
          <w:kern w:val="0"/>
          <w:szCs w:val="21"/>
          <w:lang w:eastAsia="zh-Hans"/>
        </w:rPr>
        <w:t>2026</w:t>
      </w:r>
      <w:r>
        <w:rPr>
          <w:rFonts w:ascii="宋体" w:hAnsi="宋体" w:hint="eastAsia"/>
          <w:color w:val="000000"/>
          <w:kern w:val="0"/>
          <w:szCs w:val="21"/>
          <w:lang w:eastAsia="zh-Hans"/>
        </w:rPr>
        <w:t>年下半年我们将继续重点关注资本开支驱动的</w:t>
      </w:r>
      <w:r>
        <w:rPr>
          <w:rFonts w:ascii="宋体" w:hAnsi="宋体" w:hint="eastAsia"/>
          <w:color w:val="000000"/>
          <w:kern w:val="0"/>
          <w:szCs w:val="21"/>
          <w:lang w:eastAsia="zh-Hans"/>
        </w:rPr>
        <w:t>AI</w:t>
      </w:r>
      <w:r>
        <w:rPr>
          <w:rFonts w:ascii="宋体" w:hAnsi="宋体" w:hint="eastAsia"/>
          <w:color w:val="000000"/>
          <w:kern w:val="0"/>
          <w:szCs w:val="21"/>
          <w:lang w:eastAsia="zh-Hans"/>
        </w:rPr>
        <w:t>硬件、储能带动的锂电产业链以及制造业出海等投资机会。市场阶段性的极致分化大概率不具备持续性，但</w:t>
      </w:r>
      <w:r>
        <w:rPr>
          <w:rFonts w:ascii="宋体" w:hAnsi="宋体" w:hint="eastAsia"/>
          <w:color w:val="000000"/>
          <w:kern w:val="0"/>
          <w:szCs w:val="21"/>
          <w:lang w:eastAsia="zh-Hans"/>
        </w:rPr>
        <w:t>AI</w:t>
      </w:r>
      <w:r>
        <w:rPr>
          <w:rFonts w:ascii="宋体" w:hAnsi="宋体" w:hint="eastAsia"/>
          <w:color w:val="000000"/>
          <w:kern w:val="0"/>
          <w:szCs w:val="21"/>
          <w:lang w:eastAsia="zh-Hans"/>
        </w:rPr>
        <w:t>的宏大叙事短期依然无法证伪。对于市场关注的</w:t>
      </w:r>
      <w:r>
        <w:rPr>
          <w:rFonts w:ascii="宋体" w:hAnsi="宋体" w:hint="eastAsia"/>
          <w:color w:val="000000"/>
          <w:kern w:val="0"/>
          <w:szCs w:val="21"/>
          <w:lang w:eastAsia="zh-Hans"/>
        </w:rPr>
        <w:t>AI</w:t>
      </w:r>
      <w:r>
        <w:rPr>
          <w:rFonts w:ascii="宋体" w:hAnsi="宋体" w:hint="eastAsia"/>
          <w:color w:val="000000"/>
          <w:kern w:val="0"/>
          <w:szCs w:val="21"/>
          <w:lang w:eastAsia="zh-Hans"/>
        </w:rPr>
        <w:t>资本开支可持续性问题，我们认为技术革命的演进速度常超出线性预测，应紧密跟踪用户增长、产品迭代等具体指标。锂电侧，目前锂电产业链核心驱动力正在发生结构性转变——储能正在逐步取代电动汽车，成为拉动锂电需求增长的首要动力。从全球范围看，电动汽车渗透率提升进入相对平稳阶段，但上半年单车带电量提升、电动重卡放量、出口高增依然亮点众多，而储能则因可再生能源比例提升、电网建设、能源安全以及</w:t>
      </w:r>
      <w:r>
        <w:rPr>
          <w:rFonts w:ascii="宋体" w:hAnsi="宋体" w:hint="eastAsia"/>
          <w:color w:val="000000"/>
          <w:kern w:val="0"/>
          <w:szCs w:val="21"/>
          <w:lang w:eastAsia="zh-Hans"/>
        </w:rPr>
        <w:t>AI</w:t>
      </w:r>
      <w:r>
        <w:rPr>
          <w:rFonts w:ascii="宋体" w:hAnsi="宋体" w:hint="eastAsia"/>
          <w:color w:val="000000"/>
          <w:kern w:val="0"/>
          <w:szCs w:val="21"/>
          <w:lang w:eastAsia="zh-Hans"/>
        </w:rPr>
        <w:t>算力中心对电力的巨量需求，正迎来爆发式增长。电池及材料供给侧在经历长期的激烈竞争与价格调整后，格局已显著优化，仅极少数龙头企业具备大规模扩产能力。因此在新一轮需求驱动下，产业链上游及中游环节的盈利修复可能具备较强的持续性。此外，中东冲突下能源安全需求凸显，进一步加速了电力设备新能源需求。</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上半年在</w:t>
      </w:r>
      <w:r>
        <w:rPr>
          <w:rFonts w:ascii="宋体" w:hAnsi="宋体" w:hint="eastAsia"/>
          <w:color w:val="000000"/>
          <w:kern w:val="0"/>
          <w:szCs w:val="21"/>
          <w:lang w:eastAsia="zh-Hans"/>
        </w:rPr>
        <w:t>AI</w:t>
      </w:r>
      <w:r>
        <w:rPr>
          <w:rFonts w:ascii="宋体" w:hAnsi="宋体" w:hint="eastAsia"/>
          <w:color w:val="000000"/>
          <w:kern w:val="0"/>
          <w:szCs w:val="21"/>
          <w:lang w:eastAsia="zh-Hans"/>
        </w:rPr>
        <w:t>硬件行情极致分化的背景下，新能源、创新药等基本面改善的行业和公司股价并没有很好的表现，我们相信下半年市场风格会迎来再平衡的过程。</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此外，越来越多的具备全球竞争力的中国制造业或科技公司或将赴港上市，这将极大程度上优化港股上市公司行业结构，预计未来也将吸引更多国际资金投资中国优质公司。</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我们始终相信真正有成长性的行业和公司可以穿越周期，我们将始终坚持从中长期视角来配置主要投资标的，同时紧密跟踪和关注宏观政策（尤其是流动性变化）、国际环境的变化，适度动态调整组合，力争为基金持有人创造持续稳定收益</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1"/>
    </w:p>
    <w:p w:rsidR="009D736C" w:rsidRDefault="009D736C">
      <w:pPr>
        <w:pStyle w:val="XBRLTitle3"/>
        <w:spacing w:before="156" w:line="360" w:lineRule="auto"/>
        <w:ind w:left="624"/>
      </w:pPr>
      <w:bookmarkStart w:id="149" w:name="_Toc51408825712"/>
      <w:bookmarkEnd w:id="132"/>
      <w:r>
        <w:rPr>
          <w:rFonts w:hAnsi="宋体" w:hint="eastAsia"/>
        </w:rPr>
        <w:t>报告期内基金的业绩表</w:t>
      </w:r>
      <w:r>
        <w:rPr>
          <w:rFonts w:hAnsi="宋体" w:hint="eastAsia"/>
        </w:rPr>
        <w:t>现</w:t>
      </w:r>
      <w:bookmarkEnd w:id="134"/>
      <w:bookmarkEnd w:id="135"/>
      <w:bookmarkEnd w:id="149"/>
      <w:r>
        <w:rPr>
          <w:rFonts w:hAnsi="宋体" w:hint="eastAsia"/>
        </w:rPr>
        <w:t xml:space="preserve"> </w:t>
      </w:r>
    </w:p>
    <w:p w:rsidR="009D736C" w:rsidRDefault="009D736C">
      <w:pPr>
        <w:spacing w:line="360" w:lineRule="auto"/>
        <w:ind w:firstLineChars="200" w:firstLine="420"/>
        <w:jc w:val="left"/>
        <w:rPr>
          <w:rFonts w:hint="eastAsia"/>
        </w:rPr>
      </w:pPr>
      <w:r>
        <w:rPr>
          <w:rFonts w:ascii="宋体" w:hAnsi="宋体" w:cs="宋体" w:hint="eastAsia"/>
          <w:color w:val="000000"/>
          <w:kern w:val="0"/>
        </w:rPr>
        <w:t>本报告期摩根中国世纪混合</w:t>
      </w:r>
      <w:r>
        <w:rPr>
          <w:rFonts w:ascii="宋体" w:hAnsi="宋体" w:cs="宋体" w:hint="eastAsia"/>
          <w:color w:val="000000"/>
          <w:kern w:val="0"/>
        </w:rPr>
        <w:t>(QDII)</w:t>
      </w:r>
      <w:r>
        <w:rPr>
          <w:rFonts w:ascii="宋体" w:hAnsi="宋体" w:cs="宋体" w:hint="eastAsia"/>
          <w:color w:val="000000"/>
          <w:kern w:val="0"/>
        </w:rPr>
        <w:t>份额净值增长率为</w:t>
      </w:r>
      <w:r>
        <w:rPr>
          <w:rFonts w:ascii="宋体" w:hAnsi="宋体" w:cs="宋体" w:hint="eastAsia"/>
          <w:color w:val="000000"/>
          <w:kern w:val="0"/>
        </w:rPr>
        <w:t>:24.08%</w:t>
      </w:r>
      <w:r>
        <w:rPr>
          <w:rFonts w:ascii="宋体" w:hAnsi="宋体" w:cs="宋体" w:hint="eastAsia"/>
          <w:color w:val="000000"/>
          <w:kern w:val="0"/>
        </w:rPr>
        <w:t>，同期业绩比较基准收益率为</w:t>
      </w:r>
      <w:r>
        <w:rPr>
          <w:rFonts w:ascii="宋体" w:hAnsi="宋体" w:cs="宋体" w:hint="eastAsia"/>
          <w:color w:val="000000"/>
          <w:kern w:val="0"/>
        </w:rPr>
        <w:t>:-4.54%</w:t>
      </w:r>
      <w:r>
        <w:rPr>
          <w:rFonts w:ascii="宋体" w:hAnsi="宋体" w:cs="宋体" w:hint="eastAsia"/>
          <w:color w:val="000000"/>
          <w:kern w:val="0"/>
        </w:rPr>
        <w:t>。</w:t>
      </w:r>
      <w:bookmarkEnd w:id="136"/>
    </w:p>
    <w:p w:rsidR="009D736C" w:rsidRDefault="009D736C">
      <w:pPr>
        <w:pStyle w:val="XBRLTitle2"/>
        <w:spacing w:before="156" w:line="360" w:lineRule="auto"/>
        <w:ind w:left="454"/>
      </w:pPr>
      <w:bookmarkStart w:id="150" w:name="m405_01_2550"/>
      <w:bookmarkStart w:id="151" w:name="_Toc514088258"/>
      <w:bookmarkStart w:id="152" w:name="_Toc480465430"/>
      <w:bookmarkStart w:id="153" w:name="_Toc448480296"/>
      <w:bookmarkStart w:id="154" w:name="_Toc438654084"/>
      <w:bookmarkStart w:id="155" w:name="_Toc456107129"/>
      <w:bookmarkStart w:id="156" w:name="_Toc459213775"/>
      <w:bookmarkStart w:id="157" w:name="_Toc513542659"/>
      <w:bookmarkStart w:id="158" w:name="_Toc512696261"/>
      <w:bookmarkStart w:id="159" w:name="_Toc512612264"/>
      <w:bookmarkStart w:id="160" w:name="_Toc512612088"/>
      <w:bookmarkStart w:id="161" w:name="_Toc512611292"/>
      <w:bookmarkStart w:id="162" w:name="m407"/>
      <w:bookmarkEnd w:id="150"/>
      <w:r>
        <w:rPr>
          <w:rFonts w:eastAsia="宋体" w:hint="eastAsia"/>
        </w:rPr>
        <w:t>报告期内基金持有人数或基金资产净值预警说</w:t>
      </w:r>
      <w:r>
        <w:rPr>
          <w:rFonts w:eastAsia="宋体" w:hint="eastAsia"/>
        </w:rPr>
        <w:t>明</w:t>
      </w:r>
      <w:bookmarkEnd w:id="151"/>
      <w:bookmarkEnd w:id="152"/>
      <w:bookmarkEnd w:id="153"/>
      <w:bookmarkEnd w:id="154"/>
      <w:bookmarkEnd w:id="155"/>
      <w:bookmarkEnd w:id="156"/>
      <w:bookmarkEnd w:id="157"/>
      <w:bookmarkEnd w:id="158"/>
      <w:bookmarkEnd w:id="159"/>
      <w:bookmarkEnd w:id="160"/>
      <w:bookmarkEnd w:id="161"/>
      <w:r>
        <w:rPr>
          <w:rFonts w:eastAsia="宋体" w:hint="eastAsia"/>
        </w:rPr>
        <w:t xml:space="preserve"> </w:t>
      </w:r>
    </w:p>
    <w:p w:rsidR="009D736C" w:rsidRDefault="009D736C">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9D736C" w:rsidRDefault="009D736C">
      <w:pPr>
        <w:pStyle w:val="XBRLTitle1"/>
        <w:spacing w:before="156"/>
        <w:ind w:left="425"/>
      </w:pPr>
      <w:bookmarkStart w:id="163" w:name="_Toc514088259"/>
      <w:bookmarkStart w:id="164" w:name="_Toc480465431"/>
      <w:bookmarkStart w:id="165" w:name="_Toc448480297"/>
      <w:bookmarkStart w:id="166" w:name="_Toc438654085"/>
      <w:bookmarkStart w:id="167" w:name="_Toc445826343"/>
      <w:bookmarkStart w:id="168" w:name="_Toc456107130"/>
      <w:bookmarkStart w:id="169" w:name="_Toc459213776"/>
      <w:bookmarkStart w:id="170" w:name="_Toc513542660"/>
      <w:bookmarkStart w:id="171" w:name="_Toc512696262"/>
      <w:bookmarkStart w:id="172" w:name="_Toc512612265"/>
      <w:bookmarkStart w:id="173" w:name="_Toc512612089"/>
      <w:bookmarkStart w:id="174" w:name="_Toc512611293"/>
      <w:bookmarkEnd w:id="162"/>
      <w:r>
        <w:rPr>
          <w:rFonts w:hint="eastAsia"/>
        </w:rPr>
        <w:t>投资组合报</w:t>
      </w:r>
      <w:r>
        <w:rPr>
          <w:rFonts w:hint="eastAsia"/>
        </w:rPr>
        <w:t>告</w:t>
      </w:r>
      <w:bookmarkEnd w:id="163"/>
      <w:bookmarkEnd w:id="164"/>
      <w:bookmarkEnd w:id="165"/>
      <w:bookmarkEnd w:id="166"/>
      <w:bookmarkEnd w:id="167"/>
      <w:bookmarkEnd w:id="168"/>
      <w:bookmarkEnd w:id="169"/>
      <w:bookmarkEnd w:id="170"/>
      <w:bookmarkEnd w:id="171"/>
      <w:bookmarkEnd w:id="172"/>
      <w:bookmarkEnd w:id="173"/>
      <w:bookmarkEnd w:id="174"/>
    </w:p>
    <w:p w:rsidR="009D736C" w:rsidRDefault="009D736C">
      <w:pPr>
        <w:pStyle w:val="XBRLTitle2"/>
        <w:spacing w:before="156" w:line="360" w:lineRule="auto"/>
        <w:ind w:left="454"/>
        <w:rPr>
          <w:rFonts w:hint="eastAsia"/>
        </w:rPr>
      </w:pPr>
      <w:bookmarkStart w:id="175" w:name="_Toc514088260"/>
      <w:bookmarkStart w:id="176" w:name="_Toc480465432"/>
      <w:bookmarkStart w:id="177" w:name="_Toc448480298"/>
      <w:bookmarkStart w:id="178" w:name="_Toc438654086"/>
      <w:bookmarkStart w:id="179" w:name="_Toc456107131"/>
      <w:bookmarkStart w:id="180" w:name="_Toc459213777"/>
      <w:bookmarkStart w:id="181" w:name="_Toc513542661"/>
      <w:bookmarkStart w:id="182" w:name="_Toc512696263"/>
      <w:bookmarkStart w:id="183" w:name="_Toc512612266"/>
      <w:bookmarkStart w:id="184" w:name="_Toc512612090"/>
      <w:bookmarkStart w:id="185" w:name="_Toc512611294"/>
      <w:bookmarkStart w:id="186" w:name="m501"/>
      <w:r>
        <w:rPr>
          <w:rFonts w:eastAsia="宋体" w:hint="eastAsia"/>
        </w:rPr>
        <w:t>报告期末基金资产组合情</w:t>
      </w:r>
      <w:r>
        <w:rPr>
          <w:rFonts w:eastAsia="宋体" w:hint="eastAsia"/>
        </w:rPr>
        <w:t>况</w:t>
      </w:r>
      <w:bookmarkEnd w:id="175"/>
      <w:bookmarkEnd w:id="176"/>
      <w:bookmarkEnd w:id="177"/>
      <w:bookmarkEnd w:id="178"/>
      <w:bookmarkEnd w:id="179"/>
      <w:bookmarkEnd w:id="180"/>
      <w:r>
        <w:rPr>
          <w:rFonts w:hint="eastAsia"/>
        </w:rPr>
        <w:t xml:space="preserve"> </w:t>
      </w:r>
      <w:bookmarkEnd w:id="181"/>
      <w:bookmarkEnd w:id="182"/>
      <w:bookmarkEnd w:id="183"/>
      <w:bookmarkEnd w:id="184"/>
      <w:bookmarkEnd w:id="185"/>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4"/>
        <w:gridCol w:w="2373"/>
        <w:gridCol w:w="2356"/>
      </w:tblGrid>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736C" w:rsidRDefault="009D736C">
            <w:pPr>
              <w:jc w:val="center"/>
              <w:rPr>
                <w:rFonts w:hint="eastAsia"/>
              </w:rPr>
            </w:pPr>
            <w:bookmarkStart w:id="187" w:name="m08QD_01_tab"/>
            <w:bookmarkStart w:id="188" w:name="OLE_LINK46"/>
            <w:bookmarkStart w:id="189" w:name="OLE_LINK45"/>
            <w:bookmarkStart w:id="190" w:name="OLE_LINK42"/>
            <w:bookmarkStart w:id="191" w:name="OLE_LINK41"/>
            <w:bookmarkEnd w:id="187"/>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9D736C" w:rsidRDefault="009D736C">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9D736C" w:rsidRDefault="009D736C">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9D736C" w:rsidRDefault="009D736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110,114,355.0</w:t>
            </w:r>
            <w:r>
              <w:rPr>
                <w:rFonts w:ascii="宋体" w:hAnsi="宋体" w:hint="eastAsia"/>
                <w:szCs w:val="24"/>
                <w:lang w:eastAsia="zh-Hans"/>
              </w:rPr>
              <w:t>6</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85.9</w:t>
            </w:r>
            <w:r>
              <w:rPr>
                <w:rFonts w:ascii="宋体" w:hAnsi="宋体" w:hint="eastAsia"/>
                <w:szCs w:val="24"/>
                <w:lang w:eastAsia="zh-Hans"/>
              </w:rPr>
              <w:t>2</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110,114,355.0</w:t>
            </w:r>
            <w:r>
              <w:rPr>
                <w:rFonts w:ascii="宋体" w:hAnsi="宋体" w:hint="eastAsia"/>
                <w:szCs w:val="24"/>
                <w:lang w:eastAsia="zh-Hans"/>
              </w:rPr>
              <w:t>6</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85.9</w:t>
            </w:r>
            <w:r>
              <w:rPr>
                <w:rFonts w:ascii="宋体" w:hAnsi="宋体" w:hint="eastAsia"/>
                <w:szCs w:val="24"/>
                <w:lang w:eastAsia="zh-Hans"/>
              </w:rPr>
              <w:t>2</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16,076,869.5</w:t>
            </w:r>
            <w:r>
              <w:rPr>
                <w:rFonts w:ascii="宋体" w:hAnsi="宋体" w:hint="eastAsia"/>
                <w:szCs w:val="24"/>
                <w:lang w:eastAsia="zh-Hans"/>
              </w:rPr>
              <w:t>0</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12.5</w:t>
            </w:r>
            <w:r>
              <w:rPr>
                <w:rFonts w:ascii="宋体" w:hAnsi="宋体" w:hint="eastAsia"/>
                <w:szCs w:val="24"/>
                <w:lang w:eastAsia="zh-Hans"/>
              </w:rPr>
              <w:t>4</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1,967,166.1</w:t>
            </w:r>
            <w:r>
              <w:rPr>
                <w:rFonts w:ascii="宋体" w:hAnsi="宋体" w:hint="eastAsia"/>
                <w:szCs w:val="24"/>
                <w:lang w:eastAsia="zh-Hans"/>
              </w:rPr>
              <w:t>4</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1.5</w:t>
            </w:r>
            <w:r>
              <w:rPr>
                <w:rFonts w:ascii="宋体" w:hAnsi="宋体" w:hint="eastAsia"/>
                <w:szCs w:val="24"/>
                <w:lang w:eastAsia="zh-Hans"/>
              </w:rPr>
              <w:t>3</w:t>
            </w:r>
          </w:p>
        </w:tc>
      </w:tr>
      <w:tr w:rsidR="00000000">
        <w:trPr>
          <w:divId w:val="66000348"/>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9D736C" w:rsidRDefault="009D736C">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9D736C" w:rsidRDefault="009D736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128,158,390.7</w:t>
            </w:r>
            <w:r>
              <w:rPr>
                <w:rFonts w:ascii="宋体" w:hAnsi="宋体" w:hint="eastAsia"/>
                <w:szCs w:val="24"/>
                <w:lang w:eastAsia="zh-Hans"/>
              </w:rPr>
              <w:t>0</w:t>
            </w:r>
          </w:p>
        </w:tc>
        <w:tc>
          <w:tcPr>
            <w:tcW w:w="2373" w:type="dxa"/>
            <w:tcBorders>
              <w:top w:val="single" w:sz="4" w:space="0" w:color="auto"/>
              <w:left w:val="nil"/>
              <w:bottom w:val="single" w:sz="4" w:space="0" w:color="auto"/>
              <w:right w:val="single" w:sz="4" w:space="0" w:color="auto"/>
            </w:tcBorders>
            <w:vAlign w:val="center"/>
            <w:hideMark/>
          </w:tcPr>
          <w:p w:rsidR="009D736C" w:rsidRDefault="009D736C">
            <w:pPr>
              <w:jc w:val="right"/>
            </w:pPr>
            <w:r>
              <w:rPr>
                <w:rFonts w:ascii="宋体" w:hAnsi="宋体" w:hint="eastAsia"/>
                <w:szCs w:val="24"/>
                <w:lang w:eastAsia="zh-Hans"/>
              </w:rPr>
              <w:t>100.0</w:t>
            </w:r>
            <w:r>
              <w:rPr>
                <w:rFonts w:ascii="宋体" w:hAnsi="宋体" w:hint="eastAsia"/>
                <w:szCs w:val="24"/>
                <w:lang w:eastAsia="zh-Hans"/>
              </w:rPr>
              <w:t>0</w:t>
            </w:r>
          </w:p>
        </w:tc>
      </w:tr>
    </w:tbl>
    <w:p w:rsidR="009D736C" w:rsidRDefault="009D736C">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35,712,110.93</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28.77%</w:t>
      </w:r>
      <w:r>
        <w:rPr>
          <w:rFonts w:ascii="宋体" w:hAnsi="宋体" w:hint="eastAsia"/>
        </w:rPr>
        <w:t>。</w:t>
      </w:r>
    </w:p>
    <w:p w:rsidR="009D736C" w:rsidRDefault="009D736C">
      <w:pPr>
        <w:pStyle w:val="XBRLTitle2"/>
        <w:spacing w:before="156" w:line="360" w:lineRule="auto"/>
        <w:ind w:left="454"/>
      </w:pPr>
      <w:bookmarkStart w:id="192" w:name="_Toc514088261"/>
      <w:bookmarkStart w:id="193" w:name="_Toc480465433"/>
      <w:bookmarkStart w:id="194" w:name="_Toc448480299"/>
      <w:bookmarkStart w:id="195" w:name="_Toc438654087"/>
      <w:bookmarkStart w:id="196" w:name="_Toc456107132"/>
      <w:bookmarkStart w:id="197" w:name="_Toc459213778"/>
      <w:bookmarkStart w:id="198" w:name="_Toc513542662"/>
      <w:bookmarkStart w:id="199" w:name="_Toc512696264"/>
      <w:bookmarkStart w:id="200" w:name="_Toc512612267"/>
      <w:bookmarkStart w:id="201" w:name="_Toc512612091"/>
      <w:bookmarkStart w:id="202" w:name="_Toc512611295"/>
      <w:bookmarkEnd w:id="186"/>
      <w:r>
        <w:rPr>
          <w:rFonts w:eastAsia="宋体" w:hint="eastAsia"/>
        </w:rPr>
        <w:t>报告期末在各个国家（地区）证券市场的股票及存托凭证投资分</w:t>
      </w:r>
      <w:r>
        <w:rPr>
          <w:rFonts w:eastAsia="宋体" w:hint="eastAsia"/>
        </w:rPr>
        <w:t>布</w:t>
      </w:r>
      <w:bookmarkEnd w:id="192"/>
      <w:bookmarkEnd w:id="193"/>
      <w:bookmarkEnd w:id="194"/>
      <w:bookmarkEnd w:id="195"/>
      <w:bookmarkEnd w:id="196"/>
      <w:bookmarkEnd w:id="197"/>
      <w:r>
        <w:rPr>
          <w:rFonts w:hint="eastAsia"/>
        </w:rPr>
        <w:t xml:space="preserve"> </w:t>
      </w:r>
      <w:bookmarkEnd w:id="198"/>
      <w:bookmarkEnd w:id="199"/>
      <w:bookmarkEnd w:id="200"/>
      <w:bookmarkEnd w:id="201"/>
      <w:bookmarkEnd w:id="202"/>
    </w:p>
    <w:tbl>
      <w:tblPr>
        <w:tblW w:w="5000" w:type="pct"/>
        <w:tblLook w:val="04A0" w:firstRow="1" w:lastRow="0" w:firstColumn="1" w:lastColumn="0" w:noHBand="0" w:noVBand="1"/>
      </w:tblPr>
      <w:tblGrid>
        <w:gridCol w:w="2032"/>
        <w:gridCol w:w="3621"/>
        <w:gridCol w:w="3182"/>
      </w:tblGrid>
      <w:tr w:rsidR="00000000">
        <w:trPr>
          <w:divId w:val="1760522118"/>
        </w:trPr>
        <w:tc>
          <w:tcPr>
            <w:tcW w:w="1150"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9D736C" w:rsidRDefault="009D736C">
            <w:pPr>
              <w:jc w:val="center"/>
              <w:rPr>
                <w:rFonts w:hint="eastAsia"/>
              </w:rPr>
            </w:pPr>
            <w:bookmarkStart w:id="203" w:name="m08QD_02"/>
            <w:bookmarkStart w:id="204" w:name="m502_tab"/>
            <w:r>
              <w:rPr>
                <w:rFonts w:ascii="宋体" w:hAnsi="宋体" w:hint="eastAsia"/>
                <w:szCs w:val="21"/>
              </w:rPr>
              <w:t>国家（地区）</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9D736C" w:rsidRDefault="009D736C">
            <w:pPr>
              <w:jc w:val="center"/>
            </w:pPr>
            <w:r>
              <w:rPr>
                <w:rFonts w:ascii="宋体" w:hAnsi="宋体" w:hint="eastAsia"/>
                <w:szCs w:val="21"/>
              </w:rPr>
              <w:t>公允价值（人民币元）</w:t>
            </w:r>
            <w:r>
              <w:rPr>
                <w:rFonts w:ascii="宋体" w:hAnsi="宋体" w:hint="eastAsia"/>
                <w:szCs w:val="21"/>
                <w:lang w:eastAsia="zh-Hans"/>
              </w:rPr>
              <w:t xml:space="preserve"> </w:t>
            </w:r>
          </w:p>
        </w:tc>
        <w:tc>
          <w:tcPr>
            <w:tcW w:w="180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9D736C" w:rsidRDefault="009D736C">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Ansi="宋体" w:hint="eastAsia"/>
                <w:szCs w:val="21"/>
                <w:lang w:eastAsia="zh-Hans"/>
              </w:rPr>
              <w:t xml:space="preserve"> </w:t>
            </w:r>
          </w:p>
        </w:tc>
      </w:tr>
      <w:tr w:rsidR="00000000">
        <w:trPr>
          <w:divId w:val="1760522118"/>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r>
              <w:rPr>
                <w:rFonts w:ascii="宋体" w:hAnsi="宋体" w:hint="eastAsia"/>
                <w:szCs w:val="21"/>
                <w:lang w:eastAsia="zh-Hans"/>
              </w:rPr>
              <w:t>中</w:t>
            </w:r>
            <w:r>
              <w:rPr>
                <w:rFonts w:ascii="宋体" w:hAnsi="宋体" w:hint="eastAsia"/>
                <w:szCs w:val="21"/>
                <w:lang w:eastAsia="zh-Hans"/>
              </w:rPr>
              <w:t>国</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szCs w:val="21"/>
                <w:lang w:eastAsia="zh-Hans"/>
              </w:rPr>
              <w:t>71,902,383.5</w:t>
            </w:r>
            <w:r>
              <w:rPr>
                <w:rFonts w:ascii="宋体" w:hAnsi="宋体" w:hint="eastAsia"/>
                <w:szCs w:val="21"/>
                <w:lang w:eastAsia="zh-Hans"/>
              </w:rPr>
              <w:t>2</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szCs w:val="21"/>
                <w:lang w:eastAsia="zh-Hans"/>
              </w:rPr>
              <w:t>57.9</w:t>
            </w:r>
            <w:r>
              <w:rPr>
                <w:rFonts w:ascii="宋体" w:hAnsi="宋体" w:hint="eastAsia"/>
                <w:szCs w:val="21"/>
                <w:lang w:eastAsia="zh-Hans"/>
              </w:rPr>
              <w:t>3</w:t>
            </w:r>
          </w:p>
        </w:tc>
      </w:tr>
      <w:tr w:rsidR="00000000">
        <w:trPr>
          <w:divId w:val="1760522118"/>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r>
              <w:rPr>
                <w:rFonts w:ascii="宋体" w:hAnsi="宋体" w:hint="eastAsia"/>
                <w:szCs w:val="21"/>
                <w:lang w:eastAsia="zh-Hans"/>
              </w:rPr>
              <w:t>中国香</w:t>
            </w:r>
            <w:r>
              <w:rPr>
                <w:rFonts w:ascii="宋体" w:hAnsi="宋体" w:hint="eastAsia"/>
                <w:szCs w:val="21"/>
                <w:lang w:eastAsia="zh-Hans"/>
              </w:rPr>
              <w:t>港</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szCs w:val="21"/>
                <w:lang w:eastAsia="zh-Hans"/>
              </w:rPr>
              <w:t>38,211,971.5</w:t>
            </w:r>
            <w:r>
              <w:rPr>
                <w:rFonts w:ascii="宋体" w:hAnsi="宋体" w:hint="eastAsia"/>
                <w:szCs w:val="21"/>
                <w:lang w:eastAsia="zh-Hans"/>
              </w:rPr>
              <w:t>4</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szCs w:val="21"/>
                <w:lang w:eastAsia="zh-Hans"/>
              </w:rPr>
              <w:t>30.7</w:t>
            </w:r>
            <w:r>
              <w:rPr>
                <w:rFonts w:ascii="宋体" w:hAnsi="宋体" w:hint="eastAsia"/>
                <w:szCs w:val="21"/>
                <w:lang w:eastAsia="zh-Hans"/>
              </w:rPr>
              <w:t>9</w:t>
            </w:r>
          </w:p>
        </w:tc>
      </w:tr>
      <w:tr w:rsidR="00000000">
        <w:trPr>
          <w:divId w:val="1760522118"/>
        </w:trPr>
        <w:tc>
          <w:tcPr>
            <w:tcW w:w="115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r>
              <w:rPr>
                <w:rFonts w:ascii="宋体" w:hAnsi="宋体" w:hint="eastAsia"/>
                <w:szCs w:val="21"/>
              </w:rPr>
              <w:t>合计</w:t>
            </w:r>
            <w:r>
              <w:rPr>
                <w:rFonts w:ascii="宋体" w:hAnsi="宋体" w:hint="eastAsia"/>
                <w:szCs w:val="21"/>
                <w:lang w:eastAsia="zh-Hans"/>
              </w:rPr>
              <w:t xml:space="preserve"> </w:t>
            </w:r>
          </w:p>
        </w:tc>
        <w:tc>
          <w:tcPr>
            <w:tcW w:w="2049"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szCs w:val="21"/>
                <w:lang w:eastAsia="zh-Hans"/>
              </w:rPr>
              <w:t>110,114,355.0</w:t>
            </w:r>
            <w:r>
              <w:rPr>
                <w:rFonts w:ascii="宋体" w:hAnsi="宋体" w:hint="eastAsia"/>
                <w:szCs w:val="21"/>
                <w:lang w:eastAsia="zh-Hans"/>
              </w:rPr>
              <w:t>6</w:t>
            </w:r>
          </w:p>
        </w:tc>
        <w:tc>
          <w:tcPr>
            <w:tcW w:w="18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szCs w:val="21"/>
                <w:lang w:eastAsia="zh-Hans"/>
              </w:rPr>
              <w:t>88.7</w:t>
            </w:r>
            <w:r>
              <w:rPr>
                <w:rFonts w:ascii="宋体" w:hAnsi="宋体" w:hint="eastAsia"/>
                <w:szCs w:val="21"/>
                <w:lang w:eastAsia="zh-Hans"/>
              </w:rPr>
              <w:t>2</w:t>
            </w:r>
            <w:bookmarkEnd w:id="203"/>
          </w:p>
        </w:tc>
      </w:tr>
    </w:tbl>
    <w:p w:rsidR="009D736C" w:rsidRDefault="009D736C">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国家（地区）类别根据其所在的证券交易所确定，</w:t>
      </w:r>
      <w:r>
        <w:rPr>
          <w:rFonts w:ascii="宋体" w:hAnsi="宋体" w:hint="eastAsia"/>
        </w:rPr>
        <w:t>ADR</w:t>
      </w:r>
      <w:r>
        <w:rPr>
          <w:rFonts w:ascii="宋体" w:hAnsi="宋体" w:hint="eastAsia"/>
        </w:rPr>
        <w:t>、</w:t>
      </w:r>
      <w:r>
        <w:rPr>
          <w:rFonts w:ascii="宋体" w:hAnsi="宋体" w:hint="eastAsia"/>
        </w:rPr>
        <w:t>GDR</w:t>
      </w:r>
      <w:r>
        <w:rPr>
          <w:rFonts w:ascii="宋体" w:hAnsi="宋体" w:hint="eastAsia"/>
        </w:rPr>
        <w:t>按照存托凭证本身挂牌的证券交易所确定</w:t>
      </w:r>
      <w:r>
        <w:rPr>
          <w:rFonts w:ascii="宋体" w:hAnsi="宋体" w:hint="eastAsia"/>
        </w:rPr>
        <w:t>。</w:t>
      </w:r>
    </w:p>
    <w:p w:rsidR="009D736C" w:rsidRDefault="009D736C">
      <w:pPr>
        <w:pStyle w:val="XBRLTitle2"/>
        <w:spacing w:before="156" w:line="360" w:lineRule="auto"/>
        <w:ind w:left="454"/>
      </w:pPr>
      <w:bookmarkStart w:id="205" w:name="_Toc514088262"/>
      <w:bookmarkStart w:id="206" w:name="_Toc480465434"/>
      <w:bookmarkStart w:id="207" w:name="_Toc448480300"/>
      <w:bookmarkStart w:id="208" w:name="_Toc438654088"/>
      <w:bookmarkStart w:id="209" w:name="_Toc456107133"/>
      <w:bookmarkStart w:id="210" w:name="_Toc459213779"/>
      <w:bookmarkStart w:id="211" w:name="_Toc513542663"/>
      <w:bookmarkStart w:id="212" w:name="_Toc512696265"/>
      <w:bookmarkStart w:id="213" w:name="_Toc512612268"/>
      <w:bookmarkStart w:id="214" w:name="_Toc512612092"/>
      <w:bookmarkStart w:id="215" w:name="_Toc512611296"/>
      <w:bookmarkStart w:id="216" w:name="m503"/>
      <w:bookmarkEnd w:id="204"/>
      <w:r>
        <w:rPr>
          <w:rFonts w:eastAsia="宋体" w:hint="eastAsia"/>
        </w:rPr>
        <w:t>报告期末按行业分类的股票及存托凭证投资组</w:t>
      </w:r>
      <w:r>
        <w:rPr>
          <w:rFonts w:eastAsia="宋体" w:hint="eastAsia"/>
        </w:rPr>
        <w:t>合</w:t>
      </w:r>
      <w:bookmarkEnd w:id="205"/>
      <w:bookmarkEnd w:id="206"/>
      <w:bookmarkEnd w:id="207"/>
      <w:bookmarkEnd w:id="208"/>
      <w:bookmarkEnd w:id="209"/>
      <w:bookmarkEnd w:id="210"/>
      <w:r>
        <w:rPr>
          <w:rFonts w:hint="eastAsia"/>
        </w:rPr>
        <w:t xml:space="preserve"> </w:t>
      </w:r>
      <w:bookmarkEnd w:id="211"/>
      <w:bookmarkEnd w:id="212"/>
      <w:bookmarkEnd w:id="213"/>
      <w:bookmarkEnd w:id="214"/>
      <w:bookmarkEnd w:id="215"/>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219"/>
        <w:gridCol w:w="3818"/>
        <w:gridCol w:w="1798"/>
      </w:tblGrid>
      <w:tr w:rsidR="00000000">
        <w:trPr>
          <w:divId w:val="1737781257"/>
        </w:trPr>
        <w:tc>
          <w:tcPr>
            <w:tcW w:w="32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rPr>
                <w:rFonts w:hint="eastAsia"/>
              </w:rPr>
            </w:pPr>
            <w:bookmarkStart w:id="217" w:name="m08QD_03_01_tab"/>
            <w:bookmarkStart w:id="218" w:name="m08QD_03_tab"/>
            <w:bookmarkStart w:id="219" w:name="m08QD_03_01"/>
            <w:r>
              <w:rPr>
                <w:rFonts w:ascii="宋体" w:hAnsi="宋体" w:hint="eastAsia"/>
                <w:color w:val="000000"/>
              </w:rPr>
              <w:t>行业类别</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color w:val="000000"/>
              </w:rPr>
              <w:t>公允价值（人民币元）</w:t>
            </w:r>
            <w:r>
              <w:rPr>
                <w:rFonts w:ascii="宋体" w:hAnsi="宋体" w:hint="eastAsia"/>
                <w:color w:val="000000"/>
                <w:lang w:eastAsia="zh-Hans"/>
              </w:rPr>
              <w:t xml:space="preserve"> </w:t>
            </w:r>
          </w:p>
        </w:tc>
        <w:tc>
          <w:tcPr>
            <w:tcW w:w="1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r>
              <w:rPr>
                <w:rFonts w:ascii="宋体" w:hAnsi="宋体" w:hint="eastAsia"/>
                <w:color w:val="000000"/>
              </w:rPr>
              <w:t>占基金资产净值比例</w:t>
            </w:r>
            <w:r>
              <w:rPr>
                <w:rFonts w:ascii="宋体" w:hAnsi="宋体" w:hint="eastAsia"/>
                <w:color w:val="000000"/>
                <w:lang w:eastAsia="zh-Hans"/>
              </w:rPr>
              <w:t>(%)</w:t>
            </w:r>
            <w:r>
              <w:rPr>
                <w:rFonts w:ascii="宋体" w:hAnsi="宋体" w:hint="eastAsia"/>
                <w:b/>
                <w:color w:val="000000"/>
                <w:lang w:eastAsia="zh-Hans"/>
              </w:rPr>
              <w:t xml:space="preserve"> </w:t>
            </w:r>
          </w:p>
        </w:tc>
      </w:tr>
      <w:tr w:rsidR="00000000">
        <w:trPr>
          <w:divId w:val="1737781257"/>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left"/>
            </w:pPr>
            <w:r>
              <w:rPr>
                <w:rFonts w:ascii="宋体" w:hAnsi="宋体" w:hint="eastAsia"/>
                <w:color w:val="000000"/>
                <w:lang w:eastAsia="zh-Hans"/>
              </w:rPr>
              <w:t>基础材</w:t>
            </w:r>
            <w:r>
              <w:rPr>
                <w:rFonts w:ascii="宋体" w:hAnsi="宋体" w:hint="eastAsia"/>
                <w:color w:val="000000"/>
                <w:lang w:eastAsia="zh-Hans"/>
              </w:rPr>
              <w:t>料</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24,346,564.3</w:t>
            </w:r>
            <w:r>
              <w:rPr>
                <w:rFonts w:ascii="宋体" w:hAnsi="宋体" w:hint="eastAsia"/>
                <w:color w:val="000000"/>
                <w:lang w:eastAsia="zh-Hans"/>
              </w:rPr>
              <w:t>7</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19.6</w:t>
            </w:r>
            <w:r>
              <w:rPr>
                <w:rFonts w:ascii="宋体" w:hAnsi="宋体" w:hint="eastAsia"/>
                <w:color w:val="000000"/>
                <w:lang w:eastAsia="zh-Hans"/>
              </w:rPr>
              <w:t>2</w:t>
            </w:r>
          </w:p>
        </w:tc>
      </w:tr>
      <w:tr w:rsidR="00000000">
        <w:trPr>
          <w:divId w:val="1737781257"/>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left"/>
            </w:pPr>
            <w:r>
              <w:rPr>
                <w:rFonts w:ascii="宋体" w:hAnsi="宋体" w:hint="eastAsia"/>
                <w:color w:val="000000"/>
                <w:lang w:eastAsia="zh-Hans"/>
              </w:rPr>
              <w:t>工</w:t>
            </w:r>
            <w:r>
              <w:rPr>
                <w:rFonts w:ascii="宋体" w:hAnsi="宋体" w:hint="eastAsia"/>
                <w:color w:val="000000"/>
                <w:lang w:eastAsia="zh-Hans"/>
              </w:rPr>
              <w:t>业</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19,169,261.2</w:t>
            </w:r>
            <w:r>
              <w:rPr>
                <w:rFonts w:ascii="宋体" w:hAnsi="宋体" w:hint="eastAsia"/>
                <w:color w:val="000000"/>
                <w:lang w:eastAsia="zh-Hans"/>
              </w:rPr>
              <w:t>4</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15.4</w:t>
            </w:r>
            <w:r>
              <w:rPr>
                <w:rFonts w:ascii="宋体" w:hAnsi="宋体" w:hint="eastAsia"/>
                <w:color w:val="000000"/>
                <w:lang w:eastAsia="zh-Hans"/>
              </w:rPr>
              <w:t>4</w:t>
            </w:r>
          </w:p>
        </w:tc>
      </w:tr>
      <w:tr w:rsidR="00000000">
        <w:trPr>
          <w:divId w:val="1737781257"/>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left"/>
            </w:pPr>
            <w:r>
              <w:rPr>
                <w:rFonts w:ascii="宋体" w:hAnsi="宋体" w:hint="eastAsia"/>
                <w:color w:val="000000"/>
                <w:lang w:eastAsia="zh-Hans"/>
              </w:rPr>
              <w:t>信息技</w:t>
            </w:r>
            <w:r>
              <w:rPr>
                <w:rFonts w:ascii="宋体" w:hAnsi="宋体" w:hint="eastAsia"/>
                <w:color w:val="000000"/>
                <w:lang w:eastAsia="zh-Hans"/>
              </w:rPr>
              <w:t>术</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65,312,874.6</w:t>
            </w:r>
            <w:r>
              <w:rPr>
                <w:rFonts w:ascii="宋体" w:hAnsi="宋体" w:hint="eastAsia"/>
                <w:color w:val="000000"/>
                <w:lang w:eastAsia="zh-Hans"/>
              </w:rPr>
              <w:t>4</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52.6</w:t>
            </w:r>
            <w:r>
              <w:rPr>
                <w:rFonts w:ascii="宋体" w:hAnsi="宋体" w:hint="eastAsia"/>
                <w:color w:val="000000"/>
                <w:lang w:eastAsia="zh-Hans"/>
              </w:rPr>
              <w:t>2</w:t>
            </w:r>
          </w:p>
        </w:tc>
      </w:tr>
      <w:tr w:rsidR="00000000">
        <w:trPr>
          <w:divId w:val="1737781257"/>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left"/>
            </w:pPr>
            <w:r>
              <w:rPr>
                <w:rFonts w:ascii="宋体" w:hAnsi="宋体" w:hint="eastAsia"/>
                <w:color w:val="000000"/>
                <w:lang w:eastAsia="zh-Hans"/>
              </w:rPr>
              <w:t>电信服</w:t>
            </w:r>
            <w:r>
              <w:rPr>
                <w:rFonts w:ascii="宋体" w:hAnsi="宋体" w:hint="eastAsia"/>
                <w:color w:val="000000"/>
                <w:lang w:eastAsia="zh-Hans"/>
              </w:rPr>
              <w:t>务</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1,285,654.8</w:t>
            </w:r>
            <w:r>
              <w:rPr>
                <w:rFonts w:ascii="宋体" w:hAnsi="宋体" w:hint="eastAsia"/>
                <w:color w:val="000000"/>
                <w:lang w:eastAsia="zh-Hans"/>
              </w:rPr>
              <w:t>1</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1.0</w:t>
            </w:r>
            <w:r>
              <w:rPr>
                <w:rFonts w:ascii="宋体" w:hAnsi="宋体" w:hint="eastAsia"/>
                <w:color w:val="000000"/>
                <w:lang w:eastAsia="zh-Hans"/>
              </w:rPr>
              <w:t>4</w:t>
            </w:r>
          </w:p>
        </w:tc>
      </w:tr>
      <w:tr w:rsidR="00000000">
        <w:trPr>
          <w:divId w:val="1737781257"/>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rPr>
              <w:t>合计</w:t>
            </w:r>
            <w:r>
              <w:rPr>
                <w:rFonts w:ascii="宋体" w:hAnsi="宋体" w:hint="eastAsia"/>
                <w:color w:val="000000"/>
                <w:lang w:eastAsia="zh-Hans"/>
              </w:rPr>
              <w:t xml:space="preserve"> </w:t>
            </w: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110,114,355.0</w:t>
            </w:r>
            <w:r>
              <w:rPr>
                <w:rFonts w:ascii="宋体" w:hAnsi="宋体" w:hint="eastAsia"/>
                <w:color w:val="000000"/>
                <w:lang w:eastAsia="zh-Hans"/>
              </w:rPr>
              <w:t>6</w:t>
            </w:r>
          </w:p>
        </w:tc>
        <w:tc>
          <w:tcPr>
            <w:tcW w:w="1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88.7</w:t>
            </w:r>
            <w:r>
              <w:rPr>
                <w:rFonts w:ascii="宋体" w:hAnsi="宋体" w:hint="eastAsia"/>
                <w:color w:val="000000"/>
                <w:lang w:eastAsia="zh-Hans"/>
              </w:rPr>
              <w:t>2</w:t>
            </w:r>
          </w:p>
        </w:tc>
      </w:tr>
    </w:tbl>
    <w:p w:rsidR="009D736C" w:rsidRDefault="009D736C">
      <w:pPr>
        <w:spacing w:line="360" w:lineRule="auto"/>
        <w:jc w:val="left"/>
        <w:divId w:val="964702719"/>
      </w:pPr>
      <w:bookmarkStart w:id="220" w:name="_Toc247616244"/>
      <w:bookmarkStart w:id="221" w:name="_Toc433036708"/>
      <w:bookmarkStart w:id="222" w:name="_Toc247613259"/>
      <w:bookmarkStart w:id="223" w:name="m08QD_04_01"/>
      <w:bookmarkStart w:id="224" w:name="m07_04_07_02"/>
      <w:bookmarkEnd w:id="217"/>
      <w:bookmarkEnd w:id="218"/>
      <w:bookmarkEnd w:id="219"/>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bookmarkEnd w:id="220"/>
      <w:bookmarkEnd w:id="221"/>
      <w:bookmarkEnd w:id="222"/>
      <w:r>
        <w:rPr>
          <w:rFonts w:ascii="宋体" w:hAnsi="宋体" w:hint="eastAsia"/>
          <w:szCs w:val="21"/>
          <w:lang w:eastAsia="zh-Hans"/>
        </w:rPr>
        <w:t xml:space="preserve"> </w:t>
      </w:r>
    </w:p>
    <w:p w:rsidR="009D736C" w:rsidRDefault="009D736C">
      <w:pPr>
        <w:pStyle w:val="XBRLTitle2"/>
        <w:spacing w:before="156" w:line="360" w:lineRule="auto"/>
        <w:ind w:left="454"/>
      </w:pPr>
      <w:bookmarkStart w:id="225" w:name="_Toc5140882991"/>
      <w:bookmarkStart w:id="226" w:name="_Toc480465441"/>
      <w:bookmarkStart w:id="227" w:name="_Toc459213786"/>
      <w:bookmarkStart w:id="228" w:name="_Toc456107140"/>
      <w:bookmarkStart w:id="229" w:name="_Toc438654095"/>
      <w:bookmarkStart w:id="230" w:name="_Toc448480307"/>
      <w:bookmarkStart w:id="231" w:name="_Toc513542670"/>
      <w:bookmarkStart w:id="232" w:name="_Toc512696272"/>
      <w:bookmarkStart w:id="233" w:name="_Toc512612275"/>
      <w:bookmarkStart w:id="234" w:name="_Toc512612099"/>
      <w:bookmarkStart w:id="235" w:name="_Toc512611303"/>
      <w:bookmarkEnd w:id="216"/>
      <w:r>
        <w:rPr>
          <w:rFonts w:eastAsia="宋体" w:hint="eastAsia"/>
        </w:rPr>
        <w:t>期末按公允价值占基金资产净值比例大小排序的权益投资明</w:t>
      </w:r>
      <w:r>
        <w:rPr>
          <w:rFonts w:eastAsia="宋体" w:hint="eastAsia"/>
        </w:rPr>
        <w:t>细</w:t>
      </w:r>
      <w:bookmarkEnd w:id="225"/>
      <w:r>
        <w:rPr>
          <w:rFonts w:eastAsia="宋体" w:hint="eastAsia"/>
        </w:rPr>
        <w:t xml:space="preserve"> </w:t>
      </w:r>
    </w:p>
    <w:p w:rsidR="009D736C" w:rsidRDefault="009D736C">
      <w:pPr>
        <w:pStyle w:val="XBRLTitle3"/>
        <w:spacing w:before="156" w:line="360" w:lineRule="auto"/>
        <w:ind w:left="624"/>
        <w:rPr>
          <w:rFonts w:hint="eastAsia"/>
        </w:rPr>
      </w:pPr>
      <w:bookmarkStart w:id="236" w:name="m510_01_1597"/>
      <w:r>
        <w:rPr>
          <w:rFonts w:hAnsi="宋体" w:hint="eastAsia"/>
        </w:rPr>
        <w:t>报告期末按公允价值占基金资产净值比例大小排序的前十名股票及存托凭证投资明</w:t>
      </w:r>
      <w:r>
        <w:rPr>
          <w:rFonts w:hAnsi="宋体" w:hint="eastAsia"/>
        </w:rPr>
        <w:t>细</w:t>
      </w:r>
      <w:bookmarkStart w:id="237" w:name="_Toc5140882992"/>
      <w:bookmarkStart w:id="238" w:name="_Toc513542671"/>
      <w:bookmarkStart w:id="239" w:name="_Toc480465442"/>
      <w:bookmarkEnd w:id="237"/>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426"/>
        <w:gridCol w:w="2316"/>
        <w:gridCol w:w="652"/>
        <w:gridCol w:w="846"/>
        <w:gridCol w:w="490"/>
        <w:gridCol w:w="636"/>
        <w:gridCol w:w="951"/>
        <w:gridCol w:w="1581"/>
        <w:gridCol w:w="937"/>
      </w:tblGrid>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rPr>
                <w:rFonts w:hint="eastAsia"/>
              </w:rPr>
            </w:pPr>
            <w:bookmarkStart w:id="240" w:name="m08QD_04_01_tab"/>
            <w:r>
              <w:rPr>
                <w:rFonts w:ascii="宋体" w:hAnsi="宋体" w:hint="eastAsia"/>
              </w:rPr>
              <w:t>序号</w:t>
            </w:r>
            <w:r>
              <w:rPr>
                <w:rFonts w:ascii="宋体" w:hAnsi="宋体" w:hint="eastAsia"/>
                <w:lang w:eastAsia="zh-Hans"/>
              </w:rPr>
              <w:t xml:space="preserve"> </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公司名称</w:t>
            </w:r>
            <w:r>
              <w:rPr>
                <w:rFonts w:ascii="宋体" w:hAnsi="宋体" w:hint="eastAsia"/>
                <w:lang w:eastAsia="zh-Hans"/>
              </w:rPr>
              <w:t>(</w:t>
            </w:r>
            <w:r>
              <w:rPr>
                <w:rFonts w:ascii="宋体" w:hAnsi="宋体" w:hint="eastAsia"/>
              </w:rPr>
              <w:t>英文</w:t>
            </w:r>
            <w:r>
              <w:rPr>
                <w:rFonts w:ascii="宋体" w:hAnsi="宋体" w:hint="eastAsia"/>
                <w:lang w:eastAsia="zh-Hans"/>
              </w:rPr>
              <w:t xml:space="preserve">) </w:t>
            </w:r>
          </w:p>
        </w:tc>
        <w:tc>
          <w:tcPr>
            <w:tcW w:w="6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公司名称</w:t>
            </w:r>
            <w:r>
              <w:rPr>
                <w:rFonts w:ascii="宋体" w:hAnsi="宋体" w:hint="eastAsia"/>
                <w:lang w:eastAsia="zh-Hans"/>
              </w:rPr>
              <w:t>(</w:t>
            </w:r>
            <w:r>
              <w:rPr>
                <w:rFonts w:ascii="宋体" w:hAnsi="宋体" w:hint="eastAsia"/>
              </w:rPr>
              <w:t>中文</w:t>
            </w:r>
            <w:r>
              <w:rPr>
                <w:rFonts w:ascii="宋体" w:hAnsi="宋体" w:hint="eastAsia"/>
                <w:lang w:eastAsia="zh-Hans"/>
              </w:rPr>
              <w:t xml:space="preserve">) </w:t>
            </w:r>
          </w:p>
        </w:tc>
        <w:tc>
          <w:tcPr>
            <w:tcW w:w="461"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证券代码</w:t>
            </w:r>
            <w:r>
              <w:rPr>
                <w:rFonts w:ascii="宋体" w:hAnsi="宋体" w:hint="eastAsia"/>
                <w:lang w:eastAsia="zh-Hans"/>
              </w:rPr>
              <w:t xml:space="preserve"> </w:t>
            </w:r>
          </w:p>
        </w:tc>
        <w:tc>
          <w:tcPr>
            <w:tcW w:w="5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所在证券市场</w:t>
            </w:r>
            <w:r>
              <w:rPr>
                <w:rFonts w:ascii="宋体" w:hAnsi="宋体" w:hint="eastAsia"/>
                <w:lang w:eastAsia="zh-Hans"/>
              </w:rPr>
              <w:t xml:space="preserve"> </w:t>
            </w:r>
          </w:p>
        </w:tc>
        <w:tc>
          <w:tcPr>
            <w:tcW w:w="44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所属国家（地区）</w:t>
            </w:r>
            <w:r>
              <w:rPr>
                <w:rFonts w:ascii="宋体" w:hAnsi="宋体" w:hint="eastAsia"/>
                <w:lang w:eastAsia="zh-Hans"/>
              </w:rPr>
              <w:t xml:space="preserve"> </w:t>
            </w:r>
          </w:p>
        </w:tc>
        <w:tc>
          <w:tcPr>
            <w:tcW w:w="4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数量</w:t>
            </w:r>
            <w:r>
              <w:rPr>
                <w:rFonts w:ascii="宋体" w:hAnsi="宋体" w:hint="eastAsia"/>
                <w:lang w:eastAsia="zh-Hans"/>
              </w:rPr>
              <w:t>(</w:t>
            </w:r>
            <w:r>
              <w:rPr>
                <w:rFonts w:ascii="宋体" w:hAnsi="宋体" w:hint="eastAsia"/>
              </w:rPr>
              <w:t>股</w:t>
            </w:r>
            <w:r>
              <w:rPr>
                <w:rFonts w:ascii="宋体" w:hAnsi="宋体" w:hint="eastAsia"/>
                <w:lang w:eastAsia="zh-Hans"/>
              </w:rPr>
              <w:t xml:space="preserve">) </w:t>
            </w:r>
          </w:p>
        </w:tc>
        <w:tc>
          <w:tcPr>
            <w:tcW w:w="525"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公允价值（人民币元）</w:t>
            </w:r>
            <w:r>
              <w:rPr>
                <w:rFonts w:ascii="宋体" w:hAnsi="宋体" w:hint="eastAsia"/>
              </w:rPr>
              <w:t xml:space="preserve"> </w:t>
            </w:r>
          </w:p>
        </w:tc>
        <w:tc>
          <w:tcPr>
            <w:tcW w:w="89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9D736C" w:rsidRDefault="009D736C">
            <w:pPr>
              <w:jc w:val="center"/>
            </w:pPr>
            <w:r>
              <w:rPr>
                <w:rFonts w:ascii="宋体" w:hAnsi="宋体" w:hint="eastAsia"/>
              </w:rPr>
              <w:t>占基金资产净值比例</w:t>
            </w:r>
            <w:r>
              <w:rPr>
                <w:rFonts w:ascii="宋体" w:hAnsi="宋体" w:hint="eastAsia"/>
                <w:lang w:eastAsia="zh-Hans"/>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1</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SUZHOU DONGSHAN PRECISION MANUFACTURING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东山精</w:t>
            </w:r>
            <w:r>
              <w:rPr>
                <w:rFonts w:ascii="宋体" w:hAnsi="宋体" w:hint="eastAsia"/>
                <w:color w:val="000000"/>
                <w:lang w:eastAsia="zh-Hans"/>
              </w:rPr>
              <w:t>密</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00238</w:t>
            </w:r>
            <w:r>
              <w:rPr>
                <w:rFonts w:ascii="宋体" w:hAnsi="宋体" w:hint="eastAsia"/>
                <w:color w:val="000000"/>
                <w:lang w:eastAsia="zh-Hans"/>
              </w:rPr>
              <w:t>4</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45,77</w:t>
            </w:r>
            <w:r>
              <w:rPr>
                <w:rFonts w:ascii="宋体" w:hAnsi="宋体" w:hint="eastAsia"/>
                <w:color w:val="000000"/>
                <w:lang w:eastAsia="zh-Hans"/>
              </w:rPr>
              <w:t>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12,009,595.9</w:t>
            </w:r>
            <w:r>
              <w:rPr>
                <w:rFonts w:ascii="宋体" w:hAnsi="宋体" w:hint="eastAsia"/>
                <w:color w:val="000000"/>
                <w:lang w:eastAsia="zh-Hans"/>
              </w:rPr>
              <w:t>5</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9.6</w:t>
            </w:r>
            <w:r>
              <w:rPr>
                <w:rFonts w:ascii="宋体" w:hAnsi="宋体" w:hint="eastAsia"/>
                <w:color w:val="000000"/>
                <w:lang w:eastAsia="zh-Hans"/>
              </w:rPr>
              <w:t>8</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2</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CANMAX TECHNOLOGIES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天华新</w:t>
            </w:r>
            <w:r>
              <w:rPr>
                <w:rFonts w:ascii="宋体" w:hAnsi="宋体" w:hint="eastAsia"/>
                <w:color w:val="000000"/>
                <w:lang w:eastAsia="zh-Hans"/>
              </w:rPr>
              <w:t>能</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30039</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116,70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10,912,617.0</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8.7</w:t>
            </w:r>
            <w:r>
              <w:rPr>
                <w:rFonts w:ascii="宋体" w:hAnsi="宋体" w:hint="eastAsia"/>
                <w:color w:val="000000"/>
                <w:lang w:eastAsia="zh-Hans"/>
              </w:rPr>
              <w:t>9</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3</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ZHONGJI INNOLIGHT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中际旭</w:t>
            </w:r>
            <w:r>
              <w:rPr>
                <w:rFonts w:ascii="宋体" w:hAnsi="宋体" w:hint="eastAsia"/>
                <w:color w:val="000000"/>
                <w:lang w:eastAsia="zh-Hans"/>
              </w:rPr>
              <w:t>创</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30030</w:t>
            </w:r>
            <w:r>
              <w:rPr>
                <w:rFonts w:ascii="宋体" w:hAnsi="宋体" w:hint="eastAsia"/>
                <w:color w:val="000000"/>
                <w:lang w:eastAsia="zh-Hans"/>
              </w:rPr>
              <w:t>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8,40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10,668,000.0</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8.5</w:t>
            </w:r>
            <w:r>
              <w:rPr>
                <w:rFonts w:ascii="宋体" w:hAnsi="宋体" w:hint="eastAsia"/>
                <w:color w:val="000000"/>
                <w:lang w:eastAsia="zh-Hans"/>
              </w:rPr>
              <w:t>9</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4</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SEMICONDUCTOR MANUFACTURIN</w:t>
            </w:r>
            <w:r>
              <w:rPr>
                <w:rFonts w:ascii="宋体" w:hAnsi="宋体" w:hint="eastAsia"/>
                <w:color w:val="000000"/>
                <w:lang w:eastAsia="zh-Hans"/>
              </w:rPr>
              <w:t>G</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中芯国</w:t>
            </w:r>
            <w:r>
              <w:rPr>
                <w:rFonts w:ascii="宋体" w:hAnsi="宋体" w:hint="eastAsia"/>
                <w:color w:val="000000"/>
                <w:lang w:eastAsia="zh-Hans"/>
              </w:rPr>
              <w:t>际</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98</w:t>
            </w:r>
            <w:r>
              <w:rPr>
                <w:rFonts w:ascii="宋体" w:hAnsi="宋体" w:hint="eastAsia"/>
                <w:color w:val="000000"/>
                <w:lang w:eastAsia="zh-Hans"/>
              </w:rPr>
              <w:t>1</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100,83</w:t>
            </w:r>
            <w:r>
              <w:rPr>
                <w:rFonts w:ascii="宋体" w:hAnsi="宋体" w:hint="eastAsia"/>
                <w:color w:val="000000"/>
                <w:lang w:eastAsia="zh-Hans"/>
              </w:rPr>
              <w:t>7</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7,829,828.6</w:t>
            </w:r>
            <w:r>
              <w:rPr>
                <w:rFonts w:ascii="宋体" w:hAnsi="宋体" w:hint="eastAsia"/>
                <w:color w:val="000000"/>
                <w:lang w:eastAsia="zh-Hans"/>
              </w:rPr>
              <w:t>9</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6.3</w:t>
            </w:r>
            <w:r>
              <w:rPr>
                <w:rFonts w:ascii="宋体" w:hAnsi="宋体" w:hint="eastAsia"/>
                <w:color w:val="000000"/>
                <w:lang w:eastAsia="zh-Hans"/>
              </w:rPr>
              <w:t>1</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5</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YOFC-</w:t>
            </w:r>
            <w:r>
              <w:rPr>
                <w:rFonts w:ascii="宋体" w:hAnsi="宋体" w:hint="eastAsia"/>
                <w:color w:val="000000"/>
                <w:lang w:eastAsia="zh-Hans"/>
              </w:rPr>
              <w:t>H</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长飞光纤光</w:t>
            </w:r>
            <w:r>
              <w:rPr>
                <w:rFonts w:ascii="宋体" w:hAnsi="宋体" w:hint="eastAsia"/>
                <w:color w:val="000000"/>
                <w:lang w:eastAsia="zh-Hans"/>
              </w:rPr>
              <w:t>缆</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686</w:t>
            </w:r>
            <w:r>
              <w:rPr>
                <w:rFonts w:ascii="宋体" w:hAnsi="宋体" w:hint="eastAsia"/>
                <w:color w:val="000000"/>
                <w:lang w:eastAsia="zh-Hans"/>
              </w:rPr>
              <w:t>9</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32,11</w:t>
            </w:r>
            <w:r>
              <w:rPr>
                <w:rFonts w:ascii="宋体" w:hAnsi="宋体" w:hint="eastAsia"/>
                <w:color w:val="000000"/>
                <w:lang w:eastAsia="zh-Hans"/>
              </w:rPr>
              <w:t>9</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7,124,882.9</w:t>
            </w:r>
            <w:r>
              <w:rPr>
                <w:rFonts w:ascii="宋体" w:hAnsi="宋体" w:hint="eastAsia"/>
                <w:color w:val="000000"/>
                <w:lang w:eastAsia="zh-Hans"/>
              </w:rPr>
              <w:t>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5.7</w:t>
            </w:r>
            <w:r>
              <w:rPr>
                <w:rFonts w:ascii="宋体" w:hAnsi="宋体" w:hint="eastAsia"/>
                <w:color w:val="000000"/>
                <w:lang w:eastAsia="zh-Hans"/>
              </w:rPr>
              <w:t>4</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CONTEMPORARY AMPEREX TECHNOLOGY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宁德时</w:t>
            </w:r>
            <w:r>
              <w:rPr>
                <w:rFonts w:ascii="宋体" w:hAnsi="宋体" w:hint="eastAsia"/>
                <w:color w:val="000000"/>
                <w:lang w:eastAsia="zh-Hans"/>
              </w:rPr>
              <w:t>代</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30075</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8,67</w:t>
            </w:r>
            <w:r>
              <w:rPr>
                <w:rFonts w:ascii="宋体" w:hAnsi="宋体" w:hint="eastAsia"/>
                <w:color w:val="000000"/>
                <w:lang w:eastAsia="zh-Hans"/>
              </w:rPr>
              <w:t>3</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3,408,575.7</w:t>
            </w:r>
            <w:r>
              <w:rPr>
                <w:rFonts w:ascii="宋体" w:hAnsi="宋体" w:hint="eastAsia"/>
                <w:color w:val="000000"/>
                <w:lang w:eastAsia="zh-Hans"/>
              </w:rPr>
              <w:t>3</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2.7</w:t>
            </w:r>
            <w:r>
              <w:rPr>
                <w:rFonts w:ascii="宋体" w:hAnsi="宋体" w:hint="eastAsia"/>
                <w:color w:val="000000"/>
                <w:lang w:eastAsia="zh-Hans"/>
              </w:rPr>
              <w:t>5</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6</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CONTEMPORARY AMPEREX TECHN-</w:t>
            </w:r>
            <w:r>
              <w:rPr>
                <w:rFonts w:ascii="宋体" w:hAnsi="宋体" w:hint="eastAsia"/>
                <w:color w:val="000000"/>
                <w:lang w:eastAsia="zh-Hans"/>
              </w:rPr>
              <w:t>H</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宁德时</w:t>
            </w:r>
            <w:r>
              <w:rPr>
                <w:rFonts w:ascii="宋体" w:hAnsi="宋体" w:hint="eastAsia"/>
                <w:color w:val="000000"/>
                <w:lang w:eastAsia="zh-Hans"/>
              </w:rPr>
              <w:t>代</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375</w:t>
            </w:r>
            <w:r>
              <w:rPr>
                <w:rFonts w:ascii="宋体" w:hAnsi="宋体" w:hint="eastAsia"/>
                <w:color w:val="000000"/>
                <w:lang w:eastAsia="zh-Hans"/>
              </w:rPr>
              <w:t>0</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4,10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2,499,860.6</w:t>
            </w:r>
            <w:r>
              <w:rPr>
                <w:rFonts w:ascii="宋体" w:hAnsi="宋体" w:hint="eastAsia"/>
                <w:color w:val="000000"/>
                <w:lang w:eastAsia="zh-Hans"/>
              </w:rPr>
              <w:t>1</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2.0</w:t>
            </w:r>
            <w:r>
              <w:rPr>
                <w:rFonts w:ascii="宋体" w:hAnsi="宋体" w:hint="eastAsia"/>
                <w:color w:val="000000"/>
                <w:lang w:eastAsia="zh-Hans"/>
              </w:rPr>
              <w:t>1</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7</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HUA HONG SEMICONDUCTOR LTD-</w:t>
            </w:r>
            <w:r>
              <w:rPr>
                <w:rFonts w:ascii="宋体" w:hAnsi="宋体" w:hint="eastAsia"/>
                <w:color w:val="000000"/>
                <w:lang w:eastAsia="zh-Hans"/>
              </w:rPr>
              <w:t>H</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华虹宏</w:t>
            </w:r>
            <w:r>
              <w:rPr>
                <w:rFonts w:ascii="宋体" w:hAnsi="宋体" w:hint="eastAsia"/>
                <w:color w:val="000000"/>
                <w:lang w:eastAsia="zh-Hans"/>
              </w:rPr>
              <w:t>力</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134</w:t>
            </w:r>
            <w:r>
              <w:rPr>
                <w:rFonts w:ascii="宋体" w:hAnsi="宋体" w:hint="eastAsia"/>
                <w:color w:val="000000"/>
                <w:lang w:eastAsia="zh-Hans"/>
              </w:rPr>
              <w:t>7</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香港证券交易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中国香</w:t>
            </w:r>
            <w:r>
              <w:rPr>
                <w:rFonts w:ascii="宋体" w:hAnsi="宋体" w:hint="eastAsia"/>
                <w:color w:val="000000"/>
                <w:lang w:eastAsia="zh-Hans"/>
              </w:rPr>
              <w:t>港</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27,00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5,046,622.9</w:t>
            </w:r>
            <w:r>
              <w:rPr>
                <w:rFonts w:ascii="宋体" w:hAnsi="宋体" w:hint="eastAsia"/>
                <w:color w:val="000000"/>
                <w:lang w:eastAsia="zh-Hans"/>
              </w:rPr>
              <w:t>2</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4.0</w:t>
            </w:r>
            <w:r>
              <w:rPr>
                <w:rFonts w:ascii="宋体" w:hAnsi="宋体" w:hint="eastAsia"/>
                <w:color w:val="000000"/>
                <w:lang w:eastAsia="zh-Hans"/>
              </w:rPr>
              <w:t>7</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8</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DAZHONG MINING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大中矿</w:t>
            </w:r>
            <w:r>
              <w:rPr>
                <w:rFonts w:ascii="宋体" w:hAnsi="宋体" w:hint="eastAsia"/>
                <w:color w:val="000000"/>
                <w:lang w:eastAsia="zh-Hans"/>
              </w:rPr>
              <w:t>业</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00120</w:t>
            </w:r>
            <w:r>
              <w:rPr>
                <w:rFonts w:ascii="宋体" w:hAnsi="宋体" w:hint="eastAsia"/>
                <w:color w:val="000000"/>
                <w:lang w:eastAsia="zh-Hans"/>
              </w:rPr>
              <w:t>3</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157,00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4,702,150.0</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3.7</w:t>
            </w:r>
            <w:r>
              <w:rPr>
                <w:rFonts w:ascii="宋体" w:hAnsi="宋体" w:hint="eastAsia"/>
                <w:color w:val="000000"/>
                <w:lang w:eastAsia="zh-Hans"/>
              </w:rPr>
              <w:t>9</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9</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EOPTOLINK TECHNOLOGY INC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新易</w:t>
            </w:r>
            <w:r>
              <w:rPr>
                <w:rFonts w:ascii="宋体" w:hAnsi="宋体" w:hint="eastAsia"/>
                <w:color w:val="000000"/>
                <w:lang w:eastAsia="zh-Hans"/>
              </w:rPr>
              <w:t>盛</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30050</w:t>
            </w:r>
            <w:r>
              <w:rPr>
                <w:rFonts w:ascii="宋体" w:hAnsi="宋体" w:hint="eastAsia"/>
                <w:color w:val="000000"/>
                <w:lang w:eastAsia="zh-Hans"/>
              </w:rPr>
              <w:t>2</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7,56</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4,588,920.0</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3.7</w:t>
            </w:r>
            <w:r>
              <w:rPr>
                <w:rFonts w:ascii="宋体" w:hAnsi="宋体" w:hint="eastAsia"/>
                <w:color w:val="000000"/>
                <w:lang w:eastAsia="zh-Hans"/>
              </w:rPr>
              <w:t>0</w:t>
            </w:r>
            <w:r>
              <w:rPr>
                <w:rFonts w:ascii="宋体" w:hAnsi="宋体" w:hint="eastAsia"/>
                <w:sz w:val="18"/>
              </w:rPr>
              <w:t xml:space="preserve"> </w:t>
            </w:r>
          </w:p>
        </w:tc>
      </w:tr>
      <w:tr w:rsidR="00000000">
        <w:trPr>
          <w:divId w:val="1531844639"/>
        </w:trPr>
        <w:tc>
          <w:tcPr>
            <w:tcW w:w="4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center"/>
            </w:pPr>
            <w:r>
              <w:rPr>
                <w:rFonts w:ascii="宋体" w:hAnsi="宋体" w:hint="eastAsia"/>
                <w:color w:val="000000"/>
                <w:lang w:eastAsia="zh-Hans"/>
              </w:rPr>
              <w:t>1</w:t>
            </w:r>
            <w:r>
              <w:rPr>
                <w:rFonts w:ascii="宋体" w:hAnsi="宋体" w:hint="eastAsia"/>
                <w:color w:val="000000"/>
                <w:lang w:eastAsia="zh-Hans"/>
              </w:rPr>
              <w:t>0</w:t>
            </w:r>
            <w:r>
              <w:rPr>
                <w:rFonts w:ascii="宋体" w:hAnsi="宋体" w:hint="eastAsia"/>
                <w:sz w:val="18"/>
              </w:rPr>
              <w:t xml:space="preserve"> </w:t>
            </w:r>
          </w:p>
        </w:tc>
        <w:tc>
          <w:tcPr>
            <w:tcW w:w="6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 xml:space="preserve">GUANGZHOU GREAT POWER ENERGY &amp; </w:t>
            </w:r>
            <w:r>
              <w:rPr>
                <w:rFonts w:ascii="宋体" w:hAnsi="宋体" w:hint="eastAsia"/>
                <w:color w:val="000000"/>
                <w:lang w:eastAsia="zh-Hans"/>
              </w:rPr>
              <w:t>TECHNOLOGY CO LT</w:t>
            </w:r>
            <w:r>
              <w:rPr>
                <w:rFonts w:ascii="宋体" w:hAnsi="宋体" w:hint="eastAsia"/>
                <w:color w:val="000000"/>
                <w:lang w:eastAsia="zh-Hans"/>
              </w:rPr>
              <w:t>D</w:t>
            </w:r>
            <w:r>
              <w:rPr>
                <w:rFonts w:ascii="宋体" w:hAnsi="宋体" w:hint="eastAsia"/>
                <w:sz w:val="18"/>
              </w:rPr>
              <w:t xml:space="preserve"> </w:t>
            </w:r>
          </w:p>
        </w:tc>
        <w:tc>
          <w:tcPr>
            <w:tcW w:w="6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鹏辉能</w:t>
            </w:r>
            <w:r>
              <w:rPr>
                <w:rFonts w:ascii="宋体" w:hAnsi="宋体" w:hint="eastAsia"/>
                <w:color w:val="000000"/>
                <w:lang w:eastAsia="zh-Hans"/>
              </w:rPr>
              <w:t>源</w:t>
            </w:r>
            <w:r>
              <w:rPr>
                <w:rFonts w:ascii="宋体" w:hAnsi="宋体" w:hint="eastAsia"/>
                <w:sz w:val="18"/>
              </w:rPr>
              <w:t xml:space="preserve"> </w:t>
            </w:r>
          </w:p>
        </w:tc>
        <w:tc>
          <w:tcPr>
            <w:tcW w:w="46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30043</w:t>
            </w:r>
            <w:r>
              <w:rPr>
                <w:rFonts w:ascii="宋体" w:hAnsi="宋体" w:hint="eastAsia"/>
                <w:color w:val="000000"/>
                <w:lang w:eastAsia="zh-Hans"/>
              </w:rPr>
              <w:t>8</w:t>
            </w:r>
            <w:r>
              <w:rPr>
                <w:rFonts w:ascii="宋体" w:hAnsi="宋体" w:hint="eastAsia"/>
                <w:sz w:val="18"/>
              </w:rPr>
              <w:t xml:space="preserve"> </w:t>
            </w:r>
          </w:p>
        </w:tc>
        <w:tc>
          <w:tcPr>
            <w:tcW w:w="5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深圳证券交易</w:t>
            </w:r>
            <w:r>
              <w:rPr>
                <w:rFonts w:ascii="宋体" w:hAnsi="宋体" w:hint="eastAsia"/>
                <w:color w:val="000000"/>
                <w:lang w:eastAsia="zh-Hans"/>
              </w:rPr>
              <w:t>所</w:t>
            </w:r>
            <w:r>
              <w:rPr>
                <w:rFonts w:ascii="宋体" w:hAnsi="宋体" w:hint="eastAsia"/>
                <w:sz w:val="18"/>
              </w:rPr>
              <w:t xml:space="preserve"> </w:t>
            </w:r>
          </w:p>
        </w:tc>
        <w:tc>
          <w:tcPr>
            <w:tcW w:w="44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r>
              <w:rPr>
                <w:rFonts w:ascii="宋体" w:hAnsi="宋体" w:hint="eastAsia"/>
                <w:color w:val="000000"/>
                <w:lang w:eastAsia="zh-Hans"/>
              </w:rPr>
              <w:t>中</w:t>
            </w:r>
            <w:r>
              <w:rPr>
                <w:rFonts w:ascii="宋体" w:hAnsi="宋体" w:hint="eastAsia"/>
                <w:color w:val="000000"/>
                <w:lang w:eastAsia="zh-Hans"/>
              </w:rPr>
              <w:t>国</w:t>
            </w:r>
            <w:r>
              <w:rPr>
                <w:rFonts w:ascii="宋体" w:hAnsi="宋体" w:hint="eastAsia"/>
                <w:sz w:val="18"/>
              </w:rPr>
              <w:t xml:space="preserve"> </w:t>
            </w:r>
          </w:p>
        </w:tc>
        <w:tc>
          <w:tcPr>
            <w:tcW w:w="4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45,00</w:t>
            </w:r>
            <w:r>
              <w:rPr>
                <w:rFonts w:ascii="宋体" w:hAnsi="宋体" w:hint="eastAsia"/>
                <w:color w:val="000000"/>
                <w:lang w:eastAsia="zh-Hans"/>
              </w:rPr>
              <w:t>0</w:t>
            </w:r>
            <w:r>
              <w:rPr>
                <w:rFonts w:ascii="宋体" w:hAnsi="宋体" w:hint="eastAsia"/>
                <w:sz w:val="18"/>
              </w:rPr>
              <w:t xml:space="preserve"> </w:t>
            </w:r>
          </w:p>
        </w:tc>
        <w:tc>
          <w:tcPr>
            <w:tcW w:w="52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3,728,250.0</w:t>
            </w:r>
            <w:r>
              <w:rPr>
                <w:rFonts w:ascii="宋体" w:hAnsi="宋体" w:hint="eastAsia"/>
                <w:color w:val="000000"/>
                <w:lang w:eastAsia="zh-Hans"/>
              </w:rPr>
              <w:t>0</w:t>
            </w:r>
            <w:r>
              <w:rPr>
                <w:rFonts w:ascii="宋体" w:hAnsi="宋体" w:hint="eastAsia"/>
                <w:sz w:val="18"/>
              </w:rPr>
              <w:t xml:space="preserve"> </w:t>
            </w:r>
          </w:p>
        </w:tc>
        <w:tc>
          <w:tcPr>
            <w:tcW w:w="89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D736C" w:rsidRDefault="009D736C">
            <w:pPr>
              <w:jc w:val="right"/>
            </w:pPr>
            <w:r>
              <w:rPr>
                <w:rFonts w:ascii="宋体" w:hAnsi="宋体" w:hint="eastAsia"/>
                <w:color w:val="000000"/>
                <w:lang w:eastAsia="zh-Hans"/>
              </w:rPr>
              <w:t>3.0</w:t>
            </w:r>
            <w:r>
              <w:rPr>
                <w:rFonts w:ascii="宋体" w:hAnsi="宋体" w:hint="eastAsia"/>
                <w:color w:val="000000"/>
                <w:lang w:eastAsia="zh-Hans"/>
              </w:rPr>
              <w:t>0</w:t>
            </w:r>
            <w:r>
              <w:rPr>
                <w:rFonts w:ascii="宋体" w:hAnsi="宋体" w:hint="eastAsia"/>
                <w:sz w:val="18"/>
              </w:rPr>
              <w:t xml:space="preserve"> </w:t>
            </w:r>
          </w:p>
        </w:tc>
      </w:tr>
    </w:tbl>
    <w:bookmarkEnd w:id="240"/>
    <w:p w:rsidR="009D736C" w:rsidRDefault="009D736C">
      <w:pPr>
        <w:spacing w:line="360" w:lineRule="auto"/>
      </w:pPr>
      <w:r>
        <w:rPr>
          <w:rFonts w:ascii="宋体" w:hAnsi="宋体" w:hint="eastAsia"/>
          <w:kern w:val="0"/>
          <w:szCs w:val="21"/>
        </w:rPr>
        <w:t>注</w:t>
      </w:r>
      <w:r>
        <w:rPr>
          <w:rFonts w:ascii="宋体" w:hAnsi="宋体" w:hint="eastAsia"/>
          <w:kern w:val="0"/>
          <w:szCs w:val="21"/>
        </w:rPr>
        <w:t>：</w:t>
      </w:r>
      <w:r>
        <w:rPr>
          <w:rFonts w:ascii="宋体" w:hAnsi="宋体" w:hint="eastAsia"/>
          <w:lang w:eastAsia="zh-Hans"/>
        </w:rPr>
        <w:t>此处所用证券代码的类别是当地市场代码</w:t>
      </w:r>
      <w:r>
        <w:rPr>
          <w:rFonts w:ascii="宋体" w:hAnsi="宋体" w:hint="eastAsia"/>
          <w:lang w:eastAsia="zh-Hans"/>
        </w:rPr>
        <w:t>。</w:t>
      </w:r>
      <w:bookmarkEnd w:id="223"/>
      <w:r>
        <w:rPr>
          <w:rFonts w:ascii="宋体" w:hAnsi="宋体" w:hint="eastAsia"/>
        </w:rPr>
        <w:t xml:space="preserve"> </w:t>
      </w:r>
    </w:p>
    <w:p w:rsidR="009D736C" w:rsidRDefault="009D736C">
      <w:pPr>
        <w:pStyle w:val="XBRLTitle2"/>
        <w:spacing w:before="156" w:line="360" w:lineRule="auto"/>
        <w:ind w:left="454"/>
      </w:pPr>
      <w:bookmarkStart w:id="241" w:name="_Toc514088264"/>
      <w:bookmarkStart w:id="242" w:name="_Toc480465436"/>
      <w:bookmarkStart w:id="243" w:name="_Toc448480302"/>
      <w:bookmarkStart w:id="244" w:name="_Toc438654090"/>
      <w:bookmarkStart w:id="245" w:name="_Toc456107135"/>
      <w:bookmarkStart w:id="246" w:name="_Toc459213781"/>
      <w:bookmarkStart w:id="247" w:name="_Toc513542665"/>
      <w:bookmarkStart w:id="248" w:name="_Toc512696267"/>
      <w:bookmarkStart w:id="249" w:name="_Toc512612270"/>
      <w:bookmarkStart w:id="250" w:name="_Toc512612094"/>
      <w:bookmarkStart w:id="251" w:name="_Toc512611298"/>
      <w:bookmarkStart w:id="252" w:name="m505"/>
      <w:r>
        <w:rPr>
          <w:rFonts w:eastAsia="宋体" w:hint="eastAsia"/>
        </w:rPr>
        <w:t>报告期末按债券信用等级分类的债券投资组</w:t>
      </w:r>
      <w:r>
        <w:rPr>
          <w:rFonts w:eastAsia="宋体" w:hint="eastAsia"/>
        </w:rPr>
        <w:t>合</w:t>
      </w:r>
      <w:bookmarkEnd w:id="241"/>
      <w:bookmarkEnd w:id="242"/>
      <w:bookmarkEnd w:id="243"/>
      <w:bookmarkEnd w:id="244"/>
      <w:bookmarkEnd w:id="245"/>
      <w:bookmarkEnd w:id="246"/>
      <w:r>
        <w:rPr>
          <w:rFonts w:hint="eastAsia"/>
        </w:rPr>
        <w:t xml:space="preserve"> </w:t>
      </w:r>
      <w:bookmarkEnd w:id="247"/>
      <w:bookmarkEnd w:id="248"/>
      <w:bookmarkEnd w:id="249"/>
      <w:bookmarkEnd w:id="250"/>
      <w:bookmarkEnd w:id="251"/>
    </w:p>
    <w:p w:rsidR="009D736C" w:rsidRDefault="009D736C">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p>
    <w:p w:rsidR="009D736C" w:rsidRDefault="009D736C">
      <w:pPr>
        <w:pStyle w:val="XBRLTitle2"/>
        <w:spacing w:before="156" w:line="360" w:lineRule="auto"/>
        <w:ind w:left="454"/>
      </w:pPr>
      <w:bookmarkStart w:id="253" w:name="_Toc514088265"/>
      <w:bookmarkStart w:id="254" w:name="_Toc480465437"/>
      <w:bookmarkStart w:id="255" w:name="_Toc448480303"/>
      <w:bookmarkStart w:id="256" w:name="_Toc438654091"/>
      <w:bookmarkStart w:id="257" w:name="_Toc456107136"/>
      <w:bookmarkStart w:id="258" w:name="_Toc459213782"/>
      <w:bookmarkStart w:id="259" w:name="_Toc513542666"/>
      <w:bookmarkStart w:id="260" w:name="_Toc512696268"/>
      <w:bookmarkStart w:id="261" w:name="_Toc512612271"/>
      <w:bookmarkStart w:id="262" w:name="_Toc512612095"/>
      <w:bookmarkStart w:id="263" w:name="_Toc512611299"/>
      <w:bookmarkStart w:id="264" w:name="m506"/>
      <w:bookmarkEnd w:id="252"/>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53"/>
      <w:bookmarkEnd w:id="254"/>
      <w:bookmarkEnd w:id="255"/>
      <w:bookmarkEnd w:id="256"/>
      <w:bookmarkEnd w:id="257"/>
      <w:bookmarkEnd w:id="258"/>
      <w:r>
        <w:rPr>
          <w:rFonts w:hint="eastAsia"/>
        </w:rPr>
        <w:t xml:space="preserve"> </w:t>
      </w:r>
      <w:bookmarkEnd w:id="259"/>
      <w:bookmarkEnd w:id="260"/>
      <w:bookmarkEnd w:id="261"/>
      <w:bookmarkEnd w:id="262"/>
      <w:bookmarkEnd w:id="263"/>
    </w:p>
    <w:p w:rsidR="009D736C" w:rsidRDefault="009D736C">
      <w:pPr>
        <w:spacing w:line="360" w:lineRule="auto"/>
        <w:ind w:firstLineChars="200" w:firstLine="420"/>
        <w:jc w:val="left"/>
        <w:divId w:val="1665934045"/>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9D736C" w:rsidRDefault="009D736C">
      <w:pPr>
        <w:pStyle w:val="XBRLTitle2"/>
        <w:spacing w:before="156" w:line="360" w:lineRule="auto"/>
        <w:ind w:left="454"/>
      </w:pPr>
      <w:bookmarkStart w:id="265" w:name="_Toc514088266"/>
      <w:bookmarkStart w:id="266" w:name="_Toc480465438"/>
      <w:bookmarkStart w:id="267" w:name="_Toc448480304"/>
      <w:bookmarkStart w:id="268" w:name="_Toc438654092"/>
      <w:bookmarkStart w:id="269" w:name="_Toc456107137"/>
      <w:bookmarkStart w:id="270" w:name="_Toc459213783"/>
      <w:bookmarkStart w:id="271" w:name="_Toc513542667"/>
      <w:bookmarkStart w:id="272" w:name="_Toc512696269"/>
      <w:bookmarkStart w:id="273" w:name="_Toc512612272"/>
      <w:bookmarkStart w:id="274" w:name="_Toc512612096"/>
      <w:bookmarkStart w:id="275" w:name="_Toc512611300"/>
      <w:bookmarkStart w:id="276" w:name="m507"/>
      <w:bookmarkEnd w:id="264"/>
      <w:r>
        <w:rPr>
          <w:rFonts w:eastAsia="宋体" w:hint="eastAsia"/>
        </w:rPr>
        <w:t>报告期末按公允价值占基金资产净值比例大小排名的前十名资产支持证券投资明</w:t>
      </w:r>
      <w:r>
        <w:rPr>
          <w:rFonts w:eastAsia="宋体" w:hint="eastAsia"/>
        </w:rPr>
        <w:t>细</w:t>
      </w:r>
      <w:bookmarkEnd w:id="265"/>
      <w:bookmarkEnd w:id="266"/>
      <w:bookmarkEnd w:id="267"/>
      <w:bookmarkEnd w:id="268"/>
      <w:bookmarkEnd w:id="269"/>
      <w:bookmarkEnd w:id="270"/>
      <w:r>
        <w:rPr>
          <w:rFonts w:hint="eastAsia"/>
        </w:rPr>
        <w:t xml:space="preserve"> </w:t>
      </w:r>
      <w:bookmarkEnd w:id="271"/>
      <w:bookmarkEnd w:id="272"/>
      <w:bookmarkEnd w:id="273"/>
      <w:bookmarkEnd w:id="274"/>
      <w:bookmarkEnd w:id="275"/>
    </w:p>
    <w:p w:rsidR="009D736C" w:rsidRDefault="009D736C">
      <w:pPr>
        <w:spacing w:line="360" w:lineRule="auto"/>
        <w:ind w:firstLineChars="200" w:firstLine="420"/>
        <w:jc w:val="left"/>
        <w:divId w:val="2027097756"/>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9D736C" w:rsidRDefault="009D736C">
      <w:pPr>
        <w:pStyle w:val="XBRLTitle2"/>
        <w:spacing w:before="156" w:line="360" w:lineRule="auto"/>
        <w:ind w:left="454"/>
      </w:pPr>
      <w:bookmarkStart w:id="277" w:name="_Toc514088267"/>
      <w:bookmarkStart w:id="278" w:name="_Toc480465439"/>
      <w:bookmarkStart w:id="279" w:name="_Toc459213784"/>
      <w:bookmarkStart w:id="280" w:name="_Toc456107138"/>
      <w:bookmarkStart w:id="281" w:name="_Toc438654093"/>
      <w:bookmarkStart w:id="282" w:name="_Toc448480305"/>
      <w:bookmarkStart w:id="283" w:name="_Toc513542668"/>
      <w:bookmarkStart w:id="284" w:name="_Toc512696270"/>
      <w:bookmarkStart w:id="285" w:name="_Toc512612273"/>
      <w:bookmarkStart w:id="286" w:name="_Toc512612097"/>
      <w:bookmarkStart w:id="287" w:name="_Toc512611301"/>
      <w:bookmarkStart w:id="288" w:name="m508"/>
      <w:bookmarkEnd w:id="276"/>
      <w:r>
        <w:rPr>
          <w:rFonts w:eastAsia="宋体" w:hint="eastAsia"/>
        </w:rPr>
        <w:t>报告期末按公允价值占基金资产净值比例大小排名的前五名金融衍生品投资明</w:t>
      </w:r>
      <w:r>
        <w:rPr>
          <w:rFonts w:eastAsia="宋体" w:hint="eastAsia"/>
        </w:rPr>
        <w:t>细</w:t>
      </w:r>
      <w:bookmarkEnd w:id="277"/>
      <w:bookmarkEnd w:id="278"/>
      <w:bookmarkEnd w:id="279"/>
      <w:bookmarkEnd w:id="280"/>
      <w:bookmarkEnd w:id="281"/>
      <w:bookmarkEnd w:id="282"/>
      <w:r>
        <w:rPr>
          <w:rFonts w:hint="eastAsia"/>
        </w:rPr>
        <w:t xml:space="preserve"> </w:t>
      </w:r>
      <w:bookmarkEnd w:id="283"/>
      <w:bookmarkEnd w:id="284"/>
      <w:bookmarkEnd w:id="285"/>
      <w:bookmarkEnd w:id="286"/>
      <w:bookmarkEnd w:id="287"/>
    </w:p>
    <w:p w:rsidR="009D736C" w:rsidRDefault="009D736C">
      <w:pPr>
        <w:spacing w:line="360" w:lineRule="auto"/>
        <w:ind w:firstLineChars="200" w:firstLine="420"/>
        <w:divId w:val="186531087"/>
        <w:rPr>
          <w:rFonts w:hint="eastAsia"/>
        </w:rPr>
      </w:pPr>
      <w:bookmarkStart w:id="289" w:name="m08QD_09"/>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289"/>
      <w:r>
        <w:rPr>
          <w:rFonts w:ascii="宋体" w:hAnsi="宋体" w:hint="eastAsia"/>
          <w:szCs w:val="24"/>
          <w:lang w:eastAsia="zh-Hans"/>
        </w:rPr>
        <w:t xml:space="preserve"> </w:t>
      </w:r>
    </w:p>
    <w:p w:rsidR="009D736C" w:rsidRDefault="009D736C">
      <w:pPr>
        <w:pStyle w:val="XBRLTitle2"/>
        <w:spacing w:before="156" w:line="360" w:lineRule="auto"/>
        <w:ind w:left="454"/>
      </w:pPr>
      <w:bookmarkStart w:id="290" w:name="_Toc514088268"/>
      <w:bookmarkStart w:id="291" w:name="_Toc480465440"/>
      <w:bookmarkStart w:id="292" w:name="_Toc459213785"/>
      <w:bookmarkStart w:id="293" w:name="_Toc456107139"/>
      <w:bookmarkStart w:id="294" w:name="_Toc438654094"/>
      <w:bookmarkStart w:id="295" w:name="_Toc448480306"/>
      <w:bookmarkStart w:id="296" w:name="_Toc513542669"/>
      <w:bookmarkStart w:id="297" w:name="_Toc512696271"/>
      <w:bookmarkStart w:id="298" w:name="_Toc512612274"/>
      <w:bookmarkStart w:id="299" w:name="_Toc512612098"/>
      <w:bookmarkStart w:id="300" w:name="_Toc512611302"/>
      <w:bookmarkStart w:id="301" w:name="m509"/>
      <w:bookmarkEnd w:id="288"/>
      <w:r>
        <w:rPr>
          <w:rFonts w:eastAsia="宋体" w:hint="eastAsia"/>
        </w:rPr>
        <w:t>报告期末按公允价值占基金资产净值比例大小排序的前十名基金投资明</w:t>
      </w:r>
      <w:r>
        <w:rPr>
          <w:rFonts w:eastAsia="宋体" w:hint="eastAsia"/>
        </w:rPr>
        <w:t>细</w:t>
      </w:r>
      <w:bookmarkEnd w:id="290"/>
      <w:bookmarkEnd w:id="291"/>
      <w:bookmarkEnd w:id="292"/>
      <w:bookmarkEnd w:id="293"/>
      <w:bookmarkEnd w:id="294"/>
      <w:bookmarkEnd w:id="295"/>
      <w:r>
        <w:rPr>
          <w:rFonts w:hint="eastAsia"/>
        </w:rPr>
        <w:t xml:space="preserve"> </w:t>
      </w:r>
      <w:bookmarkEnd w:id="296"/>
      <w:bookmarkEnd w:id="297"/>
      <w:bookmarkEnd w:id="298"/>
      <w:bookmarkEnd w:id="299"/>
      <w:bookmarkEnd w:id="300"/>
    </w:p>
    <w:p w:rsidR="009D736C" w:rsidRDefault="009D736C">
      <w:pPr>
        <w:spacing w:line="360" w:lineRule="auto"/>
        <w:ind w:firstLineChars="200" w:firstLine="420"/>
        <w:rPr>
          <w:rFonts w:hint="eastAsia"/>
        </w:rPr>
      </w:pPr>
      <w:bookmarkStart w:id="302" w:name="m08QD_10"/>
      <w:bookmarkEnd w:id="224"/>
      <w:r>
        <w:rPr>
          <w:rFonts w:ascii="宋体" w:hAnsi="宋体" w:hint="eastAsia"/>
          <w:szCs w:val="21"/>
          <w:lang w:eastAsia="zh-Hans"/>
        </w:rPr>
        <w:t>本基金本报告期末未持有基金</w:t>
      </w:r>
      <w:r>
        <w:rPr>
          <w:rFonts w:ascii="宋体" w:hAnsi="宋体" w:hint="eastAsia"/>
          <w:szCs w:val="21"/>
          <w:lang w:eastAsia="zh-Hans"/>
        </w:rPr>
        <w:t>。</w:t>
      </w:r>
      <w:r>
        <w:rPr>
          <w:rFonts w:ascii="宋体" w:hAnsi="宋体" w:hint="eastAsia"/>
          <w:lang w:eastAsia="zh-Hans"/>
        </w:rPr>
        <w:t xml:space="preserve"> </w:t>
      </w:r>
      <w:bookmarkEnd w:id="188"/>
      <w:bookmarkEnd w:id="189"/>
      <w:bookmarkEnd w:id="190"/>
      <w:bookmarkEnd w:id="191"/>
      <w:bookmarkEnd w:id="302"/>
    </w:p>
    <w:p w:rsidR="009D736C" w:rsidRDefault="009D736C">
      <w:pPr>
        <w:pStyle w:val="XBRLTitle2"/>
        <w:spacing w:before="156" w:line="360" w:lineRule="auto"/>
        <w:ind w:left="454"/>
      </w:pPr>
      <w:bookmarkStart w:id="303" w:name="_Toc514088269"/>
      <w:bookmarkEnd w:id="301"/>
      <w:r>
        <w:rPr>
          <w:rFonts w:eastAsia="宋体" w:hint="eastAsia"/>
        </w:rPr>
        <w:t>投资组合报告附</w:t>
      </w:r>
      <w:r>
        <w:rPr>
          <w:rFonts w:eastAsia="宋体" w:hint="eastAsia"/>
        </w:rPr>
        <w:t>注</w:t>
      </w:r>
      <w:bookmarkEnd w:id="226"/>
      <w:bookmarkEnd w:id="227"/>
      <w:bookmarkEnd w:id="228"/>
      <w:bookmarkEnd w:id="229"/>
      <w:bookmarkEnd w:id="230"/>
      <w:bookmarkEnd w:id="231"/>
      <w:bookmarkEnd w:id="232"/>
      <w:bookmarkEnd w:id="233"/>
      <w:bookmarkEnd w:id="234"/>
      <w:bookmarkEnd w:id="235"/>
      <w:bookmarkEnd w:id="303"/>
      <w:r>
        <w:rPr>
          <w:rFonts w:eastAsia="宋体" w:hint="eastAsia"/>
        </w:rPr>
        <w:t xml:space="preserve"> </w:t>
      </w:r>
    </w:p>
    <w:p w:rsidR="009D736C" w:rsidRDefault="009D736C">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04" w:name="_Toc514088270"/>
      <w:bookmarkEnd w:id="238"/>
      <w:bookmarkEnd w:id="239"/>
      <w:bookmarkEnd w:id="304"/>
      <w:r>
        <w:rPr>
          <w:rFonts w:hAnsi="宋体" w:hint="eastAsia"/>
        </w:rPr>
        <w:t xml:space="preserve"> </w:t>
      </w:r>
    </w:p>
    <w:p w:rsidR="009D736C" w:rsidRDefault="009D736C">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9D736C" w:rsidRDefault="009D736C">
      <w:pPr>
        <w:pStyle w:val="XBRLTitle3"/>
        <w:spacing w:before="156" w:line="360" w:lineRule="auto"/>
        <w:ind w:left="624"/>
      </w:pPr>
      <w:bookmarkStart w:id="305" w:name="m510_01_1598"/>
      <w:bookmarkEnd w:id="236"/>
      <w:r>
        <w:rPr>
          <w:rFonts w:hAnsi="宋体" w:hint="eastAsia"/>
        </w:rPr>
        <w:t> </w:t>
      </w:r>
      <w:r>
        <w:rPr>
          <w:rFonts w:hAnsi="宋体" w:hint="eastAsia"/>
          <w:lang w:eastAsia="zh-CN"/>
        </w:rPr>
        <w:t xml:space="preserve"> </w:t>
      </w:r>
      <w:bookmarkStart w:id="306" w:name="_Toc514088271"/>
      <w:bookmarkStart w:id="307" w:name="_Toc513542672"/>
      <w:bookmarkStart w:id="308" w:name="_Toc480465443"/>
      <w:bookmarkEnd w:id="306"/>
      <w:bookmarkEnd w:id="307"/>
      <w:bookmarkEnd w:id="308"/>
      <w:r>
        <w:rPr>
          <w:rFonts w:hAnsi="宋体" w:hint="eastAsia"/>
        </w:rPr>
        <w:t xml:space="preserve"> </w:t>
      </w:r>
    </w:p>
    <w:p w:rsidR="009D736C" w:rsidRDefault="009D736C">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9D736C" w:rsidRDefault="009D736C">
      <w:pPr>
        <w:pStyle w:val="XBRLTitle3"/>
        <w:spacing w:before="156" w:line="360" w:lineRule="auto"/>
        <w:ind w:left="624"/>
      </w:pPr>
      <w:bookmarkStart w:id="309" w:name="_Toc514088272"/>
      <w:bookmarkStart w:id="310" w:name="_Toc480465444"/>
      <w:bookmarkStart w:id="311" w:name="_Toc513542673"/>
      <w:bookmarkStart w:id="312" w:name="m510_02"/>
      <w:bookmarkEnd w:id="305"/>
      <w:r>
        <w:rPr>
          <w:rFonts w:hAnsi="宋体" w:hint="eastAsia"/>
        </w:rPr>
        <w:t>其他资产构</w:t>
      </w:r>
      <w:r>
        <w:rPr>
          <w:rFonts w:hAnsi="宋体" w:hint="eastAsia"/>
        </w:rPr>
        <w:t>成</w:t>
      </w:r>
      <w:bookmarkEnd w:id="309"/>
      <w:bookmarkEnd w:id="310"/>
      <w:r>
        <w:rPr>
          <w:rFonts w:hint="eastAsia"/>
        </w:rPr>
        <w:t xml:space="preserve"> </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49298769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D736C" w:rsidRDefault="009D736C">
            <w:pPr>
              <w:jc w:val="center"/>
            </w:pPr>
            <w:r>
              <w:rPr>
                <w:rFonts w:ascii="宋体" w:hAnsi="宋体" w:hint="eastAsia"/>
              </w:rPr>
              <w:t>金额（人民币元</w:t>
            </w:r>
            <w:r>
              <w:rPr>
                <w:rFonts w:ascii="宋体" w:hAnsi="宋体" w:hint="eastAsia"/>
              </w:rPr>
              <w:t>）</w:t>
            </w:r>
            <w:r>
              <w:t xml:space="preserve"> </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33,039.7</w:t>
            </w:r>
            <w:r>
              <w:rPr>
                <w:rFonts w:ascii="宋体" w:hAnsi="宋体" w:hint="eastAsia"/>
              </w:rPr>
              <w:t>7</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920,410.2</w:t>
            </w:r>
            <w:r>
              <w:rPr>
                <w:rFonts w:ascii="宋体" w:hAnsi="宋体" w:hint="eastAsia"/>
              </w:rPr>
              <w:t>0</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73,756.5</w:t>
            </w:r>
            <w:r>
              <w:rPr>
                <w:rFonts w:ascii="宋体" w:hAnsi="宋体" w:hint="eastAsia"/>
              </w:rPr>
              <w:t>3</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939,959.6</w:t>
            </w:r>
            <w:r>
              <w:rPr>
                <w:rFonts w:ascii="宋体" w:hAnsi="宋体" w:hint="eastAsia"/>
              </w:rPr>
              <w:t>4</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w:t>
            </w:r>
          </w:p>
        </w:tc>
      </w:tr>
      <w:tr w:rsidR="00000000">
        <w:trPr>
          <w:divId w:val="149298769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1,967,166.1</w:t>
            </w:r>
            <w:r>
              <w:rPr>
                <w:rFonts w:ascii="宋体" w:hAnsi="宋体" w:hint="eastAsia"/>
              </w:rPr>
              <w:t>4</w:t>
            </w:r>
          </w:p>
        </w:tc>
      </w:tr>
    </w:tbl>
    <w:p w:rsidR="009D736C" w:rsidRDefault="009D736C">
      <w:pPr>
        <w:pStyle w:val="XBRLTitle3"/>
        <w:spacing w:before="156" w:line="360" w:lineRule="auto"/>
        <w:ind w:left="624"/>
      </w:pPr>
      <w:bookmarkStart w:id="313" w:name="_Toc514088273"/>
      <w:bookmarkStart w:id="314" w:name="_Toc480465445"/>
      <w:bookmarkStart w:id="315" w:name="_Toc513542674"/>
      <w:bookmarkStart w:id="316" w:name="m510_03"/>
      <w:bookmarkEnd w:id="312"/>
      <w:r>
        <w:rPr>
          <w:rFonts w:hAnsi="宋体" w:hint="eastAsia"/>
        </w:rPr>
        <w:t>报告期末持有的处于转股期的可转换债券明</w:t>
      </w:r>
      <w:r>
        <w:rPr>
          <w:rFonts w:hAnsi="宋体" w:hint="eastAsia"/>
        </w:rPr>
        <w:t>细</w:t>
      </w:r>
      <w:bookmarkEnd w:id="313"/>
      <w:bookmarkEnd w:id="314"/>
      <w:r>
        <w:rPr>
          <w:rFonts w:hint="eastAsia"/>
        </w:rPr>
        <w:t xml:space="preserve"> </w:t>
      </w:r>
      <w:bookmarkEnd w:id="315"/>
    </w:p>
    <w:p w:rsidR="009D736C" w:rsidRDefault="009D736C">
      <w:pPr>
        <w:spacing w:line="360" w:lineRule="auto"/>
        <w:ind w:firstLineChars="200" w:firstLine="420"/>
        <w:jc w:val="left"/>
        <w:divId w:val="1885479306"/>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9D736C" w:rsidRDefault="009D736C">
      <w:pPr>
        <w:pStyle w:val="XBRLTitle3"/>
        <w:spacing w:before="156" w:line="360" w:lineRule="auto"/>
        <w:ind w:left="624"/>
      </w:pPr>
      <w:bookmarkStart w:id="317" w:name="_Toc514088274"/>
      <w:bookmarkStart w:id="318" w:name="_Toc480465446"/>
      <w:bookmarkStart w:id="319" w:name="_Toc513542675"/>
      <w:bookmarkStart w:id="320" w:name="m510_04"/>
      <w:bookmarkEnd w:id="316"/>
      <w:r>
        <w:rPr>
          <w:rFonts w:hAnsi="宋体" w:hint="eastAsia"/>
        </w:rPr>
        <w:t>报告期末前十名股票中存在流通受限情况的说</w:t>
      </w:r>
      <w:r>
        <w:rPr>
          <w:rFonts w:hAnsi="宋体" w:hint="eastAsia"/>
        </w:rPr>
        <w:t>明</w:t>
      </w:r>
      <w:bookmarkEnd w:id="317"/>
      <w:bookmarkEnd w:id="318"/>
      <w:r>
        <w:rPr>
          <w:rFonts w:hint="eastAsia"/>
        </w:rPr>
        <w:t xml:space="preserve"> </w:t>
      </w:r>
      <w:bookmarkEnd w:id="319"/>
    </w:p>
    <w:p w:rsidR="009D736C" w:rsidRDefault="009D736C">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9D736C" w:rsidRDefault="009D736C">
      <w:pPr>
        <w:pStyle w:val="XBRLTitle3"/>
        <w:spacing w:before="156" w:line="360" w:lineRule="auto"/>
        <w:ind w:left="624"/>
      </w:pPr>
      <w:bookmarkStart w:id="321" w:name="_Toc514088275"/>
      <w:bookmarkStart w:id="322" w:name="_Toc480465447"/>
      <w:bookmarkStart w:id="323" w:name="_Toc513542676"/>
      <w:bookmarkStart w:id="324" w:name="m510_05_1678"/>
      <w:bookmarkEnd w:id="320"/>
      <w:r>
        <w:rPr>
          <w:rFonts w:hAnsi="宋体" w:hint="eastAsia"/>
        </w:rPr>
        <w:t>投资组合报告附注的其他文字描述部</w:t>
      </w:r>
      <w:r>
        <w:rPr>
          <w:rFonts w:hAnsi="宋体" w:hint="eastAsia"/>
        </w:rPr>
        <w:t>分</w:t>
      </w:r>
      <w:bookmarkEnd w:id="321"/>
      <w:bookmarkEnd w:id="322"/>
      <w:bookmarkEnd w:id="323"/>
      <w:r>
        <w:rPr>
          <w:rFonts w:hAnsi="宋体" w:hint="eastAsia"/>
        </w:rPr>
        <w:t xml:space="preserve"> </w:t>
      </w:r>
    </w:p>
    <w:p w:rsidR="009D736C" w:rsidRDefault="009D736C">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9D736C" w:rsidRDefault="009D736C">
      <w:pPr>
        <w:pStyle w:val="XBRLTitle1"/>
        <w:spacing w:before="156"/>
        <w:ind w:left="425"/>
      </w:pPr>
      <w:bookmarkStart w:id="325" w:name="_Toc514088276"/>
      <w:bookmarkStart w:id="326" w:name="_Toc480465448"/>
      <w:bookmarkStart w:id="327" w:name="_Toc448480308"/>
      <w:bookmarkStart w:id="328" w:name="_Toc438654096"/>
      <w:bookmarkStart w:id="329" w:name="_Toc456107141"/>
      <w:bookmarkStart w:id="330" w:name="_Toc459213787"/>
      <w:bookmarkStart w:id="331" w:name="_Toc513542677"/>
      <w:bookmarkStart w:id="332" w:name="_Toc512696273"/>
      <w:bookmarkStart w:id="333" w:name="_Toc512612276"/>
      <w:bookmarkStart w:id="334" w:name="_Toc512612100"/>
      <w:bookmarkStart w:id="335" w:name="_Toc512611304"/>
      <w:bookmarkStart w:id="336" w:name="m601"/>
      <w:r>
        <w:rPr>
          <w:rFonts w:hint="eastAsia"/>
        </w:rPr>
        <w:t>开放式基金份额变</w:t>
      </w:r>
      <w:r>
        <w:rPr>
          <w:rFonts w:hint="eastAsia"/>
        </w:rPr>
        <w:t>动</w:t>
      </w:r>
      <w:bookmarkEnd w:id="325"/>
      <w:bookmarkEnd w:id="326"/>
      <w:bookmarkEnd w:id="327"/>
      <w:bookmarkEnd w:id="328"/>
      <w:bookmarkEnd w:id="329"/>
      <w:bookmarkEnd w:id="330"/>
      <w:bookmarkEnd w:id="331"/>
      <w:bookmarkEnd w:id="332"/>
      <w:bookmarkEnd w:id="333"/>
      <w:bookmarkEnd w:id="334"/>
      <w:bookmarkEnd w:id="335"/>
    </w:p>
    <w:p w:rsidR="009D736C" w:rsidRDefault="009D736C">
      <w:pPr>
        <w:wordWrap w:val="0"/>
        <w:spacing w:line="360" w:lineRule="auto"/>
        <w:jc w:val="right"/>
        <w:rPr>
          <w:rFonts w:hint="eastAsia"/>
        </w:rPr>
      </w:pPr>
      <w:bookmarkStart w:id="337"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337"/>
          <w:p w:rsidR="009D736C" w:rsidRDefault="009D736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Fonts w:ascii="宋体" w:hAnsi="宋体" w:cs="Times New Roman" w:hint="eastAsia"/>
                <w:kern w:val="2"/>
                <w:sz w:val="21"/>
              </w:rPr>
              <w:t>基金份额总额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kern w:val="0"/>
                <w:szCs w:val="24"/>
                <w:lang w:eastAsia="zh-Hans"/>
              </w:rPr>
              <w:t>59,186,317.7</w:t>
            </w:r>
            <w:r>
              <w:rPr>
                <w:rFonts w:ascii="宋体" w:hAnsi="宋体" w:hint="eastAsia"/>
                <w:kern w:val="0"/>
                <w:szCs w:val="24"/>
                <w:lang w:eastAsia="zh-Hans"/>
              </w:rPr>
              <w:t>6</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lang w:eastAsia="zh-Hans"/>
              </w:rPr>
              <w:t>8,694,347.4</w:t>
            </w:r>
            <w:r>
              <w:rPr>
                <w:rFonts w:ascii="宋体" w:hAnsi="宋体" w:hint="eastAsia"/>
                <w:lang w:eastAsia="zh-Hans"/>
              </w:rPr>
              <w:t>2</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lang w:eastAsia="zh-Hans"/>
              </w:rPr>
              <w:t>16,300,438.8</w:t>
            </w:r>
            <w:r>
              <w:rPr>
                <w:rFonts w:ascii="宋体" w:hAnsi="宋体" w:hint="eastAsia"/>
                <w:lang w:eastAsia="zh-Hans"/>
              </w:rPr>
              <w:t>3</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lang w:eastAsia="zh-Hans"/>
              </w:rPr>
              <w:t>-</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9D736C" w:rsidRDefault="009D736C">
            <w:pPr>
              <w:jc w:val="right"/>
            </w:pPr>
            <w:r>
              <w:rPr>
                <w:rFonts w:ascii="宋体" w:hAnsi="宋体" w:hint="eastAsia"/>
                <w:szCs w:val="24"/>
                <w:lang w:eastAsia="zh-Hans"/>
              </w:rPr>
              <w:t>51,580,226.3</w:t>
            </w:r>
            <w:r>
              <w:rPr>
                <w:rFonts w:ascii="宋体" w:hAnsi="宋体" w:hint="eastAsia"/>
                <w:szCs w:val="24"/>
                <w:lang w:eastAsia="zh-Hans"/>
              </w:rPr>
              <w:t>5</w:t>
            </w:r>
            <w:r>
              <w:rPr>
                <w:rFonts w:ascii="宋体" w:hAnsi="宋体" w:hint="eastAsia"/>
                <w:lang w:eastAsia="zh-Hans"/>
              </w:rPr>
              <w:t xml:space="preserve"> </w:t>
            </w:r>
          </w:p>
        </w:tc>
      </w:tr>
    </w:tbl>
    <w:p w:rsidR="009D736C" w:rsidRDefault="009D736C">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9D736C" w:rsidRDefault="009D736C">
      <w:pPr>
        <w:pStyle w:val="XBRLTitle1"/>
        <w:spacing w:before="156"/>
        <w:ind w:left="425"/>
      </w:pPr>
      <w:bookmarkStart w:id="338" w:name="m601_tab"/>
      <w:bookmarkStart w:id="339" w:name="_Toc514088277"/>
      <w:bookmarkStart w:id="340" w:name="_Toc480465449"/>
      <w:bookmarkStart w:id="341" w:name="_Toc448480309"/>
      <w:bookmarkStart w:id="342" w:name="_Toc438654097"/>
      <w:bookmarkStart w:id="343" w:name="_Toc456107142"/>
      <w:bookmarkStart w:id="344" w:name="_Toc459213788"/>
      <w:bookmarkStart w:id="345" w:name="_Toc513542678"/>
      <w:bookmarkStart w:id="346" w:name="_Toc512696274"/>
      <w:bookmarkStart w:id="347" w:name="_Toc512612277"/>
      <w:bookmarkStart w:id="348" w:name="_Toc512612101"/>
      <w:bookmarkStart w:id="349" w:name="_Toc512611305"/>
      <w:bookmarkStart w:id="350" w:name="m7manage01"/>
      <w:bookmarkEnd w:id="336"/>
      <w:bookmarkEnd w:id="338"/>
      <w:r>
        <w:rPr>
          <w:rFonts w:hint="eastAsia"/>
        </w:rPr>
        <w:t>基金管理人运用固有资金投资本基金交易明</w:t>
      </w:r>
      <w:r>
        <w:rPr>
          <w:rFonts w:hint="eastAsia"/>
        </w:rPr>
        <w:t>细</w:t>
      </w:r>
      <w:bookmarkEnd w:id="324"/>
      <w:bookmarkEnd w:id="339"/>
      <w:bookmarkEnd w:id="340"/>
      <w:bookmarkEnd w:id="341"/>
      <w:bookmarkEnd w:id="342"/>
      <w:bookmarkEnd w:id="343"/>
      <w:bookmarkEnd w:id="344"/>
      <w:bookmarkEnd w:id="345"/>
      <w:bookmarkEnd w:id="346"/>
      <w:bookmarkEnd w:id="347"/>
      <w:bookmarkEnd w:id="348"/>
      <w:bookmarkEnd w:id="349"/>
      <w:bookmarkEnd w:id="3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602685744"/>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736C" w:rsidRDefault="009D736C">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736C" w:rsidRDefault="009D736C">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736C" w:rsidRDefault="009D736C">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736C" w:rsidRDefault="009D736C">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736C" w:rsidRDefault="009D736C">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9D736C" w:rsidRDefault="009D736C">
            <w:pPr>
              <w:jc w:val="center"/>
            </w:pPr>
            <w:r>
              <w:rPr>
                <w:rFonts w:ascii="宋体" w:hAnsi="宋体" w:hint="eastAsia"/>
              </w:rPr>
              <w:t>适用费率</w:t>
            </w:r>
            <w:r>
              <w:rPr>
                <w:rFonts w:ascii="宋体" w:hAnsi="宋体" w:hint="eastAsia"/>
              </w:rPr>
              <w:t xml:space="preserve"> </w:t>
            </w:r>
          </w:p>
        </w:tc>
      </w:tr>
      <w:tr w:rsidR="00000000">
        <w:trPr>
          <w:divId w:val="160268574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2026-04-2</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-57,781.9</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-131,438.9</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0.2</w:t>
            </w:r>
            <w:r>
              <w:rPr>
                <w:rFonts w:ascii="宋体" w:hAnsi="宋体" w:hint="eastAsia"/>
              </w:rPr>
              <w:t>0</w:t>
            </w:r>
            <w:r>
              <w:t xml:space="preserve">% </w:t>
            </w:r>
          </w:p>
        </w:tc>
      </w:tr>
      <w:tr w:rsidR="00000000">
        <w:trPr>
          <w:divId w:val="160268574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2026-04-2</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-7,463.2</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-16,951.4</w:t>
            </w:r>
            <w:r>
              <w:rPr>
                <w:rFonts w:ascii="宋体" w:hAnsi="宋体" w:hint="eastAsia"/>
              </w:rPr>
              <w:t>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0.3</w:t>
            </w:r>
            <w:r>
              <w:rPr>
                <w:rFonts w:ascii="宋体" w:hAnsi="宋体" w:hint="eastAsia"/>
              </w:rPr>
              <w:t>5</w:t>
            </w:r>
            <w:r>
              <w:t xml:space="preserve">% </w:t>
            </w:r>
          </w:p>
        </w:tc>
      </w:tr>
      <w:tr w:rsidR="00000000">
        <w:trPr>
          <w:divId w:val="160268574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2026-05-1</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-7,463.2</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-17,336.7</w:t>
            </w:r>
            <w:r>
              <w:rPr>
                <w:rFonts w:ascii="宋体" w:hAnsi="宋体" w:hint="eastAsia"/>
              </w:rPr>
              <w:t>2</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0.2</w:t>
            </w:r>
            <w:r>
              <w:rPr>
                <w:rFonts w:ascii="宋体" w:hAnsi="宋体" w:hint="eastAsia"/>
              </w:rPr>
              <w:t>0</w:t>
            </w:r>
            <w:r>
              <w:t xml:space="preserve">% </w:t>
            </w:r>
          </w:p>
        </w:tc>
      </w:tr>
      <w:tr w:rsidR="00000000">
        <w:trPr>
          <w:divId w:val="160268574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-72,708.4</w:t>
            </w:r>
            <w:r>
              <w:rPr>
                <w:rFonts w:ascii="宋体" w:hAnsi="宋体" w:hint="eastAsia"/>
              </w:rPr>
              <w:t>4</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pPr>
              <w:jc w:val="right"/>
            </w:pPr>
            <w:r>
              <w:rPr>
                <w:rFonts w:ascii="宋体" w:hAnsi="宋体" w:hint="eastAsia"/>
              </w:rPr>
              <w:t>-165,727.1</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D736C" w:rsidRDefault="009D736C"/>
        </w:tc>
      </w:tr>
    </w:tbl>
    <w:p w:rsidR="009D736C" w:rsidRDefault="009D736C">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9D736C" w:rsidRDefault="009D736C">
      <w:pPr>
        <w:pStyle w:val="XBRLTitle1"/>
        <w:spacing w:before="156"/>
        <w:ind w:left="425"/>
      </w:pPr>
      <w:bookmarkStart w:id="351" w:name="_Toc17881714"/>
      <w:bookmarkStart w:id="352" w:name="_Toc479856294"/>
      <w:bookmarkStart w:id="353" w:name="_Toc492299909"/>
      <w:bookmarkStart w:id="354" w:name="_Toc512627244"/>
      <w:bookmarkStart w:id="355" w:name="_Toc512694324"/>
      <w:bookmarkStart w:id="356" w:name="m701"/>
      <w:r>
        <w:rPr>
          <w:rFonts w:hint="eastAsia"/>
        </w:rPr>
        <w:t>影响投资者决策的其他重要信</w:t>
      </w:r>
      <w:r>
        <w:rPr>
          <w:rFonts w:hint="eastAsia"/>
        </w:rPr>
        <w:t>息</w:t>
      </w:r>
      <w:bookmarkEnd w:id="351"/>
      <w:bookmarkEnd w:id="352"/>
      <w:bookmarkEnd w:id="353"/>
      <w:bookmarkEnd w:id="354"/>
      <w:bookmarkEnd w:id="355"/>
      <w:r>
        <w:rPr>
          <w:rFonts w:hint="eastAsia"/>
          <w:lang w:eastAsia="zh-CN"/>
        </w:rPr>
        <w:t xml:space="preserve"> </w:t>
      </w:r>
    </w:p>
    <w:p w:rsidR="009D736C" w:rsidRDefault="009D736C">
      <w:pPr>
        <w:pStyle w:val="XBRLTitle2"/>
        <w:spacing w:before="156"/>
        <w:ind w:left="454"/>
        <w:rPr>
          <w:rFonts w:hint="eastAsia"/>
        </w:rPr>
      </w:pPr>
      <w:bookmarkStart w:id="357" w:name="_Toc17881715"/>
      <w:bookmarkStart w:id="358" w:name="_Toc492299910"/>
      <w:bookmarkStart w:id="359" w:name="_Toc512627245"/>
      <w:bookmarkStart w:id="360"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57"/>
      <w:bookmarkEnd w:id="358"/>
      <w:bookmarkEnd w:id="359"/>
      <w:bookmarkEnd w:id="360"/>
      <w:r>
        <w:rPr>
          <w:rFonts w:hint="eastAsia"/>
          <w:kern w:val="0"/>
          <w:lang w:eastAsia="zh-CN"/>
        </w:rPr>
        <w:t xml:space="preserve"> </w:t>
      </w:r>
    </w:p>
    <w:bookmarkEnd w:id="24"/>
    <w:bookmarkEnd w:id="49"/>
    <w:bookmarkEnd w:id="50"/>
    <w:p w:rsidR="009D736C" w:rsidRDefault="009D736C">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9D736C" w:rsidRDefault="009D736C">
      <w:pPr>
        <w:pStyle w:val="XBRLTitle1"/>
        <w:spacing w:before="156"/>
        <w:ind w:left="425"/>
        <w:rPr>
          <w:rFonts w:hint="eastAsia"/>
        </w:rPr>
      </w:pPr>
      <w:bookmarkStart w:id="361" w:name="_Toc514088283"/>
      <w:bookmarkStart w:id="362" w:name="_Toc466644495"/>
      <w:bookmarkStart w:id="363" w:name="_Toc480465455"/>
      <w:bookmarkStart w:id="364" w:name="_Toc513542684"/>
      <w:bookmarkStart w:id="365" w:name="_Toc512696280"/>
      <w:bookmarkStart w:id="366" w:name="_Toc512612283"/>
      <w:bookmarkStart w:id="367" w:name="_Toc512612107"/>
      <w:bookmarkStart w:id="368" w:name="_Toc512611311"/>
      <w:bookmarkEnd w:id="356"/>
      <w:r>
        <w:rPr>
          <w:rFonts w:hint="eastAsia"/>
        </w:rPr>
        <w:t>备查文件目</w:t>
      </w:r>
      <w:r>
        <w:rPr>
          <w:rFonts w:hint="eastAsia"/>
        </w:rPr>
        <w:t>录</w:t>
      </w:r>
      <w:bookmarkEnd w:id="361"/>
      <w:bookmarkEnd w:id="362"/>
      <w:bookmarkEnd w:id="363"/>
      <w:bookmarkEnd w:id="364"/>
      <w:bookmarkEnd w:id="365"/>
      <w:bookmarkEnd w:id="366"/>
      <w:bookmarkEnd w:id="367"/>
      <w:bookmarkEnd w:id="368"/>
    </w:p>
    <w:p w:rsidR="009D736C" w:rsidRDefault="009D736C">
      <w:pPr>
        <w:pStyle w:val="XBRLTitle2"/>
        <w:spacing w:before="156" w:line="360" w:lineRule="auto"/>
        <w:ind w:left="454"/>
        <w:rPr>
          <w:rFonts w:hint="eastAsia"/>
        </w:rPr>
      </w:pPr>
      <w:bookmarkStart w:id="369" w:name="_Toc514088284"/>
      <w:bookmarkStart w:id="370" w:name="_Toc480465456"/>
      <w:bookmarkStart w:id="371" w:name="_Toc448480313"/>
      <w:bookmarkStart w:id="372" w:name="_Toc438654101"/>
      <w:bookmarkStart w:id="373" w:name="_Toc456107145"/>
      <w:bookmarkStart w:id="374" w:name="_Toc459213792"/>
      <w:bookmarkStart w:id="375" w:name="_Toc513542685"/>
      <w:bookmarkStart w:id="376" w:name="_Toc512696281"/>
      <w:bookmarkStart w:id="377" w:name="_Toc512612284"/>
      <w:bookmarkStart w:id="378" w:name="_Toc512612108"/>
      <w:bookmarkStart w:id="379" w:name="_Toc512611312"/>
      <w:bookmarkStart w:id="380" w:name="m801_01_1733"/>
      <w:r>
        <w:rPr>
          <w:rFonts w:eastAsia="宋体" w:hint="eastAsia"/>
        </w:rPr>
        <w:t>备查文件目</w:t>
      </w:r>
      <w:r>
        <w:rPr>
          <w:rFonts w:eastAsia="宋体" w:hint="eastAsia"/>
        </w:rPr>
        <w:t>录</w:t>
      </w:r>
      <w:bookmarkEnd w:id="369"/>
      <w:bookmarkEnd w:id="370"/>
      <w:bookmarkEnd w:id="371"/>
      <w:bookmarkEnd w:id="372"/>
      <w:bookmarkEnd w:id="373"/>
      <w:bookmarkEnd w:id="374"/>
      <w:bookmarkEnd w:id="375"/>
      <w:bookmarkEnd w:id="376"/>
      <w:bookmarkEnd w:id="377"/>
      <w:bookmarkEnd w:id="378"/>
      <w:bookmarkEnd w:id="379"/>
      <w:r>
        <w:rPr>
          <w:rFonts w:eastAsia="宋体" w:hint="eastAsia"/>
        </w:rPr>
        <w:t xml:space="preserve"> </w:t>
      </w:r>
    </w:p>
    <w:p w:rsidR="009D736C" w:rsidRDefault="009D736C">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摩根中国世纪灵活配置混合型证券投资基金</w:t>
      </w:r>
      <w:r>
        <w:rPr>
          <w:rFonts w:ascii="宋体" w:hAnsi="宋体" w:cs="宋体" w:hint="eastAsia"/>
          <w:color w:val="000000"/>
          <w:kern w:val="0"/>
        </w:rPr>
        <w:t>(QDII)</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摩根中国世纪灵活配置混合型证券投资基金</w:t>
      </w:r>
      <w:r>
        <w:rPr>
          <w:rFonts w:ascii="宋体" w:hAnsi="宋体" w:cs="宋体" w:hint="eastAsia"/>
          <w:color w:val="000000"/>
          <w:kern w:val="0"/>
        </w:rPr>
        <w:t>(QDII)</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9D736C" w:rsidRDefault="009D736C">
      <w:pPr>
        <w:pStyle w:val="XBRLTitle2"/>
        <w:spacing w:before="156" w:line="360" w:lineRule="auto"/>
        <w:ind w:left="454"/>
      </w:pPr>
      <w:bookmarkStart w:id="381" w:name="_Toc514088285"/>
      <w:bookmarkStart w:id="382" w:name="_Toc480465457"/>
      <w:bookmarkStart w:id="383" w:name="_Toc448480314"/>
      <w:bookmarkStart w:id="384" w:name="_Toc438654102"/>
      <w:bookmarkStart w:id="385" w:name="_Toc456107146"/>
      <w:bookmarkStart w:id="386" w:name="_Toc459213793"/>
      <w:bookmarkStart w:id="387" w:name="_Toc513542686"/>
      <w:bookmarkStart w:id="388" w:name="_Toc512696282"/>
      <w:bookmarkStart w:id="389" w:name="_Toc512612285"/>
      <w:bookmarkStart w:id="390" w:name="_Toc512612109"/>
      <w:bookmarkStart w:id="391" w:name="_Toc512611313"/>
      <w:bookmarkStart w:id="392" w:name="m801_01_1734"/>
      <w:bookmarkEnd w:id="380"/>
      <w:r>
        <w:rPr>
          <w:rFonts w:eastAsia="宋体" w:hint="eastAsia"/>
        </w:rPr>
        <w:t>存放地</w:t>
      </w:r>
      <w:r>
        <w:rPr>
          <w:rFonts w:eastAsia="宋体" w:hint="eastAsia"/>
        </w:rPr>
        <w:t>点</w:t>
      </w:r>
      <w:bookmarkEnd w:id="381"/>
      <w:bookmarkEnd w:id="382"/>
      <w:bookmarkEnd w:id="383"/>
      <w:bookmarkEnd w:id="384"/>
      <w:bookmarkEnd w:id="385"/>
      <w:bookmarkEnd w:id="386"/>
      <w:bookmarkEnd w:id="387"/>
      <w:bookmarkEnd w:id="388"/>
      <w:bookmarkEnd w:id="389"/>
      <w:bookmarkEnd w:id="390"/>
      <w:bookmarkEnd w:id="391"/>
      <w:r>
        <w:rPr>
          <w:rFonts w:eastAsia="宋体" w:hint="eastAsia"/>
        </w:rPr>
        <w:t xml:space="preserve"> </w:t>
      </w:r>
    </w:p>
    <w:p w:rsidR="009D736C" w:rsidRDefault="009D736C">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9D736C" w:rsidRDefault="009D736C">
      <w:pPr>
        <w:pStyle w:val="XBRLTitle2"/>
        <w:spacing w:before="156" w:line="360" w:lineRule="auto"/>
        <w:ind w:left="454"/>
      </w:pPr>
      <w:bookmarkStart w:id="393" w:name="_Toc514088286"/>
      <w:bookmarkStart w:id="394" w:name="_Toc480465458"/>
      <w:bookmarkStart w:id="395" w:name="_Toc448480315"/>
      <w:bookmarkStart w:id="396" w:name="_Toc438654103"/>
      <w:bookmarkStart w:id="397" w:name="_Toc456107147"/>
      <w:bookmarkStart w:id="398" w:name="_Toc459213794"/>
      <w:bookmarkStart w:id="399" w:name="_Toc513542687"/>
      <w:bookmarkStart w:id="400" w:name="_Toc512696283"/>
      <w:bookmarkStart w:id="401" w:name="_Toc512612286"/>
      <w:bookmarkStart w:id="402" w:name="_Toc512612110"/>
      <w:bookmarkStart w:id="403" w:name="_Toc512611314"/>
      <w:bookmarkStart w:id="404" w:name="m801_01_1735"/>
      <w:bookmarkEnd w:id="392"/>
      <w:r>
        <w:rPr>
          <w:rFonts w:eastAsia="宋体" w:hint="eastAsia"/>
        </w:rPr>
        <w:t>查阅方</w:t>
      </w:r>
      <w:r>
        <w:rPr>
          <w:rFonts w:eastAsia="宋体" w:hint="eastAsia"/>
        </w:rPr>
        <w:t>式</w:t>
      </w:r>
      <w:bookmarkEnd w:id="393"/>
      <w:bookmarkEnd w:id="394"/>
      <w:bookmarkEnd w:id="395"/>
      <w:bookmarkEnd w:id="396"/>
      <w:bookmarkEnd w:id="397"/>
      <w:bookmarkEnd w:id="398"/>
      <w:bookmarkEnd w:id="399"/>
      <w:bookmarkEnd w:id="400"/>
      <w:bookmarkEnd w:id="401"/>
      <w:bookmarkEnd w:id="402"/>
      <w:bookmarkEnd w:id="403"/>
      <w:r>
        <w:rPr>
          <w:rFonts w:eastAsia="宋体" w:hint="eastAsia"/>
        </w:rPr>
        <w:t xml:space="preserve"> </w:t>
      </w:r>
    </w:p>
    <w:p w:rsidR="009D736C" w:rsidRDefault="009D736C">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04"/>
    <w:p w:rsidR="009D736C" w:rsidRDefault="009D736C">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9D736C" w:rsidRDefault="009D736C">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9D736C" w:rsidRDefault="009D736C">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9D736C" w:rsidRDefault="009D736C">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9D736C">
      <w:headerReference w:type="default" r:id="rId9"/>
      <w:footerReference w:type="even" r:id="rId10"/>
      <w:footerReference w:type="default" r:id="rId11"/>
      <w:headerReference w:type="first" r:id="rId12"/>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36C" w:rsidRDefault="009D736C">
      <w:pPr>
        <w:rPr>
          <w:szCs w:val="21"/>
        </w:rPr>
      </w:pPr>
      <w:r>
        <w:rPr>
          <w:szCs w:val="21"/>
        </w:rPr>
        <w:separator/>
      </w:r>
      <w:r>
        <w:rPr>
          <w:szCs w:val="21"/>
        </w:rPr>
        <w:t xml:space="preserve"> </w:t>
      </w:r>
    </w:p>
  </w:endnote>
  <w:endnote w:type="continuationSeparator" w:id="0">
    <w:p w:rsidR="009D736C" w:rsidRDefault="009D736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6C" w:rsidRDefault="009D736C">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9D736C" w:rsidRDefault="009D736C">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6C" w:rsidRDefault="009D736C">
    <w:pPr>
      <w:pStyle w:val="aa"/>
      <w:framePr w:wrap="around" w:vAnchor="text" w:hAnchor="margin" w:xAlign="right" w:y="1"/>
      <w:rPr>
        <w:rStyle w:val="af9"/>
      </w:rPr>
    </w:pPr>
    <w:r>
      <w:rPr>
        <w:rStyle w:val="af9"/>
      </w:rPr>
      <w:t xml:space="preserve">  </w:t>
    </w:r>
  </w:p>
  <w:p w:rsidR="009D736C" w:rsidRDefault="009D736C">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36C" w:rsidRDefault="009D736C">
      <w:pPr>
        <w:rPr>
          <w:szCs w:val="21"/>
        </w:rPr>
      </w:pPr>
      <w:r>
        <w:rPr>
          <w:szCs w:val="21"/>
        </w:rPr>
        <w:separator/>
      </w:r>
      <w:r>
        <w:rPr>
          <w:szCs w:val="21"/>
        </w:rPr>
        <w:t xml:space="preserve"> </w:t>
      </w:r>
    </w:p>
  </w:footnote>
  <w:footnote w:type="continuationSeparator" w:id="0">
    <w:p w:rsidR="009D736C" w:rsidRDefault="009D736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6C" w:rsidRDefault="009D736C">
    <w:pPr>
      <w:pStyle w:val="a8"/>
      <w:pBdr>
        <w:between w:val="single" w:sz="4" w:space="1" w:color="4F81BD"/>
      </w:pBdr>
      <w:spacing w:line="276" w:lineRule="auto"/>
      <w:jc w:val="right"/>
    </w:pPr>
    <w:r>
      <w:rPr>
        <w:rFonts w:ascii="宋体" w:hAnsi="宋体" w:hint="eastAsia"/>
        <w:bCs/>
      </w:rPr>
      <w:t>摩根中国世纪灵活配置混合型证券投资基金</w:t>
    </w:r>
    <w:r>
      <w:rPr>
        <w:rFonts w:ascii="宋体" w:hAnsi="宋体" w:hint="eastAsia"/>
        <w:bCs/>
      </w:rPr>
      <w:t>(QDII)2026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36C" w:rsidRDefault="009D736C">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89807816">
    <w:abstractNumId w:val="0"/>
  </w:num>
  <w:num w:numId="2" w16cid:durableId="57554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944A2"/>
    <w:rsid w:val="009D736C"/>
    <w:rsid w:val="009E3E39"/>
    <w:rsid w:val="00D94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BD95647-E985-43B7-A47D-CD25BD98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0348">
      <w:marLeft w:val="0"/>
      <w:marRight w:val="0"/>
      <w:marTop w:val="0"/>
      <w:marBottom w:val="0"/>
      <w:divBdr>
        <w:top w:val="none" w:sz="0" w:space="0" w:color="auto"/>
        <w:left w:val="none" w:sz="0" w:space="0" w:color="auto"/>
        <w:bottom w:val="none" w:sz="0" w:space="0" w:color="auto"/>
        <w:right w:val="none" w:sz="0" w:space="0" w:color="auto"/>
      </w:divBdr>
    </w:div>
    <w:div w:id="120730618">
      <w:marLeft w:val="0"/>
      <w:marRight w:val="0"/>
      <w:marTop w:val="0"/>
      <w:marBottom w:val="0"/>
      <w:divBdr>
        <w:top w:val="none" w:sz="0" w:space="0" w:color="auto"/>
        <w:left w:val="none" w:sz="0" w:space="0" w:color="auto"/>
        <w:bottom w:val="none" w:sz="0" w:space="0" w:color="auto"/>
        <w:right w:val="none" w:sz="0" w:space="0" w:color="auto"/>
      </w:divBdr>
      <w:divsChild>
        <w:div w:id="729841122">
          <w:marLeft w:val="0"/>
          <w:marRight w:val="0"/>
          <w:marTop w:val="0"/>
          <w:marBottom w:val="0"/>
          <w:divBdr>
            <w:top w:val="none" w:sz="0" w:space="0" w:color="auto"/>
            <w:left w:val="none" w:sz="0" w:space="0" w:color="auto"/>
            <w:bottom w:val="none" w:sz="0" w:space="0" w:color="auto"/>
            <w:right w:val="none" w:sz="0" w:space="0" w:color="auto"/>
          </w:divBdr>
        </w:div>
      </w:divsChild>
    </w:div>
    <w:div w:id="186531087">
      <w:marLeft w:val="0"/>
      <w:marRight w:val="0"/>
      <w:marTop w:val="0"/>
      <w:marBottom w:val="0"/>
      <w:divBdr>
        <w:top w:val="none" w:sz="0" w:space="0" w:color="auto"/>
        <w:left w:val="none" w:sz="0" w:space="0" w:color="auto"/>
        <w:bottom w:val="none" w:sz="0" w:space="0" w:color="auto"/>
        <w:right w:val="none" w:sz="0" w:space="0" w:color="auto"/>
      </w:divBdr>
    </w:div>
    <w:div w:id="197665456">
      <w:marLeft w:val="0"/>
      <w:marRight w:val="0"/>
      <w:marTop w:val="0"/>
      <w:marBottom w:val="0"/>
      <w:divBdr>
        <w:top w:val="none" w:sz="0" w:space="0" w:color="auto"/>
        <w:left w:val="none" w:sz="0" w:space="0" w:color="auto"/>
        <w:bottom w:val="none" w:sz="0" w:space="0" w:color="auto"/>
        <w:right w:val="none" w:sz="0" w:space="0" w:color="auto"/>
      </w:divBdr>
    </w:div>
    <w:div w:id="523986006">
      <w:marLeft w:val="0"/>
      <w:marRight w:val="0"/>
      <w:marTop w:val="0"/>
      <w:marBottom w:val="0"/>
      <w:divBdr>
        <w:top w:val="none" w:sz="0" w:space="0" w:color="auto"/>
        <w:left w:val="none" w:sz="0" w:space="0" w:color="auto"/>
        <w:bottom w:val="none" w:sz="0" w:space="0" w:color="auto"/>
        <w:right w:val="none" w:sz="0" w:space="0" w:color="auto"/>
      </w:divBdr>
    </w:div>
    <w:div w:id="726295906">
      <w:marLeft w:val="0"/>
      <w:marRight w:val="0"/>
      <w:marTop w:val="0"/>
      <w:marBottom w:val="0"/>
      <w:divBdr>
        <w:top w:val="none" w:sz="0" w:space="0" w:color="auto"/>
        <w:left w:val="none" w:sz="0" w:space="0" w:color="auto"/>
        <w:bottom w:val="none" w:sz="0" w:space="0" w:color="auto"/>
        <w:right w:val="none" w:sz="0" w:space="0" w:color="auto"/>
      </w:divBdr>
    </w:div>
    <w:div w:id="964702719">
      <w:marLeft w:val="0"/>
      <w:marRight w:val="0"/>
      <w:marTop w:val="0"/>
      <w:marBottom w:val="0"/>
      <w:divBdr>
        <w:top w:val="none" w:sz="0" w:space="0" w:color="auto"/>
        <w:left w:val="none" w:sz="0" w:space="0" w:color="auto"/>
        <w:bottom w:val="none" w:sz="0" w:space="0" w:color="auto"/>
        <w:right w:val="none" w:sz="0" w:space="0" w:color="auto"/>
      </w:divBdr>
      <w:divsChild>
        <w:div w:id="1737781257">
          <w:marLeft w:val="0"/>
          <w:marRight w:val="0"/>
          <w:marTop w:val="0"/>
          <w:marBottom w:val="0"/>
          <w:divBdr>
            <w:top w:val="none" w:sz="0" w:space="0" w:color="auto"/>
            <w:left w:val="none" w:sz="0" w:space="0" w:color="auto"/>
            <w:bottom w:val="none" w:sz="0" w:space="0" w:color="auto"/>
            <w:right w:val="none" w:sz="0" w:space="0" w:color="auto"/>
          </w:divBdr>
        </w:div>
      </w:divsChild>
    </w:div>
    <w:div w:id="1025667105">
      <w:marLeft w:val="0"/>
      <w:marRight w:val="0"/>
      <w:marTop w:val="0"/>
      <w:marBottom w:val="0"/>
      <w:divBdr>
        <w:top w:val="none" w:sz="0" w:space="0" w:color="auto"/>
        <w:left w:val="none" w:sz="0" w:space="0" w:color="auto"/>
        <w:bottom w:val="none" w:sz="0" w:space="0" w:color="auto"/>
        <w:right w:val="none" w:sz="0" w:space="0" w:color="auto"/>
      </w:divBdr>
    </w:div>
    <w:div w:id="1492987693">
      <w:marLeft w:val="0"/>
      <w:marRight w:val="0"/>
      <w:marTop w:val="0"/>
      <w:marBottom w:val="0"/>
      <w:divBdr>
        <w:top w:val="none" w:sz="0" w:space="0" w:color="auto"/>
        <w:left w:val="none" w:sz="0" w:space="0" w:color="auto"/>
        <w:bottom w:val="none" w:sz="0" w:space="0" w:color="auto"/>
        <w:right w:val="none" w:sz="0" w:space="0" w:color="auto"/>
      </w:divBdr>
    </w:div>
    <w:div w:id="1531844639">
      <w:marLeft w:val="0"/>
      <w:marRight w:val="0"/>
      <w:marTop w:val="0"/>
      <w:marBottom w:val="0"/>
      <w:divBdr>
        <w:top w:val="none" w:sz="0" w:space="0" w:color="auto"/>
        <w:left w:val="none" w:sz="0" w:space="0" w:color="auto"/>
        <w:bottom w:val="none" w:sz="0" w:space="0" w:color="auto"/>
        <w:right w:val="none" w:sz="0" w:space="0" w:color="auto"/>
      </w:divBdr>
    </w:div>
    <w:div w:id="1602685744">
      <w:marLeft w:val="0"/>
      <w:marRight w:val="0"/>
      <w:marTop w:val="0"/>
      <w:marBottom w:val="0"/>
      <w:divBdr>
        <w:top w:val="none" w:sz="0" w:space="0" w:color="auto"/>
        <w:left w:val="none" w:sz="0" w:space="0" w:color="auto"/>
        <w:bottom w:val="none" w:sz="0" w:space="0" w:color="auto"/>
        <w:right w:val="none" w:sz="0" w:space="0" w:color="auto"/>
      </w:divBdr>
    </w:div>
    <w:div w:id="1665934045">
      <w:marLeft w:val="0"/>
      <w:marRight w:val="0"/>
      <w:marTop w:val="0"/>
      <w:marBottom w:val="0"/>
      <w:divBdr>
        <w:top w:val="none" w:sz="0" w:space="0" w:color="auto"/>
        <w:left w:val="none" w:sz="0" w:space="0" w:color="auto"/>
        <w:bottom w:val="none" w:sz="0" w:space="0" w:color="auto"/>
        <w:right w:val="none" w:sz="0" w:space="0" w:color="auto"/>
      </w:divBdr>
    </w:div>
    <w:div w:id="1760522118">
      <w:marLeft w:val="0"/>
      <w:marRight w:val="0"/>
      <w:marTop w:val="0"/>
      <w:marBottom w:val="0"/>
      <w:divBdr>
        <w:top w:val="none" w:sz="0" w:space="0" w:color="auto"/>
        <w:left w:val="none" w:sz="0" w:space="0" w:color="auto"/>
        <w:bottom w:val="none" w:sz="0" w:space="0" w:color="auto"/>
        <w:right w:val="none" w:sz="0" w:space="0" w:color="auto"/>
      </w:divBdr>
    </w:div>
    <w:div w:id="1844708711">
      <w:marLeft w:val="0"/>
      <w:marRight w:val="0"/>
      <w:marTop w:val="0"/>
      <w:marBottom w:val="0"/>
      <w:divBdr>
        <w:top w:val="none" w:sz="0" w:space="0" w:color="auto"/>
        <w:left w:val="none" w:sz="0" w:space="0" w:color="auto"/>
        <w:bottom w:val="none" w:sz="0" w:space="0" w:color="auto"/>
        <w:right w:val="none" w:sz="0" w:space="0" w:color="auto"/>
      </w:divBdr>
    </w:div>
    <w:div w:id="1885479306">
      <w:marLeft w:val="0"/>
      <w:marRight w:val="0"/>
      <w:marTop w:val="0"/>
      <w:marBottom w:val="0"/>
      <w:divBdr>
        <w:top w:val="none" w:sz="0" w:space="0" w:color="auto"/>
        <w:left w:val="none" w:sz="0" w:space="0" w:color="auto"/>
        <w:bottom w:val="none" w:sz="0" w:space="0" w:color="auto"/>
        <w:right w:val="none" w:sz="0" w:space="0" w:color="auto"/>
      </w:divBdr>
    </w:div>
    <w:div w:id="1991640972">
      <w:marLeft w:val="0"/>
      <w:marRight w:val="0"/>
      <w:marTop w:val="0"/>
      <w:marBottom w:val="0"/>
      <w:divBdr>
        <w:top w:val="none" w:sz="0" w:space="0" w:color="auto"/>
        <w:left w:val="none" w:sz="0" w:space="0" w:color="auto"/>
        <w:bottom w:val="none" w:sz="0" w:space="0" w:color="auto"/>
        <w:right w:val="none" w:sz="0" w:space="0" w:color="auto"/>
      </w:divBdr>
    </w:div>
    <w:div w:id="20270977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1351</Words>
  <Characters>7703</Characters>
  <Application>Microsoft Office Word</Application>
  <DocSecurity>4</DocSecurity>
  <Lines>64</Lines>
  <Paragraphs>18</Paragraphs>
  <ScaleCrop>false</ScaleCrop>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2026-07-13T13:34:00Z</dcterms:created>
  <dcterms:modified xsi:type="dcterms:W3CDTF">2026-07-13T13:34:00Z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