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C555E" w:rsidRDefault="00421B21">
      <w:pPr>
        <w:spacing w:line="360" w:lineRule="auto"/>
        <w:rPr>
          <w:rFonts w:ascii="宋体" w:hAnsi="宋体"/>
          <w:sz w:val="48"/>
        </w:rPr>
      </w:pPr>
      <w:bookmarkStart w:id="0" w:name="_GoBack"/>
      <w:bookmarkEnd w:id="0"/>
      <w:r>
        <w:rPr>
          <w:rFonts w:ascii="宋体" w:hAnsi="宋体" w:hint="eastAsia"/>
          <w:sz w:val="48"/>
        </w:rPr>
        <w:t xml:space="preserve">　 </w:t>
      </w:r>
    </w:p>
    <w:p w:rsidR="007C555E" w:rsidRDefault="00421B21">
      <w:pPr>
        <w:spacing w:line="360" w:lineRule="auto"/>
        <w:rPr>
          <w:rFonts w:ascii="宋体" w:hAnsi="宋体"/>
          <w:sz w:val="48"/>
        </w:rPr>
      </w:pPr>
      <w:r>
        <w:rPr>
          <w:rFonts w:ascii="宋体" w:hAnsi="宋体" w:hint="eastAsia"/>
          <w:sz w:val="48"/>
        </w:rPr>
        <w:t xml:space="preserve">　 </w:t>
      </w:r>
    </w:p>
    <w:p w:rsidR="007C555E" w:rsidRDefault="00421B21">
      <w:pPr>
        <w:spacing w:line="360" w:lineRule="auto"/>
        <w:jc w:val="center"/>
      </w:pPr>
      <w:bookmarkStart w:id="1" w:name="_Toc510201001"/>
      <w:bookmarkStart w:id="2" w:name="_Toc436040501"/>
      <w:bookmarkStart w:id="3" w:name="_Toc435537850"/>
      <w:bookmarkStart w:id="4" w:name="_Toc435537894"/>
      <w:bookmarkStart w:id="5" w:name="_Toc435538034"/>
      <w:bookmarkStart w:id="6" w:name="_Toc435538201"/>
      <w:bookmarkStart w:id="7" w:name="_Toc435716465"/>
      <w:bookmarkEnd w:id="1"/>
      <w:bookmarkEnd w:id="2"/>
      <w:bookmarkEnd w:id="3"/>
      <w:bookmarkEnd w:id="4"/>
      <w:bookmarkEnd w:id="5"/>
      <w:bookmarkEnd w:id="6"/>
      <w:bookmarkEnd w:id="7"/>
      <w:r>
        <w:rPr>
          <w:rFonts w:ascii="宋体" w:hAnsi="宋体" w:hint="eastAsia"/>
          <w:b/>
          <w:bCs/>
          <w:sz w:val="48"/>
          <w:szCs w:val="48"/>
        </w:rPr>
        <w:t>摩根全球多元配置证券投资基金(QDII-FOF)</w:t>
      </w:r>
      <w:r>
        <w:rPr>
          <w:rFonts w:ascii="宋体" w:hAnsi="宋体" w:hint="eastAsia"/>
          <w:b/>
          <w:bCs/>
          <w:sz w:val="48"/>
          <w:szCs w:val="48"/>
        </w:rPr>
        <w:br/>
        <w:t>2025年第1季度报告</w:t>
      </w:r>
    </w:p>
    <w:p w:rsidR="007C555E" w:rsidRDefault="00421B21">
      <w:pPr>
        <w:spacing w:line="360" w:lineRule="auto"/>
        <w:jc w:val="center"/>
        <w:rPr>
          <w:rFonts w:ascii="宋体" w:hAnsi="宋体"/>
          <w:b/>
          <w:bCs/>
          <w:sz w:val="28"/>
          <w:szCs w:val="30"/>
        </w:rPr>
      </w:pPr>
      <w:r>
        <w:rPr>
          <w:rFonts w:ascii="宋体" w:hAnsi="宋体" w:hint="eastAsia"/>
          <w:b/>
          <w:bCs/>
          <w:sz w:val="28"/>
          <w:szCs w:val="30"/>
        </w:rPr>
        <w:t xml:space="preserve">　 </w:t>
      </w:r>
    </w:p>
    <w:p w:rsidR="007C555E" w:rsidRDefault="00421B21">
      <w:pPr>
        <w:spacing w:line="360" w:lineRule="auto"/>
        <w:jc w:val="center"/>
      </w:pPr>
      <w:r>
        <w:rPr>
          <w:rFonts w:ascii="宋体" w:hAnsi="宋体" w:hint="eastAsia"/>
          <w:b/>
          <w:bCs/>
          <w:sz w:val="28"/>
          <w:szCs w:val="30"/>
        </w:rPr>
        <w:t>2025年3月31日</w:t>
      </w:r>
    </w:p>
    <w:p w:rsidR="007C555E" w:rsidRDefault="00421B21">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7C555E" w:rsidRDefault="00421B21">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7C555E" w:rsidRDefault="00421B21">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7C555E" w:rsidRDefault="00421B21">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7C555E" w:rsidRDefault="00421B21">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7C555E" w:rsidRDefault="00421B21">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7C555E" w:rsidRDefault="00421B21">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7C555E" w:rsidRDefault="00421B21">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7C555E" w:rsidRDefault="00421B21">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7C555E" w:rsidRDefault="00421B21">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7C555E" w:rsidRDefault="00421B21">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7C555E" w:rsidRDefault="00421B21">
      <w:pPr>
        <w:spacing w:line="360" w:lineRule="auto"/>
        <w:ind w:firstLineChars="800" w:firstLine="2249"/>
        <w:jc w:val="left"/>
      </w:pPr>
      <w:r>
        <w:rPr>
          <w:rFonts w:ascii="宋体" w:hAnsi="宋体" w:hint="eastAsia"/>
          <w:b/>
          <w:bCs/>
          <w:sz w:val="28"/>
          <w:szCs w:val="30"/>
        </w:rPr>
        <w:t>基金管理人：摩根基金管理（中国）有限公司</w:t>
      </w:r>
    </w:p>
    <w:p w:rsidR="007C555E" w:rsidRDefault="00421B21">
      <w:pPr>
        <w:spacing w:line="360" w:lineRule="auto"/>
        <w:ind w:firstLineChars="800" w:firstLine="2249"/>
        <w:jc w:val="left"/>
      </w:pPr>
      <w:r>
        <w:rPr>
          <w:rFonts w:ascii="宋体" w:hAnsi="宋体" w:hint="eastAsia"/>
          <w:b/>
          <w:bCs/>
          <w:sz w:val="28"/>
          <w:szCs w:val="30"/>
        </w:rPr>
        <w:t>基金托管人：招商银行股份有限公司</w:t>
      </w:r>
    </w:p>
    <w:p w:rsidR="007C555E" w:rsidRDefault="00421B21">
      <w:pPr>
        <w:spacing w:line="360" w:lineRule="auto"/>
        <w:ind w:firstLineChars="800" w:firstLine="2249"/>
        <w:jc w:val="left"/>
      </w:pPr>
      <w:r>
        <w:rPr>
          <w:rFonts w:ascii="宋体" w:hAnsi="宋体" w:hint="eastAsia"/>
          <w:b/>
          <w:bCs/>
          <w:sz w:val="28"/>
          <w:szCs w:val="30"/>
        </w:rPr>
        <w:t>报告送出日期：2025年4月22日</w:t>
      </w:r>
    </w:p>
    <w:p w:rsidR="007C555E" w:rsidRDefault="00421B21">
      <w:pPr>
        <w:pStyle w:val="XBRLTitle1"/>
        <w:spacing w:before="156"/>
        <w:ind w:left="425"/>
      </w:pPr>
      <w:r>
        <w:rPr>
          <w:rFonts w:cs="宋体" w:hint="eastAsia"/>
          <w:color w:val="404040"/>
          <w:kern w:val="0"/>
        </w:rPr>
        <w:br w:type="page"/>
      </w:r>
      <w:bookmarkStart w:id="8" w:name="_Toc514088243"/>
      <w:bookmarkStart w:id="9" w:name="_Toc480465412"/>
      <w:bookmarkStart w:id="10" w:name="_Toc448480282"/>
      <w:bookmarkStart w:id="11" w:name="_Toc438654070"/>
      <w:bookmarkStart w:id="12" w:name="_Toc456107117"/>
      <w:bookmarkStart w:id="13" w:name="_Toc459213763"/>
      <w:bookmarkStart w:id="14" w:name="_Toc513542644"/>
      <w:bookmarkStart w:id="15" w:name="_Toc512696250"/>
      <w:bookmarkStart w:id="16" w:name="_Toc512612253"/>
      <w:bookmarkStart w:id="17" w:name="_Toc512612077"/>
      <w:bookmarkStart w:id="18" w:name="_Toc512611281"/>
      <w:bookmarkStart w:id="19" w:name="m101"/>
      <w:proofErr w:type="spellStart"/>
      <w:r>
        <w:rPr>
          <w:rFonts w:hint="eastAsia"/>
        </w:rPr>
        <w:lastRenderedPageBreak/>
        <w:t>重要提示</w:t>
      </w:r>
      <w:bookmarkEnd w:id="8"/>
      <w:bookmarkEnd w:id="9"/>
      <w:bookmarkEnd w:id="10"/>
      <w:bookmarkEnd w:id="11"/>
      <w:bookmarkEnd w:id="12"/>
      <w:bookmarkEnd w:id="13"/>
      <w:bookmarkEnd w:id="14"/>
      <w:bookmarkEnd w:id="15"/>
      <w:bookmarkEnd w:id="16"/>
      <w:bookmarkEnd w:id="17"/>
      <w:bookmarkEnd w:id="18"/>
      <w:proofErr w:type="spellEnd"/>
    </w:p>
    <w:p w:rsidR="007C555E" w:rsidRDefault="00421B21">
      <w:pPr>
        <w:spacing w:line="360" w:lineRule="auto"/>
        <w:ind w:firstLineChars="200" w:firstLine="420"/>
        <w:divId w:val="1763260096"/>
      </w:pPr>
      <w:bookmarkStart w:id="20" w:name="m502"/>
      <w:bookmarkStart w:id="21" w:name="_Toc438646470"/>
      <w:bookmarkStart w:id="22" w:name="m504"/>
      <w:bookmarkStart w:id="23" w:name="m08QD_01"/>
      <w:bookmarkStart w:id="24" w:name="_Toc194311890"/>
      <w:bookmarkStart w:id="25" w:name="m201"/>
      <w:bookmarkStart w:id="26"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基金托管人招商银行股份有限公司根据本基金合同规定，于2025年4月21日复核了本报告中的财务指标、净值表现和投资组合报告等内容，保证复核内容不存在虚假记载、误导性陈述或者重大遗漏。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7C555E" w:rsidRDefault="00421B21">
      <w:pPr>
        <w:pStyle w:val="XBRLTitle1"/>
        <w:spacing w:before="156"/>
        <w:ind w:left="425"/>
      </w:pPr>
      <w:bookmarkStart w:id="27" w:name="_Toc514088244"/>
      <w:bookmarkStart w:id="28" w:name="_Toc480465413"/>
      <w:bookmarkStart w:id="29" w:name="_Toc448480283"/>
      <w:bookmarkStart w:id="30" w:name="_Toc438654071"/>
      <w:bookmarkStart w:id="31" w:name="_Toc456107118"/>
      <w:bookmarkStart w:id="32" w:name="_Toc459213764"/>
      <w:bookmarkStart w:id="33" w:name="_Toc513542645"/>
      <w:bookmarkStart w:id="34" w:name="_Toc512696251"/>
      <w:bookmarkStart w:id="35" w:name="_Toc512612254"/>
      <w:bookmarkStart w:id="36" w:name="_Toc512612078"/>
      <w:bookmarkStart w:id="37" w:name="_Toc512611282"/>
      <w:proofErr w:type="spellStart"/>
      <w:r>
        <w:rPr>
          <w:rFonts w:hint="eastAsia"/>
        </w:rPr>
        <w:t>基金产品概况</w:t>
      </w:r>
      <w:bookmarkEnd w:id="27"/>
      <w:bookmarkEnd w:id="28"/>
      <w:bookmarkEnd w:id="29"/>
      <w:bookmarkEnd w:id="30"/>
      <w:bookmarkEnd w:id="31"/>
      <w:bookmarkEnd w:id="32"/>
      <w:bookmarkEnd w:id="33"/>
      <w:bookmarkEnd w:id="34"/>
      <w:bookmarkEnd w:id="35"/>
      <w:bookmarkEnd w:id="36"/>
      <w:bookmarkEnd w:id="37"/>
      <w:proofErr w:type="spellEnd"/>
    </w:p>
    <w:tbl>
      <w:tblPr>
        <w:tblW w:w="4909" w:type="pct"/>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750"/>
        <w:gridCol w:w="3310"/>
        <w:gridCol w:w="2614"/>
      </w:tblGrid>
      <w:tr w:rsidR="007C555E">
        <w:trPr>
          <w:divId w:val="439837457"/>
          <w:trHeight w:val="406"/>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spacing w:line="360" w:lineRule="auto"/>
              <w:jc w:val="left"/>
            </w:pPr>
            <w:bookmarkStart w:id="38" w:name="OLE_LINK1"/>
            <w:bookmarkEnd w:id="19"/>
            <w:r>
              <w:rPr>
                <w:rFonts w:ascii="宋体" w:hAnsi="宋体" w:hint="eastAsia"/>
              </w:rPr>
              <w:t>基金简称</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spacing w:line="360" w:lineRule="auto"/>
              <w:jc w:val="left"/>
            </w:pPr>
            <w:r>
              <w:rPr>
                <w:rFonts w:ascii="宋体" w:hAnsi="宋体" w:hint="eastAsia"/>
                <w:szCs w:val="24"/>
                <w:lang w:eastAsia="zh-Hans"/>
              </w:rPr>
              <w:t>摩根全球多元配置(QDII-FOF)</w:t>
            </w:r>
            <w:r>
              <w:rPr>
                <w:rFonts w:ascii="宋体" w:hAnsi="宋体" w:hint="eastAsia"/>
                <w:lang w:eastAsia="zh-Hans"/>
              </w:rPr>
              <w:t xml:space="preserve"> </w:t>
            </w:r>
          </w:p>
        </w:tc>
      </w:tr>
      <w:tr w:rsidR="007C555E">
        <w:trPr>
          <w:divId w:val="43983745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spacing w:line="360" w:lineRule="auto"/>
              <w:jc w:val="left"/>
            </w:pPr>
            <w:r>
              <w:rPr>
                <w:rFonts w:ascii="宋体" w:hAnsi="宋体" w:hint="eastAsia"/>
              </w:rPr>
              <w:t>基金主代码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spacing w:line="360" w:lineRule="auto"/>
              <w:jc w:val="left"/>
            </w:pPr>
            <w:r>
              <w:rPr>
                <w:rFonts w:ascii="宋体" w:hAnsi="宋体" w:hint="eastAsia"/>
                <w:lang w:eastAsia="zh-Hans"/>
              </w:rPr>
              <w:t>003629</w:t>
            </w:r>
          </w:p>
        </w:tc>
      </w:tr>
      <w:tr w:rsidR="007C555E">
        <w:trPr>
          <w:divId w:val="43983745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spacing w:line="360" w:lineRule="auto"/>
              <w:jc w:val="left"/>
            </w:pPr>
            <w:r>
              <w:rPr>
                <w:rFonts w:ascii="宋体" w:hAnsi="宋体" w:hint="eastAsia"/>
              </w:rPr>
              <w:t>基金运作方式</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spacing w:line="360" w:lineRule="auto"/>
              <w:jc w:val="left"/>
            </w:pPr>
            <w:r>
              <w:rPr>
                <w:rFonts w:ascii="宋体" w:hAnsi="宋体" w:hint="eastAsia"/>
                <w:lang w:eastAsia="zh-Hans"/>
              </w:rPr>
              <w:t>契约型开放式</w:t>
            </w:r>
          </w:p>
        </w:tc>
      </w:tr>
      <w:tr w:rsidR="007C555E">
        <w:trPr>
          <w:divId w:val="43983745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spacing w:line="360" w:lineRule="auto"/>
              <w:jc w:val="left"/>
            </w:pPr>
            <w:r>
              <w:rPr>
                <w:rFonts w:ascii="宋体" w:hAnsi="宋体" w:hint="eastAsia"/>
              </w:rPr>
              <w:t>基金合同生效日</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spacing w:line="360" w:lineRule="auto"/>
              <w:jc w:val="left"/>
            </w:pPr>
            <w:r>
              <w:rPr>
                <w:rFonts w:ascii="宋体" w:hAnsi="宋体" w:hint="eastAsia"/>
                <w:lang w:eastAsia="zh-Hans"/>
              </w:rPr>
              <w:t>2016年12月19日</w:t>
            </w:r>
          </w:p>
        </w:tc>
      </w:tr>
      <w:tr w:rsidR="007C555E">
        <w:trPr>
          <w:divId w:val="43983745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spacing w:line="360" w:lineRule="auto"/>
              <w:jc w:val="left"/>
            </w:pPr>
            <w:r>
              <w:rPr>
                <w:rFonts w:ascii="宋体" w:hAnsi="宋体" w:hint="eastAsia"/>
              </w:rPr>
              <w:t>报告期末基金份额总额</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spacing w:line="360" w:lineRule="auto"/>
              <w:jc w:val="left"/>
            </w:pPr>
            <w:r>
              <w:rPr>
                <w:rFonts w:ascii="宋体" w:hAnsi="宋体" w:hint="eastAsia"/>
                <w:lang w:eastAsia="zh-Hans"/>
              </w:rPr>
              <w:t>461,141,407.10</w:t>
            </w:r>
            <w:r>
              <w:rPr>
                <w:rFonts w:asciiTheme="minorHAnsi" w:eastAsiaTheme="minorEastAsia" w:hAnsiTheme="minorHAnsi" w:hint="eastAsia"/>
              </w:rPr>
              <w:t>份</w:t>
            </w:r>
            <w:r>
              <w:rPr>
                <w:rFonts w:ascii="宋体" w:hAnsi="宋体" w:hint="eastAsia"/>
                <w:lang w:eastAsia="zh-Hans"/>
              </w:rPr>
              <w:t xml:space="preserve"> </w:t>
            </w:r>
          </w:p>
        </w:tc>
      </w:tr>
      <w:tr w:rsidR="007C555E">
        <w:trPr>
          <w:divId w:val="43983745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spacing w:line="360" w:lineRule="auto"/>
              <w:jc w:val="left"/>
            </w:pPr>
            <w:r>
              <w:rPr>
                <w:rFonts w:ascii="宋体" w:hAnsi="宋体" w:hint="eastAsia"/>
              </w:rPr>
              <w:t>投资目标</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spacing w:line="360" w:lineRule="auto"/>
              <w:jc w:val="left"/>
            </w:pPr>
            <w:r>
              <w:rPr>
                <w:rFonts w:ascii="宋体" w:hAnsi="宋体" w:hint="eastAsia"/>
                <w:lang w:eastAsia="zh-Hans"/>
              </w:rPr>
              <w:t>通过全球化的资产配置和组合管理，有效地分散投资风险；在降低组合波动性的同时，实现资产的长期增值。</w:t>
            </w:r>
          </w:p>
        </w:tc>
      </w:tr>
      <w:tr w:rsidR="007C555E">
        <w:trPr>
          <w:divId w:val="43983745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spacing w:line="360" w:lineRule="auto"/>
              <w:jc w:val="left"/>
            </w:pPr>
            <w:r>
              <w:rPr>
                <w:rFonts w:ascii="宋体" w:hAnsi="宋体" w:hint="eastAsia"/>
              </w:rPr>
              <w:t>投资策略</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spacing w:line="360" w:lineRule="auto"/>
              <w:jc w:val="left"/>
            </w:pPr>
            <w:r>
              <w:rPr>
                <w:rFonts w:ascii="宋体" w:hAnsi="宋体" w:hint="eastAsia"/>
                <w:lang w:eastAsia="zh-Hans"/>
              </w:rPr>
              <w:t>1、大类资产配置策略</w:t>
            </w:r>
            <w:r>
              <w:rPr>
                <w:rFonts w:ascii="宋体" w:hAnsi="宋体" w:hint="eastAsia"/>
                <w:lang w:eastAsia="zh-Hans"/>
              </w:rPr>
              <w:br/>
              <w:t>本基金在大类资产配置层面将贯彻“自上而下”的资产组合配置策略，运用定性和定量相结合的方式确定基金资产配置长期比例。</w:t>
            </w:r>
            <w:r>
              <w:rPr>
                <w:rFonts w:ascii="宋体" w:hAnsi="宋体" w:hint="eastAsia"/>
                <w:lang w:eastAsia="zh-Hans"/>
              </w:rPr>
              <w:br/>
              <w:t>2、区域资产配置策略</w:t>
            </w:r>
            <w:r>
              <w:rPr>
                <w:rFonts w:ascii="宋体" w:hAnsi="宋体" w:hint="eastAsia"/>
                <w:lang w:eastAsia="zh-Hans"/>
              </w:rPr>
              <w:br/>
              <w:t>本基金将根据全球经济以及区域化经济发展、不同国家或地区经济体的宏观经济变化和经济增长情况，以及各证券市场的表现、全球资本的流动情况，挑选部分特定国家或地区作为重点投资对象，增加该目标市场在资产组合中的配置比例。本基金管理人在确定国家或地区配置比例后，将动态跟踪各国家或地</w:t>
            </w:r>
            <w:r>
              <w:rPr>
                <w:rFonts w:ascii="宋体" w:hAnsi="宋体" w:hint="eastAsia"/>
                <w:lang w:eastAsia="zh-Hans"/>
              </w:rPr>
              <w:lastRenderedPageBreak/>
              <w:t>区的权重，对其估值水平及风险收益特征进行研究并结合风险预算确定超配和低配比例。</w:t>
            </w:r>
            <w:r>
              <w:rPr>
                <w:rFonts w:ascii="宋体" w:hAnsi="宋体" w:hint="eastAsia"/>
                <w:lang w:eastAsia="zh-Hans"/>
              </w:rPr>
              <w:br/>
              <w:t>3、行业资产配置策略</w:t>
            </w:r>
            <w:r>
              <w:rPr>
                <w:rFonts w:ascii="宋体" w:hAnsi="宋体" w:hint="eastAsia"/>
                <w:lang w:eastAsia="zh-Hans"/>
              </w:rPr>
              <w:br/>
              <w:t>本基金通过行业分析系统，运用多种指标对各个行业进行综合分析评估，并在大类资产配置和区域资产配置框架下确定行业配置方案。本基金将动态跟踪各行业配置的权重，结合行业分析，考虑市场相关度并基于行业风险预算确定行业资产的具体超配和低配比例。</w:t>
            </w:r>
            <w:r>
              <w:rPr>
                <w:rFonts w:ascii="宋体" w:hAnsi="宋体" w:hint="eastAsia"/>
                <w:lang w:eastAsia="zh-Hans"/>
              </w:rPr>
              <w:br/>
              <w:t>4、标的基金投资策略</w:t>
            </w:r>
            <w:r>
              <w:rPr>
                <w:rFonts w:ascii="宋体" w:hAnsi="宋体" w:hint="eastAsia"/>
                <w:lang w:eastAsia="zh-Hans"/>
              </w:rPr>
              <w:br/>
              <w:t>本基金通过定量分析策略和定性分析策略相结合的方式优选标的基金，通过分析各标的基金的费率水平、历史收益、夏普比率、历史回撤、波动率等定量指标，以及基金公司、投资经理、投资流程、风险控制等定性指标，挑选出合适的基金组成标的基金池，构建基金投资组合。</w:t>
            </w:r>
            <w:r>
              <w:rPr>
                <w:rFonts w:ascii="宋体" w:hAnsi="宋体" w:hint="eastAsia"/>
                <w:lang w:eastAsia="zh-Hans"/>
              </w:rPr>
              <w:br/>
              <w:t>目前本基金将主要投资于摩根资产管理(J.P. Morgan Asset Management)旗下的公募基金，并根据定量及定性分析策略优选标的基金。摩根资产管理(J.P. Morgan Asset Management)主要是指与基金管理人存在关联关系的摩根资产管理旗下的法人实体，包括但不限于JPMorgan Funds (Asia) Limited、JPMorgan Asset Management (UK) Limited等。</w:t>
            </w:r>
            <w:r>
              <w:rPr>
                <w:rFonts w:ascii="宋体" w:hAnsi="宋体" w:hint="eastAsia"/>
                <w:lang w:eastAsia="zh-Hans"/>
              </w:rPr>
              <w:br/>
              <w:t>5、金融衍生品投资策略</w:t>
            </w:r>
            <w:r>
              <w:rPr>
                <w:rFonts w:ascii="宋体" w:hAnsi="宋体" w:hint="eastAsia"/>
                <w:lang w:eastAsia="zh-Hans"/>
              </w:rPr>
              <w:br/>
              <w:t>本基金可本着谨慎和风险可控的原则投资于金融衍生品，以避险和增值、管理汇率风险。</w:t>
            </w:r>
          </w:p>
        </w:tc>
      </w:tr>
      <w:tr w:rsidR="007C555E">
        <w:trPr>
          <w:divId w:val="43983745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spacing w:line="360" w:lineRule="auto"/>
              <w:jc w:val="left"/>
            </w:pPr>
            <w:r>
              <w:rPr>
                <w:rFonts w:ascii="宋体" w:hAnsi="宋体" w:hint="eastAsia"/>
              </w:rPr>
              <w:lastRenderedPageBreak/>
              <w:t>业绩比较基准</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spacing w:line="360" w:lineRule="auto"/>
              <w:jc w:val="left"/>
            </w:pPr>
            <w:r>
              <w:rPr>
                <w:rFonts w:ascii="宋体" w:hAnsi="宋体" w:hint="eastAsia"/>
                <w:lang w:eastAsia="zh-Hans"/>
              </w:rPr>
              <w:t>MSCI全球指数（MSCI ACWI）*80%+摩根大通全球债券指数（J.P. Morgan Global Aggregate Bond Index）*20%。</w:t>
            </w:r>
          </w:p>
        </w:tc>
      </w:tr>
      <w:tr w:rsidR="007C555E">
        <w:trPr>
          <w:divId w:val="43983745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spacing w:line="360" w:lineRule="auto"/>
              <w:jc w:val="left"/>
            </w:pPr>
            <w:r>
              <w:rPr>
                <w:rFonts w:ascii="宋体" w:hAnsi="宋体" w:hint="eastAsia"/>
              </w:rPr>
              <w:t>风险收益特征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spacing w:line="360" w:lineRule="auto"/>
              <w:jc w:val="left"/>
            </w:pPr>
            <w:r>
              <w:rPr>
                <w:rFonts w:ascii="宋体" w:hAnsi="宋体" w:hint="eastAsia"/>
                <w:lang w:eastAsia="zh-Hans"/>
              </w:rPr>
              <w:t>本基 金主要投资于境外公募基金，属于中等风险收益水平的证券投资基金产品，预期风险和收益水平低于股票型基金，高于债券型基金和货币市场基金。</w:t>
            </w:r>
            <w:r>
              <w:rPr>
                <w:rFonts w:ascii="宋体" w:hAnsi="宋体" w:hint="eastAsia"/>
                <w:lang w:eastAsia="zh-Hans"/>
              </w:rPr>
              <w:br/>
              <w:t>根据2017年7月1日施行的《证券期货投资者适当性管理办法》，基金管理人和相关销售机构已对本基金重新进行风险评</w:t>
            </w:r>
            <w:r>
              <w:rPr>
                <w:rFonts w:ascii="宋体" w:hAnsi="宋体" w:hint="eastAsia"/>
                <w:lang w:eastAsia="zh-Hans"/>
              </w:rPr>
              <w:lastRenderedPageBreak/>
              <w:t>级，风险评级行为不改变本基金的实质性风险收益特征，但由于风险等级分类标准的变化，本基金的风险等级表述可能有相应变化，具体风险评级结果应以基金管理人和销售机构提供的评级结果为准。</w:t>
            </w:r>
          </w:p>
        </w:tc>
      </w:tr>
      <w:tr w:rsidR="007C555E">
        <w:trPr>
          <w:divId w:val="439837457"/>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spacing w:line="360" w:lineRule="auto"/>
              <w:jc w:val="left"/>
            </w:pPr>
            <w:r>
              <w:rPr>
                <w:rFonts w:ascii="宋体" w:hAnsi="宋体" w:hint="eastAsia"/>
              </w:rPr>
              <w:lastRenderedPageBreak/>
              <w:t>基金管理人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spacing w:line="360" w:lineRule="auto"/>
              <w:jc w:val="left"/>
            </w:pPr>
            <w:r>
              <w:rPr>
                <w:rFonts w:ascii="宋体" w:hAnsi="宋体" w:hint="eastAsia"/>
                <w:lang w:eastAsia="zh-Hans"/>
              </w:rPr>
              <w:t>摩根基金管理（中国）有限公司</w:t>
            </w:r>
          </w:p>
        </w:tc>
      </w:tr>
      <w:tr w:rsidR="007C555E">
        <w:trPr>
          <w:divId w:val="439837457"/>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spacing w:line="360" w:lineRule="auto"/>
              <w:jc w:val="left"/>
            </w:pPr>
            <w:r>
              <w:rPr>
                <w:rFonts w:ascii="宋体" w:hAnsi="宋体" w:hint="eastAsia"/>
              </w:rPr>
              <w:t>基金托管人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spacing w:line="360" w:lineRule="auto"/>
              <w:jc w:val="left"/>
            </w:pPr>
            <w:r>
              <w:rPr>
                <w:rFonts w:ascii="宋体" w:hAnsi="宋体" w:hint="eastAsia"/>
                <w:lang w:eastAsia="zh-Hans"/>
              </w:rPr>
              <w:t>招商银行股份有限公司</w:t>
            </w:r>
          </w:p>
        </w:tc>
      </w:tr>
      <w:tr w:rsidR="007C555E">
        <w:trPr>
          <w:divId w:val="439837457"/>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7C555E" w:rsidRDefault="00421B21">
            <w:pPr>
              <w:spacing w:line="360" w:lineRule="auto"/>
              <w:jc w:val="left"/>
            </w:pPr>
            <w:bookmarkStart w:id="39"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7C555E" w:rsidRDefault="00421B21">
            <w:pPr>
              <w:spacing w:line="360" w:lineRule="auto"/>
              <w:jc w:val="center"/>
            </w:pPr>
            <w:r>
              <w:rPr>
                <w:rFonts w:ascii="宋体" w:hAnsi="宋体" w:hint="eastAsia"/>
                <w:lang w:eastAsia="zh-Hans"/>
              </w:rPr>
              <w:t>摩根全球多元配置(QDII-FOF)人民币A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7C555E" w:rsidRDefault="00421B21">
            <w:pPr>
              <w:spacing w:line="360" w:lineRule="auto"/>
              <w:jc w:val="center"/>
            </w:pPr>
            <w:r>
              <w:rPr>
                <w:rFonts w:ascii="宋体" w:hAnsi="宋体" w:hint="eastAsia"/>
                <w:lang w:eastAsia="zh-Hans"/>
              </w:rPr>
              <w:t>摩根全球多元配置(QDII-FOF)人民币C</w:t>
            </w:r>
            <w:r>
              <w:rPr>
                <w:rFonts w:ascii="宋体" w:hAnsi="宋体" w:hint="eastAsia"/>
                <w:kern w:val="0"/>
                <w:sz w:val="20"/>
                <w:lang w:eastAsia="zh-Hans"/>
              </w:rPr>
              <w:t xml:space="preserve"> </w:t>
            </w:r>
          </w:p>
        </w:tc>
      </w:tr>
      <w:tr w:rsidR="007C555E">
        <w:trPr>
          <w:divId w:val="439837457"/>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7C555E" w:rsidRDefault="00421B21">
            <w:pPr>
              <w:spacing w:line="360" w:lineRule="auto"/>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7C555E" w:rsidRDefault="00421B21">
            <w:pPr>
              <w:spacing w:line="360" w:lineRule="auto"/>
              <w:jc w:val="center"/>
            </w:pPr>
            <w:r>
              <w:rPr>
                <w:rFonts w:ascii="宋体" w:hAnsi="宋体" w:hint="eastAsia"/>
                <w:lang w:eastAsia="zh-Hans"/>
              </w:rPr>
              <w:t>003629</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7C555E" w:rsidRDefault="00421B21">
            <w:pPr>
              <w:spacing w:line="360" w:lineRule="auto"/>
              <w:jc w:val="center"/>
            </w:pPr>
            <w:r>
              <w:rPr>
                <w:rFonts w:ascii="宋体" w:hAnsi="宋体" w:hint="eastAsia"/>
                <w:lang w:eastAsia="zh-Hans"/>
              </w:rPr>
              <w:t>019512</w:t>
            </w:r>
            <w:r>
              <w:rPr>
                <w:rFonts w:ascii="宋体" w:hAnsi="宋体" w:hint="eastAsia"/>
                <w:kern w:val="0"/>
                <w:sz w:val="20"/>
                <w:lang w:eastAsia="zh-Hans"/>
              </w:rPr>
              <w:t xml:space="preserve"> </w:t>
            </w:r>
          </w:p>
        </w:tc>
      </w:tr>
      <w:bookmarkEnd w:id="39"/>
      <w:tr w:rsidR="007C555E">
        <w:trPr>
          <w:divId w:val="439837457"/>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7C555E" w:rsidRDefault="00421B21">
            <w:pPr>
              <w:spacing w:line="360" w:lineRule="auto"/>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center"/>
            </w:pPr>
            <w:r>
              <w:rPr>
                <w:rFonts w:ascii="宋体" w:hAnsi="宋体" w:hint="eastAsia"/>
                <w:lang w:eastAsia="zh-Hans"/>
              </w:rPr>
              <w:t>364,209,314.20</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center"/>
            </w:pPr>
            <w:r>
              <w:rPr>
                <w:rFonts w:ascii="宋体" w:hAnsi="宋体" w:hint="eastAsia"/>
                <w:lang w:eastAsia="zh-Hans"/>
              </w:rPr>
              <w:t>96,932,092.90</w:t>
            </w:r>
            <w:r>
              <w:rPr>
                <w:rFonts w:hint="eastAsia"/>
              </w:rPr>
              <w:t>份</w:t>
            </w:r>
            <w:r>
              <w:rPr>
                <w:rFonts w:ascii="宋体" w:hAnsi="宋体" w:hint="eastAsia"/>
                <w:lang w:eastAsia="zh-Hans"/>
              </w:rPr>
              <w:t xml:space="preserve"> </w:t>
            </w:r>
          </w:p>
        </w:tc>
      </w:tr>
      <w:tr w:rsidR="007C555E">
        <w:trPr>
          <w:divId w:val="439837457"/>
          <w:jc w:val="center"/>
        </w:trPr>
        <w:tc>
          <w:tcPr>
            <w:tcW w:w="118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spacing w:line="360" w:lineRule="auto"/>
              <w:jc w:val="left"/>
            </w:pPr>
            <w:r>
              <w:rPr>
                <w:rFonts w:ascii="宋体" w:hAnsi="宋体" w:hint="eastAsia"/>
              </w:rPr>
              <w:t>境外投资顾问</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spacing w:line="360" w:lineRule="auto"/>
              <w:jc w:val="left"/>
            </w:pPr>
            <w:r>
              <w:rPr>
                <w:rFonts w:ascii="宋体" w:hAnsi="宋体" w:hint="eastAsia"/>
                <w:lang w:eastAsia="zh-Hans"/>
              </w:rPr>
              <w:t>英文名称：JPMORGAN ASSET MANAGEMENT (ASIA PACIFIC) LIMITED</w:t>
            </w:r>
          </w:p>
        </w:tc>
      </w:tr>
      <w:tr w:rsidR="007C555E">
        <w:trPr>
          <w:divId w:val="43983745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555E" w:rsidRDefault="007C555E">
            <w:pPr>
              <w:widowControl/>
              <w:jc w:val="left"/>
            </w:pP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widowControl/>
              <w:spacing w:line="315" w:lineRule="atLeast"/>
              <w:jc w:val="left"/>
            </w:pPr>
            <w:r>
              <w:rPr>
                <w:rFonts w:ascii="宋体" w:hAnsi="宋体" w:hint="eastAsia"/>
                <w:lang w:eastAsia="zh-Hans"/>
              </w:rPr>
              <w:t>中文名称：摩根资产管理(亚太)有限公司</w:t>
            </w:r>
            <w:r>
              <w:rPr>
                <w:rFonts w:asciiTheme="minorEastAsia" w:eastAsiaTheme="minorEastAsia" w:hAnsiTheme="minorEastAsia" w:hint="eastAsia"/>
              </w:rPr>
              <w:t xml:space="preserve"> </w:t>
            </w:r>
          </w:p>
        </w:tc>
      </w:tr>
      <w:tr w:rsidR="007C555E">
        <w:trPr>
          <w:divId w:val="439837457"/>
          <w:trHeight w:val="382"/>
          <w:jc w:val="center"/>
        </w:trPr>
        <w:tc>
          <w:tcPr>
            <w:tcW w:w="118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spacing w:line="360" w:lineRule="auto"/>
              <w:jc w:val="left"/>
            </w:pPr>
            <w:r>
              <w:rPr>
                <w:rFonts w:ascii="宋体" w:hAnsi="宋体" w:hint="eastAsia"/>
              </w:rPr>
              <w:t>境外资产托管人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spacing w:line="360" w:lineRule="auto"/>
              <w:jc w:val="left"/>
            </w:pPr>
            <w:r>
              <w:rPr>
                <w:rFonts w:ascii="宋体" w:hAnsi="宋体" w:hint="eastAsia"/>
                <w:lang w:eastAsia="zh-Hans"/>
              </w:rPr>
              <w:t>英文名称：The Hong Kong and Shanghai Banking Corporation Limited</w:t>
            </w:r>
          </w:p>
        </w:tc>
      </w:tr>
      <w:tr w:rsidR="007C555E">
        <w:trPr>
          <w:divId w:val="439837457"/>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555E" w:rsidRDefault="007C555E">
            <w:pPr>
              <w:widowControl/>
              <w:jc w:val="left"/>
            </w:pP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widowControl/>
              <w:spacing w:line="315" w:lineRule="atLeast"/>
              <w:jc w:val="left"/>
            </w:pPr>
            <w:r>
              <w:rPr>
                <w:rFonts w:ascii="宋体" w:hAnsi="宋体" w:hint="eastAsia"/>
                <w:lang w:eastAsia="zh-Hans"/>
              </w:rPr>
              <w:t>中文名称：香港上海汇丰银行有限公司</w:t>
            </w:r>
            <w:r>
              <w:rPr>
                <w:rFonts w:asciiTheme="minorEastAsia" w:eastAsiaTheme="minorEastAsia" w:hAnsiTheme="minorEastAsia" w:hint="eastAsia"/>
              </w:rPr>
              <w:t xml:space="preserve"> </w:t>
            </w:r>
          </w:p>
        </w:tc>
      </w:tr>
    </w:tbl>
    <w:p w:rsidR="007C555E" w:rsidRDefault="00421B21">
      <w:pPr>
        <w:pStyle w:val="XBRLTitle1"/>
        <w:spacing w:before="156"/>
        <w:ind w:left="425"/>
      </w:pPr>
      <w:bookmarkStart w:id="40" w:name="_Toc514088245"/>
      <w:bookmarkStart w:id="41" w:name="_Toc480465415"/>
      <w:bookmarkStart w:id="42" w:name="_Toc448480286"/>
      <w:bookmarkStart w:id="43" w:name="_Toc438654074"/>
      <w:bookmarkStart w:id="44" w:name="_Toc456107120"/>
      <w:bookmarkStart w:id="45" w:name="_Toc459213766"/>
      <w:bookmarkStart w:id="46" w:name="_Toc513542646"/>
      <w:bookmarkStart w:id="47" w:name="_Toc512696252"/>
      <w:bookmarkStart w:id="48" w:name="_Toc512612255"/>
      <w:bookmarkStart w:id="49" w:name="_Toc512612079"/>
      <w:bookmarkStart w:id="50" w:name="_Toc512611283"/>
      <w:bookmarkStart w:id="51" w:name="m401_tab"/>
      <w:bookmarkStart w:id="52" w:name="m401"/>
      <w:bookmarkEnd w:id="38"/>
      <w:proofErr w:type="spellStart"/>
      <w:r>
        <w:rPr>
          <w:rFonts w:hint="eastAsia"/>
        </w:rPr>
        <w:t>主要财务指标和基金净值表现</w:t>
      </w:r>
      <w:bookmarkEnd w:id="40"/>
      <w:bookmarkEnd w:id="41"/>
      <w:bookmarkEnd w:id="42"/>
      <w:bookmarkEnd w:id="43"/>
      <w:bookmarkEnd w:id="44"/>
      <w:bookmarkEnd w:id="45"/>
      <w:bookmarkEnd w:id="46"/>
      <w:bookmarkEnd w:id="47"/>
      <w:bookmarkEnd w:id="48"/>
      <w:bookmarkEnd w:id="49"/>
      <w:bookmarkEnd w:id="50"/>
      <w:proofErr w:type="spellEnd"/>
    </w:p>
    <w:p w:rsidR="007C555E" w:rsidRDefault="00421B21">
      <w:pPr>
        <w:pStyle w:val="XBRLTitle2"/>
        <w:spacing w:before="156" w:line="360" w:lineRule="auto"/>
        <w:ind w:left="454"/>
      </w:pPr>
      <w:bookmarkStart w:id="53" w:name="_Toc514088246"/>
      <w:bookmarkStart w:id="54" w:name="_Toc480465416"/>
      <w:bookmarkStart w:id="55" w:name="_Toc448480287"/>
      <w:bookmarkStart w:id="56" w:name="_Toc438654075"/>
      <w:bookmarkStart w:id="57" w:name="_Toc456107121"/>
      <w:bookmarkStart w:id="58" w:name="_Toc459213767"/>
      <w:bookmarkStart w:id="59" w:name="_Toc513542647"/>
      <w:bookmarkStart w:id="60" w:name="_Toc512696253"/>
      <w:bookmarkStart w:id="61" w:name="_Toc512612256"/>
      <w:bookmarkStart w:id="62" w:name="_Toc512612080"/>
      <w:bookmarkStart w:id="63" w:name="_Toc512611284"/>
      <w:proofErr w:type="spellStart"/>
      <w:r>
        <w:rPr>
          <w:rFonts w:eastAsia="宋体" w:hint="eastAsia"/>
        </w:rPr>
        <w:t>主要财务指标</w:t>
      </w:r>
      <w:bookmarkEnd w:id="53"/>
      <w:bookmarkEnd w:id="54"/>
      <w:bookmarkEnd w:id="55"/>
      <w:bookmarkEnd w:id="56"/>
      <w:bookmarkEnd w:id="57"/>
      <w:bookmarkEnd w:id="58"/>
      <w:proofErr w:type="spellEnd"/>
      <w:r>
        <w:rPr>
          <w:rFonts w:eastAsia="宋体" w:hint="eastAsia"/>
        </w:rPr>
        <w:t xml:space="preserve"> </w:t>
      </w:r>
      <w:bookmarkEnd w:id="59"/>
      <w:bookmarkEnd w:id="60"/>
      <w:bookmarkEnd w:id="61"/>
      <w:bookmarkEnd w:id="62"/>
      <w:bookmarkEnd w:id="63"/>
    </w:p>
    <w:p w:rsidR="007C555E" w:rsidRDefault="00421B21">
      <w:pPr>
        <w:jc w:val="right"/>
        <w:divId w:val="2108035798"/>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3"/>
        <w:gridCol w:w="3231"/>
        <w:gridCol w:w="3231"/>
      </w:tblGrid>
      <w:tr w:rsidR="007C555E">
        <w:trPr>
          <w:divId w:val="2108035798"/>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7C555E" w:rsidRDefault="00421B21">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7C555E" w:rsidRDefault="00421B21">
            <w:pPr>
              <w:pStyle w:val="a5"/>
              <w:jc w:val="center"/>
            </w:pPr>
            <w:r>
              <w:rPr>
                <w:rFonts w:hint="eastAsia"/>
                <w:kern w:val="2"/>
                <w:sz w:val="21"/>
                <w:szCs w:val="24"/>
                <w:lang w:eastAsia="zh-Hans"/>
              </w:rPr>
              <w:t xml:space="preserve">报告期（2025年1月1日-2025年3月31日） </w:t>
            </w:r>
          </w:p>
        </w:tc>
      </w:tr>
      <w:tr w:rsidR="007C555E">
        <w:trPr>
          <w:divId w:val="2108035798"/>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55E" w:rsidRDefault="007C555E">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7C555E" w:rsidRDefault="00421B21">
            <w:pPr>
              <w:jc w:val="center"/>
            </w:pPr>
            <w:r>
              <w:rPr>
                <w:rFonts w:ascii="宋体" w:hAnsi="宋体" w:hint="eastAsia"/>
                <w:szCs w:val="24"/>
                <w:lang w:eastAsia="zh-Hans"/>
              </w:rPr>
              <w:t>摩根全球多元配置(QDII-FOF)人民币A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7C555E" w:rsidRDefault="00421B21">
            <w:pPr>
              <w:jc w:val="center"/>
            </w:pPr>
            <w:r>
              <w:rPr>
                <w:rFonts w:ascii="宋体" w:hAnsi="宋体" w:hint="eastAsia"/>
                <w:szCs w:val="24"/>
                <w:lang w:eastAsia="zh-Hans"/>
              </w:rPr>
              <w:t>摩根全球多元配置(QDII-FOF)人民币C</w:t>
            </w:r>
          </w:p>
        </w:tc>
      </w:tr>
      <w:tr w:rsidR="007C555E">
        <w:trPr>
          <w:divId w:val="210803579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7C555E" w:rsidRDefault="00421B21">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7C555E" w:rsidRDefault="00421B21">
            <w:pPr>
              <w:jc w:val="right"/>
            </w:pPr>
            <w:r>
              <w:rPr>
                <w:rFonts w:ascii="宋体" w:hAnsi="宋体" w:hint="eastAsia"/>
                <w:szCs w:val="24"/>
                <w:lang w:eastAsia="zh-Hans"/>
              </w:rPr>
              <w:t>6,339,542.90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7C555E" w:rsidRDefault="00421B21">
            <w:pPr>
              <w:jc w:val="right"/>
            </w:pPr>
            <w:r>
              <w:rPr>
                <w:rFonts w:ascii="宋体" w:hAnsi="宋体" w:hint="eastAsia"/>
                <w:szCs w:val="24"/>
                <w:lang w:eastAsia="zh-Hans"/>
              </w:rPr>
              <w:t>1,490,983.83</w:t>
            </w:r>
          </w:p>
        </w:tc>
      </w:tr>
      <w:tr w:rsidR="007C555E">
        <w:trPr>
          <w:divId w:val="210803579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7C555E" w:rsidRDefault="00421B21">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7C555E" w:rsidRDefault="00421B21">
            <w:pPr>
              <w:jc w:val="right"/>
            </w:pPr>
            <w:r>
              <w:rPr>
                <w:rFonts w:ascii="宋体" w:hAnsi="宋体" w:hint="eastAsia"/>
                <w:szCs w:val="24"/>
                <w:lang w:eastAsia="zh-Hans"/>
              </w:rPr>
              <w:t>-13,014,469.42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7C555E" w:rsidRDefault="00421B21">
            <w:pPr>
              <w:jc w:val="right"/>
            </w:pPr>
            <w:r>
              <w:rPr>
                <w:rFonts w:ascii="宋体" w:hAnsi="宋体" w:hint="eastAsia"/>
                <w:szCs w:val="24"/>
                <w:lang w:eastAsia="zh-Hans"/>
              </w:rPr>
              <w:t>-3,889,807.77</w:t>
            </w:r>
          </w:p>
        </w:tc>
      </w:tr>
      <w:tr w:rsidR="007C555E">
        <w:trPr>
          <w:divId w:val="210803579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7C555E" w:rsidRDefault="00421B21">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7C555E" w:rsidRDefault="00421B21">
            <w:pPr>
              <w:jc w:val="right"/>
            </w:pPr>
            <w:r>
              <w:rPr>
                <w:rFonts w:ascii="宋体" w:hAnsi="宋体" w:hint="eastAsia"/>
                <w:szCs w:val="24"/>
                <w:lang w:eastAsia="zh-Hans"/>
              </w:rPr>
              <w:t>-0.0364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7C555E" w:rsidRDefault="00421B21">
            <w:pPr>
              <w:jc w:val="right"/>
            </w:pPr>
            <w:r>
              <w:rPr>
                <w:rFonts w:ascii="宋体" w:hAnsi="宋体" w:hint="eastAsia"/>
                <w:szCs w:val="24"/>
                <w:lang w:eastAsia="zh-Hans"/>
              </w:rPr>
              <w:t>-0.0469</w:t>
            </w:r>
          </w:p>
        </w:tc>
      </w:tr>
      <w:tr w:rsidR="007C555E">
        <w:trPr>
          <w:divId w:val="210803579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7C555E" w:rsidRDefault="00421B21">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7C555E" w:rsidRDefault="00421B21">
            <w:pPr>
              <w:jc w:val="right"/>
            </w:pPr>
            <w:r>
              <w:rPr>
                <w:rFonts w:ascii="宋体" w:hAnsi="宋体" w:hint="eastAsia"/>
                <w:szCs w:val="24"/>
                <w:lang w:eastAsia="zh-Hans"/>
              </w:rPr>
              <w:t>603,207,891.80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7C555E" w:rsidRDefault="00421B21">
            <w:pPr>
              <w:jc w:val="right"/>
            </w:pPr>
            <w:r>
              <w:rPr>
                <w:rFonts w:ascii="宋体" w:hAnsi="宋体" w:hint="eastAsia"/>
                <w:szCs w:val="24"/>
                <w:lang w:eastAsia="zh-Hans"/>
              </w:rPr>
              <w:t>160,927,021.92</w:t>
            </w:r>
          </w:p>
        </w:tc>
      </w:tr>
      <w:tr w:rsidR="007C555E">
        <w:trPr>
          <w:divId w:val="210803579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7C555E" w:rsidRDefault="00421B21">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7C555E" w:rsidRDefault="00421B21">
            <w:pPr>
              <w:jc w:val="right"/>
            </w:pPr>
            <w:r>
              <w:rPr>
                <w:rFonts w:ascii="宋体" w:hAnsi="宋体" w:hint="eastAsia"/>
                <w:szCs w:val="24"/>
                <w:lang w:eastAsia="zh-Hans"/>
              </w:rPr>
              <w:t>1.6562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7C555E" w:rsidRDefault="00421B21">
            <w:pPr>
              <w:jc w:val="right"/>
            </w:pPr>
            <w:r>
              <w:rPr>
                <w:rFonts w:ascii="宋体" w:hAnsi="宋体" w:hint="eastAsia"/>
                <w:szCs w:val="24"/>
                <w:lang w:eastAsia="zh-Hans"/>
              </w:rPr>
              <w:t>1.6602</w:t>
            </w:r>
          </w:p>
        </w:tc>
      </w:tr>
    </w:tbl>
    <w:p w:rsidR="007C555E" w:rsidRDefault="00421B21">
      <w:pPr>
        <w:wordWrap w:val="0"/>
        <w:spacing w:line="360" w:lineRule="auto"/>
        <w:jc w:val="left"/>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w:t>
      </w:r>
      <w:r>
        <w:rPr>
          <w:rFonts w:ascii="宋体" w:hAnsi="宋体" w:hint="eastAsia"/>
          <w:szCs w:val="21"/>
        </w:rPr>
        <w:lastRenderedPageBreak/>
        <w:t>费、红利再投资费、基金转换费等），计入费用后实际收益水平要低于所列数字。</w:t>
      </w:r>
    </w:p>
    <w:p w:rsidR="007C555E" w:rsidRDefault="00421B21">
      <w:pPr>
        <w:pStyle w:val="XBRLTitle2"/>
        <w:spacing w:before="156" w:line="360" w:lineRule="auto"/>
        <w:ind w:left="454"/>
      </w:pPr>
      <w:bookmarkStart w:id="64" w:name="_Toc514088247"/>
      <w:bookmarkStart w:id="65" w:name="_Toc480465417"/>
      <w:bookmarkStart w:id="66" w:name="_Toc448480288"/>
      <w:bookmarkStart w:id="67" w:name="_Toc438654076"/>
      <w:bookmarkStart w:id="68" w:name="_Toc456107122"/>
      <w:bookmarkStart w:id="69" w:name="_Toc459213768"/>
      <w:bookmarkStart w:id="70" w:name="_Toc513542648"/>
      <w:bookmarkStart w:id="71" w:name="_Toc512696254"/>
      <w:bookmarkStart w:id="72" w:name="_Toc512612257"/>
      <w:bookmarkStart w:id="73" w:name="_Toc512612081"/>
      <w:bookmarkStart w:id="74" w:name="_Toc512611285"/>
      <w:proofErr w:type="spellStart"/>
      <w:r>
        <w:rPr>
          <w:rFonts w:eastAsia="宋体" w:hint="eastAsia"/>
        </w:rPr>
        <w:t>基金净值表现</w:t>
      </w:r>
      <w:bookmarkEnd w:id="64"/>
      <w:bookmarkEnd w:id="65"/>
      <w:bookmarkEnd w:id="66"/>
      <w:bookmarkEnd w:id="67"/>
      <w:bookmarkEnd w:id="68"/>
      <w:bookmarkEnd w:id="69"/>
      <w:bookmarkEnd w:id="70"/>
      <w:bookmarkEnd w:id="71"/>
      <w:bookmarkEnd w:id="72"/>
      <w:bookmarkEnd w:id="73"/>
      <w:bookmarkEnd w:id="74"/>
      <w:proofErr w:type="spellEnd"/>
      <w:r>
        <w:rPr>
          <w:rFonts w:eastAsia="宋体" w:hint="eastAsia"/>
        </w:rPr>
        <w:t xml:space="preserve"> </w:t>
      </w:r>
    </w:p>
    <w:p w:rsidR="007C555E" w:rsidRDefault="00421B21">
      <w:pPr>
        <w:pStyle w:val="XBRLTitle3"/>
        <w:spacing w:before="156" w:line="360" w:lineRule="auto"/>
        <w:ind w:left="624"/>
      </w:pPr>
      <w:bookmarkStart w:id="75" w:name="_Toc514088248"/>
      <w:bookmarkStart w:id="76" w:name="_Toc513542649"/>
      <w:bookmarkStart w:id="77" w:name="_Toc480465418"/>
      <w:proofErr w:type="spellStart"/>
      <w:r>
        <w:rPr>
          <w:rFonts w:hAnsi="宋体" w:hint="eastAsia"/>
        </w:rPr>
        <w:t>基金份额净值增长率及其与同期业绩比较基准收益率的比较</w:t>
      </w:r>
      <w:bookmarkEnd w:id="75"/>
      <w:bookmarkEnd w:id="76"/>
      <w:bookmarkEnd w:id="77"/>
      <w:proofErr w:type="spellEnd"/>
      <w:r>
        <w:rPr>
          <w:rFonts w:hAnsi="宋体" w:hint="eastAsia"/>
        </w:rPr>
        <w:t xml:space="preserve"> </w:t>
      </w:r>
    </w:p>
    <w:p w:rsidR="007C555E" w:rsidRDefault="00421B21">
      <w:pPr>
        <w:spacing w:line="360" w:lineRule="auto"/>
        <w:jc w:val="center"/>
        <w:divId w:val="634221322"/>
      </w:pPr>
      <w:r>
        <w:rPr>
          <w:rFonts w:ascii="宋体" w:hAnsi="宋体" w:hint="eastAsia"/>
        </w:rPr>
        <w:t>摩根全球多元配置(QDII-FOF)人民币A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7C555E">
        <w:trPr>
          <w:divId w:val="634221322"/>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7C555E" w:rsidRDefault="00421B21">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7C555E" w:rsidRDefault="00421B21">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7C555E" w:rsidRDefault="00421B21">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7C555E" w:rsidRDefault="00421B21">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7C555E" w:rsidRDefault="00421B21">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555E" w:rsidRDefault="00421B21">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7C555E" w:rsidRDefault="00421B21">
            <w:pPr>
              <w:spacing w:line="360" w:lineRule="auto"/>
              <w:jc w:val="center"/>
            </w:pPr>
            <w:r>
              <w:rPr>
                <w:rFonts w:ascii="宋体" w:hAnsi="宋体" w:hint="eastAsia"/>
              </w:rPr>
              <w:t xml:space="preserve">②－④ </w:t>
            </w:r>
          </w:p>
        </w:tc>
      </w:tr>
      <w:tr w:rsidR="007C555E">
        <w:trPr>
          <w:divId w:val="63422132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-2.06%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0.52%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-0.95%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0.66% </w:t>
            </w:r>
          </w:p>
        </w:tc>
        <w:tc>
          <w:tcPr>
            <w:tcW w:w="728" w:type="pct"/>
            <w:tcBorders>
              <w:top w:val="single" w:sz="4" w:space="0" w:color="auto"/>
              <w:left w:val="single" w:sz="4" w:space="0" w:color="auto"/>
              <w:bottom w:val="single" w:sz="4" w:space="0" w:color="auto"/>
              <w:right w:val="single" w:sz="4" w:space="0" w:color="auto"/>
            </w:tcBorders>
            <w:vAlign w:val="center"/>
            <w:hideMark/>
          </w:tcPr>
          <w:p w:rsidR="007C555E" w:rsidRDefault="00421B21">
            <w:pPr>
              <w:spacing w:line="360" w:lineRule="auto"/>
              <w:jc w:val="right"/>
            </w:pPr>
            <w:r>
              <w:rPr>
                <w:rFonts w:ascii="宋体" w:hAnsi="宋体" w:hint="eastAsia"/>
              </w:rPr>
              <w:t xml:space="preserve">-1.11%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-0.14% </w:t>
            </w:r>
          </w:p>
        </w:tc>
      </w:tr>
      <w:tr w:rsidR="007C555E">
        <w:trPr>
          <w:divId w:val="63422132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-0.45%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0.51%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-0.36%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0.61% </w:t>
            </w:r>
          </w:p>
        </w:tc>
        <w:tc>
          <w:tcPr>
            <w:tcW w:w="728" w:type="pct"/>
            <w:tcBorders>
              <w:top w:val="single" w:sz="4" w:space="0" w:color="auto"/>
              <w:left w:val="single" w:sz="4" w:space="0" w:color="auto"/>
              <w:bottom w:val="single" w:sz="4" w:space="0" w:color="auto"/>
              <w:right w:val="single" w:sz="4" w:space="0" w:color="auto"/>
            </w:tcBorders>
            <w:vAlign w:val="center"/>
            <w:hideMark/>
          </w:tcPr>
          <w:p w:rsidR="007C555E" w:rsidRDefault="00421B21">
            <w:pPr>
              <w:spacing w:line="360" w:lineRule="auto"/>
              <w:jc w:val="right"/>
            </w:pPr>
            <w:r>
              <w:rPr>
                <w:rFonts w:ascii="宋体" w:hAnsi="宋体" w:hint="eastAsia"/>
              </w:rPr>
              <w:t xml:space="preserve">-0.09%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-0.10% </w:t>
            </w:r>
          </w:p>
        </w:tc>
      </w:tr>
      <w:tr w:rsidR="007C555E">
        <w:trPr>
          <w:divId w:val="63422132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2.32%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0.53%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6.35%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0.63% </w:t>
            </w:r>
          </w:p>
        </w:tc>
        <w:tc>
          <w:tcPr>
            <w:tcW w:w="728" w:type="pct"/>
            <w:tcBorders>
              <w:top w:val="single" w:sz="4" w:space="0" w:color="auto"/>
              <w:left w:val="single" w:sz="4" w:space="0" w:color="auto"/>
              <w:bottom w:val="single" w:sz="4" w:space="0" w:color="auto"/>
              <w:right w:val="single" w:sz="4" w:space="0" w:color="auto"/>
            </w:tcBorders>
            <w:vAlign w:val="center"/>
            <w:hideMark/>
          </w:tcPr>
          <w:p w:rsidR="007C555E" w:rsidRDefault="00421B21">
            <w:pPr>
              <w:spacing w:line="360" w:lineRule="auto"/>
              <w:jc w:val="right"/>
            </w:pPr>
            <w:r>
              <w:rPr>
                <w:rFonts w:ascii="宋体" w:hAnsi="宋体" w:hint="eastAsia"/>
              </w:rPr>
              <w:t xml:space="preserve">-4.03%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-0.10% </w:t>
            </w:r>
          </w:p>
        </w:tc>
      </w:tr>
      <w:tr w:rsidR="007C555E">
        <w:trPr>
          <w:divId w:val="63422132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20.07%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0.60%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27.03%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0.75% </w:t>
            </w:r>
          </w:p>
        </w:tc>
        <w:tc>
          <w:tcPr>
            <w:tcW w:w="728" w:type="pct"/>
            <w:tcBorders>
              <w:top w:val="single" w:sz="4" w:space="0" w:color="auto"/>
              <w:left w:val="single" w:sz="4" w:space="0" w:color="auto"/>
              <w:bottom w:val="single" w:sz="4" w:space="0" w:color="auto"/>
              <w:right w:val="single" w:sz="4" w:space="0" w:color="auto"/>
            </w:tcBorders>
            <w:vAlign w:val="center"/>
            <w:hideMark/>
          </w:tcPr>
          <w:p w:rsidR="007C555E" w:rsidRDefault="00421B21">
            <w:pPr>
              <w:spacing w:line="360" w:lineRule="auto"/>
              <w:jc w:val="right"/>
            </w:pPr>
            <w:r>
              <w:rPr>
                <w:rFonts w:ascii="宋体" w:hAnsi="宋体" w:hint="eastAsia"/>
              </w:rPr>
              <w:t xml:space="preserve">-6.96%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-0.15% </w:t>
            </w:r>
          </w:p>
        </w:tc>
      </w:tr>
      <w:tr w:rsidR="007C555E">
        <w:trPr>
          <w:divId w:val="63422132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46.31%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0.65%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68.00%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0.79% </w:t>
            </w:r>
          </w:p>
        </w:tc>
        <w:tc>
          <w:tcPr>
            <w:tcW w:w="728" w:type="pct"/>
            <w:tcBorders>
              <w:top w:val="single" w:sz="4" w:space="0" w:color="auto"/>
              <w:left w:val="single" w:sz="4" w:space="0" w:color="auto"/>
              <w:bottom w:val="single" w:sz="4" w:space="0" w:color="auto"/>
              <w:right w:val="single" w:sz="4" w:space="0" w:color="auto"/>
            </w:tcBorders>
            <w:vAlign w:val="center"/>
            <w:hideMark/>
          </w:tcPr>
          <w:p w:rsidR="007C555E" w:rsidRDefault="00421B21">
            <w:pPr>
              <w:spacing w:line="360" w:lineRule="auto"/>
              <w:jc w:val="right"/>
            </w:pPr>
            <w:r>
              <w:rPr>
                <w:rFonts w:ascii="宋体" w:hAnsi="宋体" w:hint="eastAsia"/>
              </w:rPr>
              <w:t xml:space="preserve">-21.69%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-0.14% </w:t>
            </w:r>
          </w:p>
        </w:tc>
      </w:tr>
      <w:tr w:rsidR="007C555E">
        <w:trPr>
          <w:divId w:val="63422132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65.62%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0.66%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82.09%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0.80% </w:t>
            </w:r>
          </w:p>
        </w:tc>
        <w:tc>
          <w:tcPr>
            <w:tcW w:w="728" w:type="pct"/>
            <w:tcBorders>
              <w:top w:val="single" w:sz="4" w:space="0" w:color="auto"/>
              <w:left w:val="single" w:sz="4" w:space="0" w:color="auto"/>
              <w:bottom w:val="single" w:sz="4" w:space="0" w:color="auto"/>
              <w:right w:val="single" w:sz="4" w:space="0" w:color="auto"/>
            </w:tcBorders>
            <w:vAlign w:val="center"/>
            <w:hideMark/>
          </w:tcPr>
          <w:p w:rsidR="007C555E" w:rsidRDefault="00421B21">
            <w:pPr>
              <w:spacing w:line="360" w:lineRule="auto"/>
              <w:jc w:val="right"/>
            </w:pPr>
            <w:r>
              <w:rPr>
                <w:rFonts w:ascii="宋体" w:hAnsi="宋体" w:hint="eastAsia"/>
              </w:rPr>
              <w:t xml:space="preserve">-16.47%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-0.14% </w:t>
            </w:r>
          </w:p>
        </w:tc>
      </w:tr>
    </w:tbl>
    <w:p w:rsidR="007C555E" w:rsidRDefault="00421B21">
      <w:pPr>
        <w:spacing w:line="360" w:lineRule="auto"/>
        <w:jc w:val="center"/>
        <w:divId w:val="302388395"/>
      </w:pPr>
      <w:r>
        <w:rPr>
          <w:rFonts w:ascii="宋体" w:hAnsi="宋体" w:hint="eastAsia"/>
        </w:rPr>
        <w:t>摩根全球多元配置(QDII-FOF)人民币C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7C555E">
        <w:trPr>
          <w:divId w:val="302388395"/>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7C555E" w:rsidRDefault="00421B21">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7C555E" w:rsidRDefault="00421B21">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7C555E" w:rsidRDefault="00421B21">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7C555E" w:rsidRDefault="00421B21">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7C555E" w:rsidRDefault="00421B21">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555E" w:rsidRDefault="00421B21">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7C555E" w:rsidRDefault="00421B21">
            <w:pPr>
              <w:spacing w:line="360" w:lineRule="auto"/>
              <w:jc w:val="center"/>
            </w:pPr>
            <w:r>
              <w:rPr>
                <w:rFonts w:ascii="宋体" w:hAnsi="宋体" w:hint="eastAsia"/>
              </w:rPr>
              <w:t xml:space="preserve">②－④ </w:t>
            </w:r>
          </w:p>
        </w:tc>
      </w:tr>
      <w:tr w:rsidR="007C555E">
        <w:trPr>
          <w:divId w:val="30238839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-2.13%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0.52%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-0.95%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0.66% </w:t>
            </w:r>
          </w:p>
        </w:tc>
        <w:tc>
          <w:tcPr>
            <w:tcW w:w="728" w:type="pct"/>
            <w:tcBorders>
              <w:top w:val="single" w:sz="4" w:space="0" w:color="auto"/>
              <w:left w:val="single" w:sz="4" w:space="0" w:color="auto"/>
              <w:bottom w:val="single" w:sz="4" w:space="0" w:color="auto"/>
              <w:right w:val="single" w:sz="4" w:space="0" w:color="auto"/>
            </w:tcBorders>
            <w:vAlign w:val="center"/>
            <w:hideMark/>
          </w:tcPr>
          <w:p w:rsidR="007C555E" w:rsidRDefault="00421B21">
            <w:pPr>
              <w:spacing w:line="360" w:lineRule="auto"/>
              <w:jc w:val="right"/>
            </w:pPr>
            <w:r>
              <w:rPr>
                <w:rFonts w:ascii="宋体" w:hAnsi="宋体" w:hint="eastAsia"/>
              </w:rPr>
              <w:t xml:space="preserve">-1.18%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-0.14% </w:t>
            </w:r>
          </w:p>
        </w:tc>
      </w:tr>
      <w:tr w:rsidR="007C555E">
        <w:trPr>
          <w:divId w:val="30238839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-0.60%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0.51%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-0.36%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0.61% </w:t>
            </w:r>
          </w:p>
        </w:tc>
        <w:tc>
          <w:tcPr>
            <w:tcW w:w="728" w:type="pct"/>
            <w:tcBorders>
              <w:top w:val="single" w:sz="4" w:space="0" w:color="auto"/>
              <w:left w:val="single" w:sz="4" w:space="0" w:color="auto"/>
              <w:bottom w:val="single" w:sz="4" w:space="0" w:color="auto"/>
              <w:right w:val="single" w:sz="4" w:space="0" w:color="auto"/>
            </w:tcBorders>
            <w:vAlign w:val="center"/>
            <w:hideMark/>
          </w:tcPr>
          <w:p w:rsidR="007C555E" w:rsidRDefault="00421B21">
            <w:pPr>
              <w:spacing w:line="360" w:lineRule="auto"/>
              <w:jc w:val="right"/>
            </w:pPr>
            <w:r>
              <w:rPr>
                <w:rFonts w:ascii="宋体" w:hAnsi="宋体" w:hint="eastAsia"/>
              </w:rPr>
              <w:t xml:space="preserve">-0.24%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-0.10% </w:t>
            </w:r>
          </w:p>
        </w:tc>
      </w:tr>
      <w:tr w:rsidR="007C555E">
        <w:trPr>
          <w:divId w:val="30238839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2.02%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0.53%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6.35%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0.63% </w:t>
            </w:r>
          </w:p>
        </w:tc>
        <w:tc>
          <w:tcPr>
            <w:tcW w:w="728" w:type="pct"/>
            <w:tcBorders>
              <w:top w:val="single" w:sz="4" w:space="0" w:color="auto"/>
              <w:left w:val="single" w:sz="4" w:space="0" w:color="auto"/>
              <w:bottom w:val="single" w:sz="4" w:space="0" w:color="auto"/>
              <w:right w:val="single" w:sz="4" w:space="0" w:color="auto"/>
            </w:tcBorders>
            <w:vAlign w:val="center"/>
            <w:hideMark/>
          </w:tcPr>
          <w:p w:rsidR="007C555E" w:rsidRDefault="00421B21">
            <w:pPr>
              <w:spacing w:line="360" w:lineRule="auto"/>
              <w:jc w:val="right"/>
            </w:pPr>
            <w:r>
              <w:rPr>
                <w:rFonts w:ascii="宋体" w:hAnsi="宋体" w:hint="eastAsia"/>
              </w:rPr>
              <w:t xml:space="preserve">-4.33%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-0.10% </w:t>
            </w:r>
          </w:p>
        </w:tc>
      </w:tr>
      <w:tr w:rsidR="007C555E">
        <w:trPr>
          <w:divId w:val="30238839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12.06%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0.50%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18.71%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0.60% </w:t>
            </w:r>
          </w:p>
        </w:tc>
        <w:tc>
          <w:tcPr>
            <w:tcW w:w="728" w:type="pct"/>
            <w:tcBorders>
              <w:top w:val="single" w:sz="4" w:space="0" w:color="auto"/>
              <w:left w:val="single" w:sz="4" w:space="0" w:color="auto"/>
              <w:bottom w:val="single" w:sz="4" w:space="0" w:color="auto"/>
              <w:right w:val="single" w:sz="4" w:space="0" w:color="auto"/>
            </w:tcBorders>
            <w:vAlign w:val="center"/>
            <w:hideMark/>
          </w:tcPr>
          <w:p w:rsidR="007C555E" w:rsidRDefault="00421B21">
            <w:pPr>
              <w:spacing w:line="360" w:lineRule="auto"/>
              <w:jc w:val="right"/>
            </w:pPr>
            <w:r>
              <w:rPr>
                <w:rFonts w:ascii="宋体" w:hAnsi="宋体" w:hint="eastAsia"/>
              </w:rPr>
              <w:t xml:space="preserve">-6.65%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spacing w:line="360" w:lineRule="auto"/>
              <w:jc w:val="right"/>
            </w:pPr>
            <w:r>
              <w:rPr>
                <w:rFonts w:ascii="宋体" w:hAnsi="宋体" w:hint="eastAsia"/>
              </w:rPr>
              <w:t xml:space="preserve">-0.10% </w:t>
            </w:r>
          </w:p>
        </w:tc>
      </w:tr>
    </w:tbl>
    <w:p w:rsidR="007C555E" w:rsidRDefault="00421B21">
      <w:pPr>
        <w:pStyle w:val="XBRLTitle3"/>
        <w:spacing w:before="156" w:line="360" w:lineRule="auto"/>
        <w:ind w:left="624"/>
      </w:pPr>
      <w:bookmarkStart w:id="78" w:name="_Toc514088249"/>
      <w:bookmarkStart w:id="79" w:name="_Toc480465419"/>
      <w:bookmarkStart w:id="80" w:name="_Toc513542650"/>
      <w:proofErr w:type="spellStart"/>
      <w:r>
        <w:rPr>
          <w:rFonts w:hAnsi="宋体" w:hint="eastAsia"/>
        </w:rPr>
        <w:t>自基金合同生效以来基金累计净值增长率变动及其与同期业绩比较基准收益率变动的比较</w:t>
      </w:r>
      <w:bookmarkEnd w:id="78"/>
      <w:bookmarkEnd w:id="79"/>
      <w:bookmarkEnd w:id="80"/>
      <w:proofErr w:type="spellEnd"/>
      <w:r>
        <w:rPr>
          <w:rFonts w:hAnsi="宋体" w:hint="eastAsia"/>
        </w:rPr>
        <w:t xml:space="preserve"> </w:t>
      </w:r>
    </w:p>
    <w:p w:rsidR="007C555E" w:rsidRDefault="00421B21">
      <w:pPr>
        <w:spacing w:line="360" w:lineRule="auto"/>
        <w:jc w:val="left"/>
        <w:divId w:val="62223484"/>
      </w:pPr>
      <w:bookmarkStart w:id="81" w:name="m07_04_07_09_tab"/>
      <w:bookmarkStart w:id="82" w:name="m07_04_07_09"/>
      <w:bookmarkStart w:id="83" w:name="m01_01"/>
      <w:r>
        <w:rPr>
          <w:rFonts w:ascii="宋体" w:hAnsi="宋体"/>
          <w:noProof/>
        </w:rPr>
        <w:lastRenderedPageBreak/>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7C555E" w:rsidRDefault="00421B21">
      <w:pPr>
        <w:spacing w:line="360" w:lineRule="auto"/>
        <w:jc w:val="left"/>
        <w:divId w:val="1602059887"/>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7C555E" w:rsidRDefault="00421B21">
      <w:pPr>
        <w:spacing w:line="360" w:lineRule="auto"/>
      </w:pPr>
      <w:r>
        <w:rPr>
          <w:rFonts w:ascii="宋体" w:hAnsi="宋体" w:hint="eastAsia"/>
        </w:rPr>
        <w:t>注：</w:t>
      </w:r>
      <w:r>
        <w:rPr>
          <w:rFonts w:ascii="宋体" w:hAnsi="宋体" w:hint="eastAsia"/>
          <w:lang w:eastAsia="zh-Hans"/>
        </w:rPr>
        <w:t>本基金合同生效日为2016年12月19日，图示的时间段为合同生效日至本报告期末。</w:t>
      </w:r>
      <w:r>
        <w:rPr>
          <w:rFonts w:ascii="宋体" w:hAnsi="宋体" w:hint="eastAsia"/>
          <w:lang w:eastAsia="zh-Hans"/>
        </w:rPr>
        <w:br/>
        <w:t xml:space="preserve">　　本基金自2023年9月15日起增加C类份额，相关数据按实际存续期计算。</w:t>
      </w:r>
      <w:r>
        <w:rPr>
          <w:rFonts w:ascii="宋体" w:hAnsi="宋体" w:hint="eastAsia"/>
          <w:lang w:eastAsia="zh-Hans"/>
        </w:rPr>
        <w:br/>
        <w:t xml:space="preserve">　　本基金建仓期为本基金合同生效日起6个月，建仓期结束时资产配置比例符合本基金基金合同规定。</w:t>
      </w:r>
      <w:r>
        <w:rPr>
          <w:rFonts w:ascii="宋体" w:hAnsi="宋体" w:hint="eastAsia"/>
          <w:kern w:val="0"/>
          <w:lang w:eastAsia="zh-Hans"/>
        </w:rPr>
        <w:t xml:space="preserve"> </w:t>
      </w:r>
      <w:bookmarkEnd w:id="81"/>
      <w:bookmarkEnd w:id="82"/>
    </w:p>
    <w:p w:rsidR="007C555E" w:rsidRDefault="00421B21">
      <w:pPr>
        <w:pStyle w:val="XBRLTitle1"/>
        <w:spacing w:before="156"/>
        <w:ind w:left="425"/>
      </w:pPr>
      <w:bookmarkStart w:id="84" w:name="_Toc514088250"/>
      <w:bookmarkStart w:id="85" w:name="_Toc480465420"/>
      <w:bookmarkStart w:id="86" w:name="_Toc448480289"/>
      <w:bookmarkStart w:id="87" w:name="_Toc438654077"/>
      <w:bookmarkStart w:id="88" w:name="_Toc456107123"/>
      <w:bookmarkStart w:id="89" w:name="_Toc459213769"/>
      <w:bookmarkStart w:id="90" w:name="_Toc513542651"/>
      <w:bookmarkStart w:id="91" w:name="_Toc512696255"/>
      <w:bookmarkStart w:id="92" w:name="_Toc512612258"/>
      <w:bookmarkStart w:id="93" w:name="_Toc512612082"/>
      <w:bookmarkStart w:id="94" w:name="_Toc512611286"/>
      <w:proofErr w:type="spellStart"/>
      <w:r>
        <w:rPr>
          <w:rFonts w:hint="eastAsia"/>
        </w:rPr>
        <w:t>管理人报告</w:t>
      </w:r>
      <w:bookmarkEnd w:id="84"/>
      <w:bookmarkEnd w:id="85"/>
      <w:bookmarkEnd w:id="86"/>
      <w:bookmarkEnd w:id="87"/>
      <w:bookmarkEnd w:id="88"/>
      <w:bookmarkEnd w:id="89"/>
      <w:bookmarkEnd w:id="90"/>
      <w:bookmarkEnd w:id="91"/>
      <w:bookmarkEnd w:id="92"/>
      <w:bookmarkEnd w:id="93"/>
      <w:bookmarkEnd w:id="94"/>
      <w:proofErr w:type="spellEnd"/>
    </w:p>
    <w:p w:rsidR="007C555E" w:rsidRDefault="00421B21">
      <w:pPr>
        <w:pStyle w:val="XBRLTitle2"/>
        <w:spacing w:before="156" w:line="360" w:lineRule="auto"/>
        <w:ind w:left="454"/>
      </w:pPr>
      <w:bookmarkStart w:id="95" w:name="_Toc514088251"/>
      <w:bookmarkStart w:id="96" w:name="_Toc480465421"/>
      <w:bookmarkStart w:id="97" w:name="_Toc448480290"/>
      <w:bookmarkStart w:id="98" w:name="_Toc438654078"/>
      <w:bookmarkStart w:id="99" w:name="_Toc456107124"/>
      <w:bookmarkStart w:id="100" w:name="_Toc459213770"/>
      <w:bookmarkStart w:id="101" w:name="_Toc513542652"/>
      <w:bookmarkStart w:id="102" w:name="_Toc512696256"/>
      <w:bookmarkStart w:id="103" w:name="_Toc512612259"/>
      <w:bookmarkStart w:id="104" w:name="_Toc512612083"/>
      <w:bookmarkStart w:id="105" w:name="_Toc512611287"/>
      <w:proofErr w:type="spellStart"/>
      <w:r>
        <w:rPr>
          <w:rFonts w:eastAsia="宋体" w:hint="eastAsia"/>
        </w:rPr>
        <w:t>基金经理（或基金经理小组）简介</w:t>
      </w:r>
      <w:bookmarkEnd w:id="95"/>
      <w:bookmarkEnd w:id="96"/>
      <w:bookmarkEnd w:id="97"/>
      <w:bookmarkEnd w:id="98"/>
      <w:bookmarkEnd w:id="99"/>
      <w:bookmarkEnd w:id="100"/>
      <w:bookmarkEnd w:id="101"/>
      <w:bookmarkEnd w:id="102"/>
      <w:bookmarkEnd w:id="103"/>
      <w:bookmarkEnd w:id="104"/>
      <w:bookmarkEnd w:id="105"/>
      <w:proofErr w:type="spellEnd"/>
      <w:r>
        <w:rPr>
          <w:rFonts w:eastAsia="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7C555E">
        <w:trPr>
          <w:divId w:val="2103915733"/>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555E" w:rsidRDefault="00421B21">
            <w:pPr>
              <w:snapToGrid w:val="0"/>
              <w:jc w:val="center"/>
            </w:pPr>
            <w:bookmarkStart w:id="106" w:name="m04_02"/>
            <w:bookmarkEnd w:id="106"/>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555E" w:rsidRDefault="00421B21">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555E" w:rsidRDefault="00421B21">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555E" w:rsidRDefault="00421B21">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555E" w:rsidRDefault="00421B21">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7C555E">
        <w:trPr>
          <w:divId w:val="2103915733"/>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55E" w:rsidRDefault="007C555E">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555E" w:rsidRDefault="007C555E">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555E" w:rsidRDefault="00421B21">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555E" w:rsidRDefault="00421B21">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555E" w:rsidRDefault="007C555E">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555E" w:rsidRDefault="007C555E">
            <w:pPr>
              <w:widowControl/>
              <w:jc w:val="left"/>
            </w:pPr>
          </w:p>
        </w:tc>
      </w:tr>
      <w:tr w:rsidR="007C555E">
        <w:trPr>
          <w:divId w:val="2103915733"/>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jc w:val="center"/>
            </w:pPr>
            <w:r>
              <w:rPr>
                <w:rFonts w:ascii="宋体" w:hAnsi="宋体" w:hint="eastAsia"/>
                <w:szCs w:val="24"/>
                <w:lang w:eastAsia="zh-Hans"/>
              </w:rPr>
              <w:lastRenderedPageBreak/>
              <w:t>张军</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jc w:val="center"/>
            </w:pPr>
            <w:r>
              <w:rPr>
                <w:rFonts w:ascii="宋体" w:hAnsi="宋体" w:hint="eastAsia"/>
                <w:szCs w:val="24"/>
                <w:lang w:eastAsia="zh-Hans"/>
              </w:rPr>
              <w:t>2016年12月19日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jc w:val="center"/>
            </w:pPr>
            <w:r>
              <w:rPr>
                <w:rFonts w:ascii="宋体" w:hAnsi="宋体" w:hint="eastAsia"/>
                <w:szCs w:val="24"/>
                <w:lang w:eastAsia="zh-Hans"/>
              </w:rPr>
              <w:t>21年（金融领域从业经验32年）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jc w:val="left"/>
            </w:pPr>
            <w:r>
              <w:rPr>
                <w:rFonts w:ascii="宋体" w:hAnsi="宋体" w:hint="eastAsia"/>
                <w:szCs w:val="24"/>
                <w:lang w:eastAsia="zh-Hans"/>
              </w:rPr>
              <w:t>张军先生曾任上海国际信托有限公司国际业务部经理、交易部经理。2004年6月起加入摩根基金管理(中国)有限公司(原上投摩根基金管理有限公司)，先后担任交易部总监、基金经理、投资绩效评估总监、国际投资部总监、组合基金投资部总监，现任高级基金经理。</w:t>
            </w:r>
          </w:p>
        </w:tc>
      </w:tr>
    </w:tbl>
    <w:p w:rsidR="007C555E" w:rsidRDefault="00421B21">
      <w:pPr>
        <w:wordWrap w:val="0"/>
        <w:spacing w:line="360" w:lineRule="auto"/>
        <w:jc w:val="left"/>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7C555E" w:rsidRDefault="00421B21">
      <w:pPr>
        <w:pStyle w:val="XBRLTitle3"/>
        <w:spacing w:before="156" w:line="360" w:lineRule="auto"/>
        <w:ind w:left="624"/>
        <w:divId w:val="129979190"/>
      </w:pPr>
      <w:bookmarkStart w:id="107" w:name="_Toc512519488"/>
      <w:bookmarkStart w:id="108" w:name="_Toc490050009"/>
      <w:bookmarkStart w:id="109" w:name="_Toc438646459"/>
      <w:bookmarkStart w:id="110" w:name="_Toc481075055"/>
      <w:bookmarkStart w:id="111" w:name="_Toc5134656621"/>
      <w:proofErr w:type="spellStart"/>
      <w:r>
        <w:rPr>
          <w:rFonts w:hAnsi="宋体" w:hint="eastAsia"/>
        </w:rPr>
        <w:t>期末兼任私募资产管理计划投资经理的基金经理同时管理的产品情况</w:t>
      </w:r>
      <w:bookmarkEnd w:id="107"/>
      <w:bookmarkEnd w:id="108"/>
      <w:bookmarkEnd w:id="109"/>
      <w:bookmarkEnd w:id="110"/>
      <w:bookmarkEnd w:id="111"/>
      <w:proofErr w:type="spellEnd"/>
      <w:r>
        <w:rPr>
          <w:rFonts w:hAnsi="宋体"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7C555E">
        <w:trPr>
          <w:divId w:val="1607927878"/>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7C555E" w:rsidRDefault="00421B21">
            <w:pPr>
              <w:snapToGrid w:val="0"/>
              <w:jc w:val="center"/>
            </w:pPr>
            <w:bookmarkStart w:id="112" w:name="m04_01_02_tab"/>
            <w:r>
              <w:rPr>
                <w:rFonts w:ascii="宋体" w:hAnsi="宋体" w:hint="eastAsia"/>
                <w:szCs w:val="24"/>
              </w:rPr>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7C555E" w:rsidRDefault="00421B21">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7C555E" w:rsidRDefault="00421B21">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7C555E" w:rsidRDefault="00421B21">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7C555E" w:rsidRDefault="00421B21">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7C555E">
        <w:trPr>
          <w:divId w:val="1607927878"/>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555E" w:rsidRDefault="00421B21">
            <w:pPr>
              <w:jc w:val="center"/>
            </w:pPr>
            <w:r>
              <w:rPr>
                <w:rFonts w:ascii="宋体" w:hAnsi="宋体" w:hint="eastAsia"/>
                <w:szCs w:val="24"/>
              </w:rPr>
              <w:t>张军</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555E" w:rsidRDefault="00421B21">
            <w:r>
              <w:rPr>
                <w:rFonts w:ascii="宋体" w:hAnsi="宋体" w:hint="eastAsia"/>
                <w:szCs w:val="24"/>
              </w:rPr>
              <w:t>公</w:t>
            </w:r>
            <w:proofErr w:type="gramStart"/>
            <w:r>
              <w:rPr>
                <w:rFonts w:ascii="宋体" w:hAnsi="宋体" w:hint="eastAsia"/>
                <w:szCs w:val="24"/>
              </w:rPr>
              <w:t>募基金</w:t>
            </w:r>
            <w:proofErr w:type="gramEnd"/>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555E" w:rsidRDefault="00421B21">
            <w:pPr>
              <w:jc w:val="right"/>
            </w:pPr>
            <w:r>
              <w:rPr>
                <w:rFonts w:ascii="宋体" w:hAnsi="宋体" w:hint="eastAsia"/>
                <w:szCs w:val="24"/>
              </w:rPr>
              <w:t>9</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555E" w:rsidRDefault="00421B21">
            <w:pPr>
              <w:jc w:val="right"/>
            </w:pPr>
            <w:r>
              <w:rPr>
                <w:rFonts w:ascii="宋体" w:hAnsi="宋体" w:hint="eastAsia"/>
                <w:szCs w:val="24"/>
              </w:rPr>
              <w:t>9,853,561,617.98</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555E" w:rsidRDefault="00421B21">
            <w:pPr>
              <w:jc w:val="center"/>
            </w:pPr>
            <w:r>
              <w:rPr>
                <w:rFonts w:ascii="宋体" w:hAnsi="宋体" w:hint="eastAsia"/>
                <w:szCs w:val="24"/>
              </w:rPr>
              <w:t>2008-03-08</w:t>
            </w:r>
          </w:p>
        </w:tc>
      </w:tr>
      <w:tr w:rsidR="007C555E">
        <w:trPr>
          <w:divId w:val="1607927878"/>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7C555E" w:rsidRDefault="007C555E">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555E" w:rsidRDefault="00421B21">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555E" w:rsidRDefault="00421B21">
            <w:pPr>
              <w:jc w:val="right"/>
            </w:pPr>
            <w:r>
              <w:rPr>
                <w:rFonts w:ascii="宋体" w:hAnsi="宋体" w:hint="eastAsia"/>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555E" w:rsidRDefault="00421B21">
            <w:pPr>
              <w:jc w:val="right"/>
            </w:pPr>
            <w:r>
              <w:rPr>
                <w:rFonts w:ascii="宋体" w:hAnsi="宋体" w:hint="eastAsia"/>
                <w:szCs w:val="24"/>
              </w:rPr>
              <w:t>28,844,071.62</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555E" w:rsidRDefault="00421B21">
            <w:pPr>
              <w:jc w:val="center"/>
            </w:pPr>
            <w:r>
              <w:rPr>
                <w:rFonts w:ascii="宋体" w:hAnsi="宋体" w:hint="eastAsia"/>
                <w:szCs w:val="24"/>
              </w:rPr>
              <w:t>2021-07-09</w:t>
            </w:r>
          </w:p>
        </w:tc>
      </w:tr>
      <w:tr w:rsidR="007C555E">
        <w:trPr>
          <w:divId w:val="1607927878"/>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7C555E" w:rsidRDefault="007C555E">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555E" w:rsidRDefault="00421B21">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555E" w:rsidRDefault="00421B21">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555E" w:rsidRDefault="00421B21">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555E" w:rsidRDefault="00421B21">
            <w:pPr>
              <w:jc w:val="center"/>
            </w:pPr>
            <w:r>
              <w:rPr>
                <w:rFonts w:ascii="宋体" w:hAnsi="宋体" w:hint="eastAsia"/>
                <w:szCs w:val="24"/>
              </w:rPr>
              <w:t>-</w:t>
            </w:r>
          </w:p>
        </w:tc>
      </w:tr>
      <w:tr w:rsidR="007C555E">
        <w:trPr>
          <w:divId w:val="1607927878"/>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7C555E" w:rsidRDefault="007C555E">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555E" w:rsidRDefault="00421B21">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555E" w:rsidRDefault="00421B21">
            <w:pPr>
              <w:jc w:val="right"/>
            </w:pPr>
            <w:r>
              <w:rPr>
                <w:rFonts w:ascii="宋体" w:hAnsi="宋体" w:hint="eastAsia"/>
                <w:szCs w:val="24"/>
              </w:rPr>
              <w:t>10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555E" w:rsidRDefault="00421B21">
            <w:pPr>
              <w:jc w:val="right"/>
            </w:pPr>
            <w:r>
              <w:rPr>
                <w:rFonts w:ascii="宋体" w:hAnsi="宋体" w:hint="eastAsia"/>
                <w:szCs w:val="24"/>
              </w:rPr>
              <w:t>9,882,405,689.60</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C555E" w:rsidRDefault="00421B21">
            <w:pPr>
              <w:jc w:val="center"/>
            </w:pPr>
            <w:r>
              <w:rPr>
                <w:rFonts w:ascii="宋体" w:hAnsi="宋体" w:hint="eastAsia"/>
                <w:szCs w:val="24"/>
              </w:rPr>
              <w:t xml:space="preserve">- </w:t>
            </w:r>
          </w:p>
        </w:tc>
      </w:tr>
    </w:tbl>
    <w:p w:rsidR="007C555E" w:rsidRDefault="00421B21">
      <w:pPr>
        <w:pStyle w:val="XBRLTitle2"/>
        <w:spacing w:before="156" w:line="360" w:lineRule="auto"/>
        <w:ind w:left="454"/>
      </w:pPr>
      <w:bookmarkStart w:id="113" w:name="_Toc514088252"/>
      <w:bookmarkStart w:id="114" w:name="_Toc480465422"/>
      <w:bookmarkStart w:id="115" w:name="_Toc448480291"/>
      <w:bookmarkStart w:id="116" w:name="_Toc438654079"/>
      <w:bookmarkStart w:id="117" w:name="_Toc456107125"/>
      <w:bookmarkStart w:id="118" w:name="_Toc459213771"/>
      <w:bookmarkStart w:id="119" w:name="_Toc513542653"/>
      <w:bookmarkStart w:id="120" w:name="_Toc512696257"/>
      <w:bookmarkStart w:id="121" w:name="_Toc512612260"/>
      <w:bookmarkStart w:id="122" w:name="_Toc512612084"/>
      <w:bookmarkStart w:id="123" w:name="_Toc512611288"/>
      <w:bookmarkStart w:id="124" w:name="m402"/>
      <w:bookmarkEnd w:id="112"/>
      <w:proofErr w:type="spellStart"/>
      <w:r>
        <w:rPr>
          <w:rFonts w:eastAsia="宋体" w:hint="eastAsia"/>
        </w:rPr>
        <w:t>境外投资顾问为本基金提供投资建议的主要成员简介</w:t>
      </w:r>
      <w:bookmarkEnd w:id="113"/>
      <w:bookmarkEnd w:id="114"/>
      <w:bookmarkEnd w:id="115"/>
      <w:bookmarkEnd w:id="116"/>
      <w:bookmarkEnd w:id="117"/>
      <w:bookmarkEnd w:id="118"/>
      <w:proofErr w:type="spellEnd"/>
      <w:r>
        <w:rPr>
          <w:rFonts w:eastAsia="宋体" w:cs="宋体" w:hint="eastAsia"/>
          <w:color w:val="000000"/>
          <w:kern w:val="0"/>
        </w:rPr>
        <w:t xml:space="preserve"> </w:t>
      </w:r>
      <w:bookmarkEnd w:id="119"/>
      <w:bookmarkEnd w:id="120"/>
      <w:bookmarkEnd w:id="121"/>
      <w:bookmarkEnd w:id="122"/>
      <w:bookmarkEnd w:id="123"/>
    </w:p>
    <w:tbl>
      <w:tblPr>
        <w:tblStyle w:val="af8"/>
        <w:tblW w:w="4900" w:type="pct"/>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720"/>
        <w:gridCol w:w="2746"/>
        <w:gridCol w:w="1879"/>
        <w:gridCol w:w="2313"/>
      </w:tblGrid>
      <w:tr w:rsidR="007C555E">
        <w:trPr>
          <w:divId w:val="1447656979"/>
          <w:trHeight w:val="557"/>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bookmarkEnd w:id="124"/>
          <w:p w:rsidR="007C555E" w:rsidRDefault="00421B21">
            <w:pPr>
              <w:jc w:val="center"/>
            </w:pPr>
            <w:r>
              <w:rPr>
                <w:rFonts w:asciiTheme="majorEastAsia" w:eastAsiaTheme="majorEastAsia" w:hAnsiTheme="majorEastAsia" w:hint="eastAsia"/>
              </w:rPr>
              <w:t xml:space="preserve">姓名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rsidR="007C555E" w:rsidRDefault="00421B21">
            <w:pPr>
              <w:jc w:val="center"/>
            </w:pPr>
            <w:r>
              <w:rPr>
                <w:rFonts w:asciiTheme="majorEastAsia" w:eastAsiaTheme="majorEastAsia" w:hAnsiTheme="majorEastAsia" w:hint="eastAsia"/>
              </w:rPr>
              <w:t xml:space="preserve">在境外投资顾问所任职务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rsidR="007C555E" w:rsidRDefault="00421B21">
            <w:pPr>
              <w:jc w:val="center"/>
            </w:pPr>
            <w:r>
              <w:rPr>
                <w:rFonts w:asciiTheme="majorEastAsia" w:eastAsiaTheme="majorEastAsia" w:hAnsiTheme="majorEastAsia" w:hint="eastAsia"/>
              </w:rPr>
              <w:t xml:space="preserve">证券从业年限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rsidR="007C555E" w:rsidRDefault="00421B21">
            <w:pPr>
              <w:jc w:val="center"/>
            </w:pPr>
            <w:r>
              <w:rPr>
                <w:rFonts w:asciiTheme="majorEastAsia" w:eastAsiaTheme="majorEastAsia" w:hAnsiTheme="majorEastAsia" w:hint="eastAsia"/>
              </w:rPr>
              <w:t xml:space="preserve">说明 </w:t>
            </w:r>
          </w:p>
        </w:tc>
      </w:tr>
      <w:tr w:rsidR="007C555E">
        <w:trPr>
          <w:divId w:val="1447656979"/>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555E" w:rsidRDefault="00421B21">
            <w:r>
              <w:rPr>
                <w:rFonts w:asciiTheme="majorEastAsia" w:eastAsiaTheme="majorEastAsia" w:hAnsiTheme="majorEastAsia" w:hint="eastAsia"/>
              </w:rPr>
              <w:t>Leon </w:t>
            </w:r>
            <w:proofErr w:type="spellStart"/>
            <w:r>
              <w:rPr>
                <w:rFonts w:asciiTheme="majorEastAsia" w:eastAsiaTheme="majorEastAsia" w:hAnsiTheme="majorEastAsia" w:hint="eastAsia"/>
              </w:rPr>
              <w:t>Goldfeld</w:t>
            </w:r>
            <w:proofErr w:type="spellEnd"/>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555E" w:rsidRDefault="00421B21">
            <w:r>
              <w:rPr>
                <w:rFonts w:asciiTheme="majorEastAsia" w:eastAsiaTheme="majorEastAsia" w:hAnsiTheme="majorEastAsia" w:hint="eastAsia"/>
              </w:rPr>
              <w:t>摩根资产管理(亚太)董事总经理，</w:t>
            </w:r>
            <w:proofErr w:type="gramStart"/>
            <w:r>
              <w:rPr>
                <w:rFonts w:asciiTheme="majorEastAsia" w:eastAsiaTheme="majorEastAsia" w:hAnsiTheme="majorEastAsia" w:hint="eastAsia"/>
              </w:rPr>
              <w:t>多资产</w:t>
            </w:r>
            <w:proofErr w:type="gramEnd"/>
            <w:r>
              <w:rPr>
                <w:rFonts w:asciiTheme="majorEastAsia" w:eastAsiaTheme="majorEastAsia" w:hAnsiTheme="majorEastAsia" w:hint="eastAsia"/>
              </w:rPr>
              <w:t>解决方案部资深投资组合经理</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555E" w:rsidRDefault="00421B21">
            <w:r>
              <w:rPr>
                <w:rFonts w:asciiTheme="majorEastAsia" w:eastAsiaTheme="majorEastAsia" w:hAnsiTheme="majorEastAsia" w:hint="eastAsia"/>
              </w:rPr>
              <w:t>37年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555E" w:rsidRDefault="00421B21">
            <w:r>
              <w:rPr>
                <w:rFonts w:asciiTheme="majorEastAsia" w:eastAsiaTheme="majorEastAsia" w:hAnsiTheme="majorEastAsia" w:hint="eastAsia"/>
              </w:rPr>
              <w:t>Leon </w:t>
            </w:r>
            <w:proofErr w:type="spellStart"/>
            <w:r>
              <w:rPr>
                <w:rFonts w:asciiTheme="majorEastAsia" w:eastAsiaTheme="majorEastAsia" w:hAnsiTheme="majorEastAsia" w:hint="eastAsia"/>
              </w:rPr>
              <w:t>Goldfeld</w:t>
            </w:r>
            <w:proofErr w:type="spellEnd"/>
            <w:r>
              <w:rPr>
                <w:rFonts w:asciiTheme="majorEastAsia" w:eastAsiaTheme="majorEastAsia" w:hAnsiTheme="majorEastAsia" w:hint="eastAsia"/>
              </w:rPr>
              <w:t xml:space="preserve">　(高礼行)，董事总经理，摩根资产管理</w:t>
            </w:r>
            <w:proofErr w:type="gramStart"/>
            <w:r>
              <w:rPr>
                <w:rFonts w:asciiTheme="majorEastAsia" w:eastAsiaTheme="majorEastAsia" w:hAnsiTheme="majorEastAsia" w:hint="eastAsia"/>
              </w:rPr>
              <w:t>多资产</w:t>
            </w:r>
            <w:proofErr w:type="gramEnd"/>
            <w:r>
              <w:rPr>
                <w:rFonts w:asciiTheme="majorEastAsia" w:eastAsiaTheme="majorEastAsia" w:hAnsiTheme="majorEastAsia" w:hint="eastAsia"/>
              </w:rPr>
              <w:t>解决方案部资深投资组合经理，常驻香港。加入摩根资产管理前，Leon曾任东方汇理(香港)副首席投资官及亚洲</w:t>
            </w:r>
            <w:proofErr w:type="gramStart"/>
            <w:r>
              <w:rPr>
                <w:rFonts w:asciiTheme="majorEastAsia" w:eastAsiaTheme="majorEastAsia" w:hAnsiTheme="majorEastAsia" w:hint="eastAsia"/>
              </w:rPr>
              <w:t>多资产</w:t>
            </w:r>
            <w:proofErr w:type="gramEnd"/>
            <w:r>
              <w:rPr>
                <w:rFonts w:asciiTheme="majorEastAsia" w:eastAsiaTheme="majorEastAsia" w:hAnsiTheme="majorEastAsia" w:hint="eastAsia"/>
              </w:rPr>
              <w:t>投资部总监，高盛私人财富管理公司投资策略部董事总经理，汇</w:t>
            </w:r>
            <w:proofErr w:type="gramStart"/>
            <w:r>
              <w:rPr>
                <w:rFonts w:asciiTheme="majorEastAsia" w:eastAsiaTheme="majorEastAsia" w:hAnsiTheme="majorEastAsia" w:hint="eastAsia"/>
              </w:rPr>
              <w:t>丰全球</w:t>
            </w:r>
            <w:proofErr w:type="gramEnd"/>
            <w:r>
              <w:rPr>
                <w:rFonts w:asciiTheme="majorEastAsia" w:eastAsiaTheme="majorEastAsia" w:hAnsiTheme="majorEastAsia" w:hint="eastAsia"/>
              </w:rPr>
              <w:t>资产管理(香港)首席投资官，以及安盛投资管理香港地区首席投资官。</w:t>
            </w:r>
            <w:r>
              <w:rPr>
                <w:rFonts w:asciiTheme="majorEastAsia" w:eastAsiaTheme="majorEastAsia" w:hAnsiTheme="majorEastAsia" w:hint="eastAsia"/>
              </w:rPr>
              <w:br/>
              <w:t>Leon拥有墨尔本莫纳什大学计算机科学、会计与经济学专业的学</w:t>
            </w:r>
            <w:r>
              <w:rPr>
                <w:rFonts w:asciiTheme="majorEastAsia" w:eastAsiaTheme="majorEastAsia" w:hAnsiTheme="majorEastAsia" w:hint="eastAsia"/>
              </w:rPr>
              <w:lastRenderedPageBreak/>
              <w:t>士学位，并为一名特许金融分析师。</w:t>
            </w:r>
          </w:p>
        </w:tc>
      </w:tr>
    </w:tbl>
    <w:p w:rsidR="007C555E" w:rsidRDefault="00421B21">
      <w:pPr>
        <w:pStyle w:val="XBRLTitle2"/>
        <w:spacing w:before="156" w:line="360" w:lineRule="auto"/>
        <w:ind w:left="454"/>
      </w:pPr>
      <w:bookmarkStart w:id="125" w:name="_Toc514088253"/>
      <w:bookmarkStart w:id="126" w:name="_Toc480465423"/>
      <w:bookmarkStart w:id="127" w:name="_Toc448480292"/>
      <w:bookmarkStart w:id="128" w:name="_Toc438654080"/>
      <w:bookmarkStart w:id="129" w:name="_Toc456107126"/>
      <w:bookmarkStart w:id="130" w:name="_Toc459213772"/>
      <w:bookmarkStart w:id="131" w:name="_Toc513542654"/>
      <w:bookmarkStart w:id="132" w:name="_Toc512696258"/>
      <w:bookmarkStart w:id="133" w:name="_Toc512612261"/>
      <w:bookmarkStart w:id="134" w:name="_Toc512612085"/>
      <w:bookmarkStart w:id="135" w:name="_Toc512611289"/>
      <w:bookmarkStart w:id="136" w:name="m403"/>
      <w:proofErr w:type="spellStart"/>
      <w:r>
        <w:rPr>
          <w:rFonts w:eastAsia="宋体" w:hint="eastAsia"/>
        </w:rPr>
        <w:lastRenderedPageBreak/>
        <w:t>报告期内本基金运作遵规守信情况说明</w:t>
      </w:r>
      <w:bookmarkEnd w:id="125"/>
      <w:bookmarkEnd w:id="126"/>
      <w:bookmarkEnd w:id="127"/>
      <w:bookmarkEnd w:id="128"/>
      <w:bookmarkEnd w:id="129"/>
      <w:bookmarkEnd w:id="130"/>
      <w:bookmarkEnd w:id="131"/>
      <w:bookmarkEnd w:id="132"/>
      <w:bookmarkEnd w:id="133"/>
      <w:bookmarkEnd w:id="134"/>
      <w:bookmarkEnd w:id="135"/>
      <w:proofErr w:type="spellEnd"/>
      <w:r>
        <w:rPr>
          <w:rFonts w:eastAsia="宋体" w:hint="eastAsia"/>
        </w:rPr>
        <w:t xml:space="preserve"> </w:t>
      </w:r>
    </w:p>
    <w:p w:rsidR="007C555E" w:rsidRDefault="00421B21">
      <w:pPr>
        <w:spacing w:line="360" w:lineRule="auto"/>
        <w:ind w:firstLineChars="200" w:firstLine="420"/>
        <w:jc w:val="left"/>
      </w:pPr>
      <w:r>
        <w:rPr>
          <w:rFonts w:ascii="宋体" w:hAnsi="宋体" w:cs="宋体" w:hint="eastAsia"/>
          <w:color w:val="000000"/>
          <w:kern w:val="0"/>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合同的规定。</w:t>
      </w:r>
    </w:p>
    <w:p w:rsidR="007C555E" w:rsidRDefault="00421B21">
      <w:pPr>
        <w:pStyle w:val="XBRLTitle2"/>
        <w:spacing w:before="156" w:line="360" w:lineRule="auto"/>
        <w:ind w:left="454"/>
      </w:pPr>
      <w:bookmarkStart w:id="137" w:name="_Toc514088254"/>
      <w:bookmarkStart w:id="138" w:name="_Toc480465424"/>
      <w:bookmarkStart w:id="139" w:name="_Toc448480293"/>
      <w:bookmarkStart w:id="140" w:name="_Toc438654081"/>
      <w:bookmarkStart w:id="141" w:name="_Toc456107127"/>
      <w:bookmarkStart w:id="142" w:name="_Toc459213773"/>
      <w:bookmarkStart w:id="143" w:name="_Toc513542655"/>
      <w:bookmarkStart w:id="144" w:name="_Toc512696259"/>
      <w:bookmarkStart w:id="145" w:name="_Toc512612262"/>
      <w:bookmarkStart w:id="146" w:name="_Toc512612086"/>
      <w:bookmarkStart w:id="147" w:name="_Toc512611290"/>
      <w:bookmarkEnd w:id="136"/>
      <w:proofErr w:type="spellStart"/>
      <w:r>
        <w:rPr>
          <w:rFonts w:eastAsia="宋体" w:hint="eastAsia"/>
        </w:rPr>
        <w:t>公平交易专项说明</w:t>
      </w:r>
      <w:bookmarkEnd w:id="137"/>
      <w:bookmarkEnd w:id="138"/>
      <w:bookmarkEnd w:id="139"/>
      <w:bookmarkEnd w:id="140"/>
      <w:bookmarkEnd w:id="141"/>
      <w:bookmarkEnd w:id="142"/>
      <w:bookmarkEnd w:id="143"/>
      <w:bookmarkEnd w:id="144"/>
      <w:bookmarkEnd w:id="145"/>
      <w:bookmarkEnd w:id="146"/>
      <w:bookmarkEnd w:id="147"/>
      <w:proofErr w:type="spellEnd"/>
      <w:r>
        <w:rPr>
          <w:rFonts w:eastAsia="宋体" w:hint="eastAsia"/>
        </w:rPr>
        <w:t xml:space="preserve"> </w:t>
      </w:r>
    </w:p>
    <w:p w:rsidR="007C555E" w:rsidRDefault="00421B21">
      <w:pPr>
        <w:pStyle w:val="XBRLTitle3"/>
        <w:spacing w:before="156" w:line="360" w:lineRule="auto"/>
        <w:ind w:left="624"/>
      </w:pPr>
      <w:bookmarkStart w:id="148" w:name="_Toc514088255"/>
      <w:bookmarkStart w:id="149" w:name="_Toc480465425"/>
      <w:bookmarkStart w:id="150" w:name="_Toc513542656"/>
      <w:bookmarkStart w:id="151" w:name="m404_01_0570"/>
      <w:proofErr w:type="spellStart"/>
      <w:r>
        <w:rPr>
          <w:rFonts w:hAnsi="宋体" w:hint="eastAsia"/>
        </w:rPr>
        <w:t>公平交易制度的执行情况</w:t>
      </w:r>
      <w:bookmarkEnd w:id="148"/>
      <w:proofErr w:type="spellEnd"/>
      <w:r>
        <w:rPr>
          <w:rFonts w:hAnsi="宋体" w:hint="eastAsia"/>
        </w:rPr>
        <w:t xml:space="preserve"> </w:t>
      </w:r>
    </w:p>
    <w:p w:rsidR="007C555E" w:rsidRDefault="00421B21">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7C555E" w:rsidRDefault="00421B21">
      <w:pPr>
        <w:pStyle w:val="XBRLTitle3"/>
        <w:spacing w:before="156" w:line="360" w:lineRule="auto"/>
        <w:ind w:left="624"/>
      </w:pPr>
      <w:bookmarkStart w:id="152" w:name="_Toc514088256"/>
      <w:bookmarkStart w:id="153" w:name="_Toc480465426"/>
      <w:bookmarkStart w:id="154" w:name="_Toc513542657"/>
      <w:bookmarkStart w:id="155" w:name="m404_01_0578"/>
      <w:proofErr w:type="spellStart"/>
      <w:r>
        <w:rPr>
          <w:rFonts w:hAnsi="宋体" w:hint="eastAsia"/>
        </w:rPr>
        <w:t>异常交易行为的专项说明</w:t>
      </w:r>
      <w:bookmarkEnd w:id="152"/>
      <w:proofErr w:type="spellEnd"/>
      <w:r>
        <w:rPr>
          <w:rFonts w:hAnsi="宋体" w:hint="eastAsia"/>
        </w:rPr>
        <w:t xml:space="preserve"> </w:t>
      </w:r>
    </w:p>
    <w:p w:rsidR="007C555E" w:rsidRDefault="00421B21">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7C555E" w:rsidRDefault="00421B21">
      <w:pPr>
        <w:pStyle w:val="XBRLTitle2"/>
        <w:spacing w:before="156" w:line="360" w:lineRule="auto"/>
        <w:ind w:left="454"/>
      </w:pPr>
      <w:bookmarkStart w:id="156" w:name="_Toc514088257"/>
      <w:bookmarkStart w:id="157" w:name="_Toc480465427"/>
      <w:bookmarkStart w:id="158" w:name="_Toc448480294"/>
      <w:bookmarkStart w:id="159" w:name="_Toc438654082"/>
      <w:bookmarkStart w:id="160" w:name="_Toc456107128"/>
      <w:bookmarkStart w:id="161" w:name="_Toc459213774"/>
      <w:bookmarkStart w:id="162" w:name="_Toc513542658"/>
      <w:bookmarkStart w:id="163" w:name="_Toc512696260"/>
      <w:bookmarkStart w:id="164" w:name="_Toc512612263"/>
      <w:bookmarkStart w:id="165" w:name="_Toc512612087"/>
      <w:bookmarkStart w:id="166" w:name="_Toc512611291"/>
      <w:proofErr w:type="spellStart"/>
      <w:r>
        <w:rPr>
          <w:rFonts w:eastAsia="宋体" w:hint="eastAsia"/>
        </w:rPr>
        <w:t>报告期内基金的投资策略和业绩表现说明</w:t>
      </w:r>
      <w:bookmarkEnd w:id="156"/>
      <w:bookmarkEnd w:id="157"/>
      <w:bookmarkEnd w:id="158"/>
      <w:bookmarkEnd w:id="159"/>
      <w:bookmarkEnd w:id="160"/>
      <w:bookmarkEnd w:id="161"/>
      <w:bookmarkEnd w:id="162"/>
      <w:bookmarkEnd w:id="163"/>
      <w:bookmarkEnd w:id="164"/>
      <w:bookmarkEnd w:id="165"/>
      <w:bookmarkEnd w:id="166"/>
      <w:proofErr w:type="spellEnd"/>
      <w:r>
        <w:rPr>
          <w:rFonts w:eastAsia="宋体" w:hint="eastAsia"/>
        </w:rPr>
        <w:t xml:space="preserve"> </w:t>
      </w:r>
    </w:p>
    <w:p w:rsidR="007C555E" w:rsidRDefault="00421B21">
      <w:pPr>
        <w:pStyle w:val="XBRLTitle3"/>
        <w:spacing w:before="156" w:line="360" w:lineRule="auto"/>
        <w:ind w:left="624"/>
      </w:pPr>
      <w:bookmarkStart w:id="167" w:name="_Toc51408825711"/>
      <w:proofErr w:type="spellStart"/>
      <w:r>
        <w:rPr>
          <w:rFonts w:hAnsi="宋体" w:hint="eastAsia"/>
        </w:rPr>
        <w:t>报告期内基金投资策略和运作分析</w:t>
      </w:r>
      <w:bookmarkEnd w:id="167"/>
      <w:bookmarkEnd w:id="149"/>
      <w:bookmarkEnd w:id="150"/>
      <w:proofErr w:type="spellEnd"/>
      <w:r>
        <w:rPr>
          <w:rFonts w:hAnsi="宋体" w:hint="eastAsia"/>
        </w:rPr>
        <w:t xml:space="preserve"> </w:t>
      </w:r>
    </w:p>
    <w:p w:rsidR="007C555E" w:rsidRDefault="00421B21">
      <w:pPr>
        <w:spacing w:line="360" w:lineRule="auto"/>
        <w:ind w:firstLineChars="200" w:firstLine="420"/>
        <w:divId w:val="1058240933"/>
      </w:pPr>
      <w:r>
        <w:rPr>
          <w:rFonts w:ascii="宋体" w:hAnsi="宋体" w:hint="eastAsia"/>
          <w:color w:val="000000"/>
          <w:kern w:val="0"/>
          <w:szCs w:val="21"/>
          <w:lang w:eastAsia="zh-Hans"/>
        </w:rPr>
        <w:t>报告期内，全球资本市场在政策变局与经济分化中震荡。美国新政府高举“美国优先”大旗，2月起对墨西哥、加拿大等国加征关税，3月进一步扩大至钢铁、铝和汽车行业，引发市场对全球</w:t>
      </w:r>
      <w:r>
        <w:rPr>
          <w:rFonts w:ascii="宋体" w:hAnsi="宋体" w:hint="eastAsia"/>
          <w:color w:val="000000"/>
          <w:kern w:val="0"/>
          <w:szCs w:val="21"/>
          <w:lang w:eastAsia="zh-Hans"/>
        </w:rPr>
        <w:lastRenderedPageBreak/>
        <w:t>供应链的担忧。政策不确定性导致美国小企业投资意愿下滑，美联储虽按兵不动却也为降息预留空间，10年期美债收益率回落至4.2%左右。与此同时，欧洲开启超预期财政刺激，欧盟8000亿欧元国防计划与德国5000亿欧元基建方案双管齐下，推动德国DAX指数创20年来最强季度表现。亚洲市场则呈现冷暖分化，中国受益AI技术突破和政策宽松预期领涨新兴市场，而日本股市受日元升值拖累和印度股市逆势下跌。</w:t>
      </w:r>
      <w:r>
        <w:rPr>
          <w:rFonts w:ascii="宋体" w:hAnsi="宋体" w:hint="eastAsia"/>
          <w:color w:val="000000"/>
          <w:kern w:val="0"/>
          <w:szCs w:val="21"/>
          <w:lang w:eastAsia="zh-Hans"/>
        </w:rPr>
        <w:br/>
        <w:t xml:space="preserve">　　股票市场在波动中显现结构性机会。新兴市场股票跑赢发达市场股票，中国股市凭借科技股复苏和关税压力低于预期上涨，韩国半导体产业链同样表现亮眼。价值股的回报率优于成长股，大宗商品板块受益黄金价格飙升。欧洲军工、基建板块在财政刺激下异军突起，而全球小盘股因贸易不确定性下跌，凸显资金避险倾向。</w:t>
      </w:r>
      <w:r>
        <w:rPr>
          <w:rFonts w:ascii="宋体" w:hAnsi="宋体" w:hint="eastAsia"/>
          <w:color w:val="000000"/>
          <w:kern w:val="0"/>
          <w:szCs w:val="21"/>
          <w:lang w:eastAsia="zh-Hans"/>
        </w:rPr>
        <w:br/>
        <w:t xml:space="preserve">　　固定收益市场，在通胀与衰退的拉锯战中艰难平衡。避险情绪推动美债上涨，信用债展现韧性——美国高收益债涨幅领先，欧洲投资级企业利差逆势收窄。新兴市场主权债则借美元走弱上涨。货币政策分化加剧：美联储虽暂缓降息，但市场已预期今年或有2-3次降息，欧洲央行季度内降息两次，日本央行继续对抗通胀，而英国在财政紧缩背景下保持利率稳定。</w:t>
      </w:r>
      <w:r>
        <w:rPr>
          <w:rFonts w:ascii="宋体" w:hAnsi="宋体" w:hint="eastAsia"/>
          <w:color w:val="000000"/>
          <w:kern w:val="0"/>
          <w:szCs w:val="21"/>
          <w:lang w:eastAsia="zh-Hans"/>
        </w:rPr>
        <w:br/>
        <w:t xml:space="preserve">　　本基金在报告期内小幅调整股票仓位和结构，减少美股成长型基金，增加全球和欧洲股票配置。现金部位有所增加。</w:t>
      </w:r>
      <w:r>
        <w:rPr>
          <w:rFonts w:ascii="宋体" w:hAnsi="宋体" w:hint="eastAsia"/>
          <w:color w:val="000000"/>
          <w:kern w:val="0"/>
          <w:szCs w:val="21"/>
          <w:lang w:eastAsia="zh-Hans"/>
        </w:rPr>
        <w:br/>
        <w:t xml:space="preserve">　　展望未来，市场或持续面临“政策市”考验。4月3日美国新一轮关税决议临近，欧盟财政扩张与债务规则的矛盾可能发酵，未来需在波动中把握三条主线：一是股债搭配策略，用美债对冲美股波动；二是关注中国科技产业政策红利、欧洲国防供应链重塑及日本企业盈利对汇率的敏感性；三是警惕贸易摩擦向服务业渗透、美国中小企业信贷质量恶化等风险。历史经验表明，当单一资产波动加剧时，跨区域、跨资产的分散配置仍是穿越风浪的可靠航船。</w:t>
      </w:r>
      <w:r>
        <w:rPr>
          <w:rFonts w:ascii="宋体" w:hAnsi="宋体" w:hint="eastAsia"/>
          <w:color w:val="000000"/>
          <w:kern w:val="0"/>
          <w:sz w:val="24"/>
        </w:rPr>
        <w:t xml:space="preserve"> </w:t>
      </w:r>
      <w:bookmarkEnd w:id="83"/>
    </w:p>
    <w:p w:rsidR="007C555E" w:rsidRDefault="00421B21">
      <w:pPr>
        <w:pStyle w:val="XBRLTitle3"/>
        <w:spacing w:before="156" w:line="360" w:lineRule="auto"/>
        <w:ind w:left="624"/>
      </w:pPr>
      <w:bookmarkStart w:id="168" w:name="_Toc51408825712"/>
      <w:bookmarkEnd w:id="151"/>
      <w:proofErr w:type="spellStart"/>
      <w:r>
        <w:rPr>
          <w:rFonts w:hAnsi="宋体" w:hint="eastAsia"/>
        </w:rPr>
        <w:t>报告期内基金的业绩表现</w:t>
      </w:r>
      <w:bookmarkEnd w:id="168"/>
      <w:bookmarkEnd w:id="153"/>
      <w:bookmarkEnd w:id="154"/>
      <w:proofErr w:type="spellEnd"/>
      <w:r>
        <w:rPr>
          <w:rFonts w:hAnsi="宋体" w:hint="eastAsia"/>
        </w:rPr>
        <w:t xml:space="preserve"> </w:t>
      </w:r>
    </w:p>
    <w:p w:rsidR="007C555E" w:rsidRDefault="00421B21">
      <w:pPr>
        <w:spacing w:line="360" w:lineRule="auto"/>
        <w:ind w:firstLineChars="200" w:firstLine="420"/>
        <w:jc w:val="left"/>
      </w:pPr>
      <w:r>
        <w:rPr>
          <w:rFonts w:ascii="宋体" w:hAnsi="宋体" w:cs="宋体" w:hint="eastAsia"/>
          <w:color w:val="000000"/>
          <w:kern w:val="0"/>
        </w:rPr>
        <w:t>本报告期摩根全球多元配置(QDII-FOF)人民币A份额净值增长率为：-2.06%，同期业绩比较基准收益率为:-0.95%;</w:t>
      </w:r>
      <w:r>
        <w:rPr>
          <w:rFonts w:ascii="宋体" w:hAnsi="宋体" w:cs="宋体" w:hint="eastAsia"/>
          <w:color w:val="000000"/>
          <w:kern w:val="0"/>
        </w:rPr>
        <w:br/>
        <w:t xml:space="preserve">　　摩根全球多元配置(QDII-FOF)人民币C份额净值增长率为：-2.13%，同期业绩比较基准收益率为:-0.95%。</w:t>
      </w:r>
      <w:bookmarkEnd w:id="155"/>
    </w:p>
    <w:p w:rsidR="007C555E" w:rsidRDefault="00421B21">
      <w:pPr>
        <w:pStyle w:val="XBRLTitle2"/>
        <w:spacing w:before="156" w:line="360" w:lineRule="auto"/>
        <w:ind w:left="454"/>
      </w:pPr>
      <w:bookmarkStart w:id="169" w:name="m405_01_2550"/>
      <w:bookmarkStart w:id="170" w:name="_Toc514088258"/>
      <w:bookmarkStart w:id="171" w:name="_Toc480465430"/>
      <w:bookmarkStart w:id="172" w:name="_Toc448480296"/>
      <w:bookmarkStart w:id="173" w:name="_Toc438654084"/>
      <w:bookmarkStart w:id="174" w:name="_Toc456107129"/>
      <w:bookmarkStart w:id="175" w:name="_Toc459213775"/>
      <w:bookmarkStart w:id="176" w:name="_Toc513542659"/>
      <w:bookmarkStart w:id="177" w:name="_Toc512696261"/>
      <w:bookmarkStart w:id="178" w:name="_Toc512612264"/>
      <w:bookmarkStart w:id="179" w:name="_Toc512612088"/>
      <w:bookmarkStart w:id="180" w:name="_Toc512611292"/>
      <w:bookmarkStart w:id="181" w:name="m407"/>
      <w:bookmarkEnd w:id="169"/>
      <w:proofErr w:type="spellStart"/>
      <w:r>
        <w:rPr>
          <w:rFonts w:eastAsia="宋体" w:hint="eastAsia"/>
        </w:rPr>
        <w:t>报告期内基金持有人数或基金资产净值预警说明</w:t>
      </w:r>
      <w:bookmarkEnd w:id="170"/>
      <w:bookmarkEnd w:id="171"/>
      <w:bookmarkEnd w:id="172"/>
      <w:bookmarkEnd w:id="173"/>
      <w:bookmarkEnd w:id="174"/>
      <w:bookmarkEnd w:id="175"/>
      <w:bookmarkEnd w:id="176"/>
      <w:bookmarkEnd w:id="177"/>
      <w:bookmarkEnd w:id="178"/>
      <w:bookmarkEnd w:id="179"/>
      <w:bookmarkEnd w:id="180"/>
      <w:proofErr w:type="spellEnd"/>
      <w:r>
        <w:rPr>
          <w:rFonts w:eastAsia="宋体" w:hint="eastAsia"/>
        </w:rPr>
        <w:t xml:space="preserve"> </w:t>
      </w:r>
    </w:p>
    <w:p w:rsidR="007C555E" w:rsidRDefault="00421B21">
      <w:pPr>
        <w:spacing w:line="360" w:lineRule="auto"/>
        <w:ind w:firstLineChars="200" w:firstLine="420"/>
        <w:jc w:val="left"/>
      </w:pPr>
      <w:r>
        <w:rPr>
          <w:rFonts w:ascii="宋体" w:hAnsi="宋体" w:hint="eastAsia"/>
        </w:rPr>
        <w:t>无。</w:t>
      </w:r>
    </w:p>
    <w:p w:rsidR="007C555E" w:rsidRDefault="00421B21">
      <w:pPr>
        <w:pStyle w:val="XBRLTitle1"/>
        <w:spacing w:before="156"/>
        <w:ind w:left="425"/>
      </w:pPr>
      <w:bookmarkStart w:id="182" w:name="_Toc514088259"/>
      <w:bookmarkStart w:id="183" w:name="_Toc480465431"/>
      <w:bookmarkStart w:id="184" w:name="_Toc448480297"/>
      <w:bookmarkStart w:id="185" w:name="_Toc438654085"/>
      <w:bookmarkStart w:id="186" w:name="_Toc445826343"/>
      <w:bookmarkStart w:id="187" w:name="_Toc456107130"/>
      <w:bookmarkStart w:id="188" w:name="_Toc459213776"/>
      <w:bookmarkStart w:id="189" w:name="_Toc513542660"/>
      <w:bookmarkStart w:id="190" w:name="_Toc512696262"/>
      <w:bookmarkStart w:id="191" w:name="_Toc512612265"/>
      <w:bookmarkStart w:id="192" w:name="_Toc512612089"/>
      <w:bookmarkStart w:id="193" w:name="_Toc512611293"/>
      <w:bookmarkEnd w:id="181"/>
      <w:proofErr w:type="spellStart"/>
      <w:r>
        <w:rPr>
          <w:rFonts w:hint="eastAsia"/>
        </w:rPr>
        <w:t>投资组合报告</w:t>
      </w:r>
      <w:bookmarkEnd w:id="182"/>
      <w:bookmarkEnd w:id="183"/>
      <w:bookmarkEnd w:id="184"/>
      <w:bookmarkEnd w:id="185"/>
      <w:bookmarkEnd w:id="186"/>
      <w:bookmarkEnd w:id="187"/>
      <w:bookmarkEnd w:id="188"/>
      <w:bookmarkEnd w:id="189"/>
      <w:bookmarkEnd w:id="190"/>
      <w:bookmarkEnd w:id="191"/>
      <w:bookmarkEnd w:id="192"/>
      <w:bookmarkEnd w:id="193"/>
      <w:proofErr w:type="spellEnd"/>
    </w:p>
    <w:p w:rsidR="007C555E" w:rsidRDefault="00421B21">
      <w:pPr>
        <w:pStyle w:val="XBRLTitle2"/>
        <w:spacing w:before="156" w:line="360" w:lineRule="auto"/>
        <w:ind w:left="454"/>
      </w:pPr>
      <w:bookmarkStart w:id="194" w:name="_Toc514088260"/>
      <w:bookmarkStart w:id="195" w:name="_Toc480465432"/>
      <w:bookmarkStart w:id="196" w:name="_Toc448480298"/>
      <w:bookmarkStart w:id="197" w:name="_Toc438654086"/>
      <w:bookmarkStart w:id="198" w:name="_Toc456107131"/>
      <w:bookmarkStart w:id="199" w:name="_Toc459213777"/>
      <w:bookmarkStart w:id="200" w:name="_Toc513542661"/>
      <w:bookmarkStart w:id="201" w:name="_Toc512696263"/>
      <w:bookmarkStart w:id="202" w:name="_Toc512612266"/>
      <w:bookmarkStart w:id="203" w:name="_Toc512612090"/>
      <w:bookmarkStart w:id="204" w:name="_Toc512611294"/>
      <w:bookmarkStart w:id="205" w:name="m501"/>
      <w:proofErr w:type="spellStart"/>
      <w:r>
        <w:rPr>
          <w:rFonts w:eastAsia="宋体" w:hint="eastAsia"/>
        </w:rPr>
        <w:lastRenderedPageBreak/>
        <w:t>报告期末基金资产组合情况</w:t>
      </w:r>
      <w:bookmarkEnd w:id="194"/>
      <w:bookmarkEnd w:id="195"/>
      <w:bookmarkEnd w:id="196"/>
      <w:bookmarkEnd w:id="197"/>
      <w:bookmarkEnd w:id="198"/>
      <w:bookmarkEnd w:id="199"/>
      <w:proofErr w:type="spellEnd"/>
      <w:r>
        <w:rPr>
          <w:rFonts w:hint="eastAsia"/>
        </w:rPr>
        <w:t xml:space="preserve"> </w:t>
      </w:r>
      <w:bookmarkEnd w:id="200"/>
      <w:bookmarkEnd w:id="201"/>
      <w:bookmarkEnd w:id="202"/>
      <w:bookmarkEnd w:id="203"/>
      <w:bookmarkEnd w:id="204"/>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02"/>
        <w:gridCol w:w="3504"/>
        <w:gridCol w:w="2373"/>
        <w:gridCol w:w="2356"/>
      </w:tblGrid>
      <w:tr w:rsidR="007C555E">
        <w:trPr>
          <w:divId w:val="1486320019"/>
          <w:trHeight w:val="20"/>
        </w:trPr>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555E" w:rsidRDefault="00421B21">
            <w:pPr>
              <w:jc w:val="center"/>
            </w:pPr>
            <w:bookmarkStart w:id="206" w:name="m08QD_01_tab"/>
            <w:bookmarkStart w:id="207" w:name="OLE_LINK41"/>
            <w:bookmarkStart w:id="208" w:name="OLE_LINK42"/>
            <w:bookmarkStart w:id="209" w:name="OLE_LINK45"/>
            <w:bookmarkStart w:id="210" w:name="OLE_LINK46"/>
            <w:bookmarkEnd w:id="206"/>
            <w:r>
              <w:rPr>
                <w:rFonts w:ascii="宋体" w:hAnsi="宋体" w:hint="eastAsia"/>
                <w:color w:val="000000"/>
              </w:rPr>
              <w:t>序号</w:t>
            </w: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shd w:val="clear" w:color="auto" w:fill="D9D9D9"/>
            <w:vAlign w:val="center"/>
            <w:hideMark/>
          </w:tcPr>
          <w:p w:rsidR="007C555E" w:rsidRDefault="00421B21">
            <w:pPr>
              <w:jc w:val="center"/>
            </w:pPr>
            <w:r>
              <w:rPr>
                <w:rFonts w:ascii="宋体" w:hAnsi="宋体" w:hint="eastAsia"/>
                <w:color w:val="000000"/>
              </w:rPr>
              <w:t>项目</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shd w:val="clear" w:color="auto" w:fill="D9D9D9"/>
            <w:vAlign w:val="center"/>
            <w:hideMark/>
          </w:tcPr>
          <w:p w:rsidR="007C555E" w:rsidRDefault="00421B21">
            <w:pPr>
              <w:jc w:val="center"/>
            </w:pPr>
            <w:r>
              <w:rPr>
                <w:rFonts w:ascii="宋体" w:hAnsi="宋体" w:hint="eastAsia"/>
                <w:color w:val="000000"/>
              </w:rPr>
              <w:t>金额（人民币元）</w:t>
            </w:r>
            <w:r>
              <w:rPr>
                <w:rFonts w:ascii="宋体" w:hAnsi="宋体" w:hint="eastAsia"/>
                <w:color w:val="000000"/>
                <w:lang w:eastAsia="zh-Hans"/>
              </w:rPr>
              <w:t xml:space="preserve"> </w:t>
            </w:r>
          </w:p>
        </w:tc>
        <w:tc>
          <w:tcPr>
            <w:tcW w:w="2373" w:type="dxa"/>
            <w:tcBorders>
              <w:top w:val="single" w:sz="4" w:space="0" w:color="auto"/>
              <w:left w:val="nil"/>
              <w:bottom w:val="single" w:sz="4" w:space="0" w:color="auto"/>
              <w:right w:val="single" w:sz="4" w:space="0" w:color="auto"/>
            </w:tcBorders>
            <w:shd w:val="clear" w:color="auto" w:fill="D9D9D9"/>
            <w:vAlign w:val="center"/>
            <w:hideMark/>
          </w:tcPr>
          <w:p w:rsidR="007C555E" w:rsidRDefault="00421B21">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7C555E">
        <w:trPr>
          <w:divId w:val="148632001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7C555E" w:rsidRDefault="00421B21">
            <w:pPr>
              <w:jc w:val="center"/>
            </w:pPr>
            <w:r>
              <w:rPr>
                <w:rFonts w:ascii="宋体" w:hAnsi="宋体" w:hint="eastAsia"/>
                <w:color w:val="000000"/>
                <w:lang w:eastAsia="zh-Hans"/>
              </w:rPr>
              <w:t xml:space="preserve">1 </w:t>
            </w:r>
          </w:p>
        </w:tc>
        <w:tc>
          <w:tcPr>
            <w:tcW w:w="3529" w:type="dxa"/>
            <w:tcBorders>
              <w:top w:val="single" w:sz="4" w:space="0" w:color="auto"/>
              <w:left w:val="nil"/>
              <w:bottom w:val="single" w:sz="4" w:space="0" w:color="auto"/>
              <w:right w:val="single" w:sz="4" w:space="0" w:color="auto"/>
            </w:tcBorders>
            <w:vAlign w:val="center"/>
            <w:hideMark/>
          </w:tcPr>
          <w:p w:rsidR="007C555E" w:rsidRDefault="00421B21">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r>
      <w:tr w:rsidR="007C555E">
        <w:trPr>
          <w:divId w:val="148632001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7C555E" w:rsidRDefault="00421B21">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7C555E" w:rsidRDefault="00421B21">
            <w:pPr>
              <w:ind w:leftChars="50" w:left="105"/>
            </w:pPr>
            <w:r>
              <w:rPr>
                <w:rFonts w:ascii="宋体" w:hAnsi="宋体" w:hint="eastAsia"/>
                <w:color w:val="000000"/>
              </w:rPr>
              <w:t>其中：普通股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r>
      <w:tr w:rsidR="007C555E">
        <w:trPr>
          <w:divId w:val="148632001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7C555E" w:rsidRDefault="00421B21">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7C555E" w:rsidRDefault="00421B21">
            <w:pPr>
              <w:ind w:firstLineChars="350" w:firstLine="735"/>
            </w:pPr>
            <w:r>
              <w:rPr>
                <w:rFonts w:ascii="宋体" w:hAnsi="宋体" w:hint="eastAsia"/>
                <w:color w:val="000000"/>
              </w:rPr>
              <w:t>优先股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r>
      <w:tr w:rsidR="007C555E">
        <w:trPr>
          <w:divId w:val="148632001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7C555E" w:rsidRDefault="00421B21">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7C555E" w:rsidRDefault="00421B21">
            <w:pPr>
              <w:ind w:firstLineChars="350" w:firstLine="735"/>
            </w:pPr>
            <w:r>
              <w:rPr>
                <w:rFonts w:ascii="宋体" w:hAnsi="宋体" w:hint="eastAsia"/>
                <w:color w:val="000000"/>
              </w:rPr>
              <w:t>存托凭证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r>
      <w:tr w:rsidR="007C555E">
        <w:trPr>
          <w:divId w:val="148632001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7C555E" w:rsidRDefault="00421B21">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7C555E" w:rsidRDefault="00421B21">
            <w:pPr>
              <w:ind w:firstLineChars="350" w:firstLine="735"/>
            </w:pPr>
            <w:r>
              <w:rPr>
                <w:rFonts w:ascii="宋体" w:hAnsi="宋体" w:hint="eastAsia"/>
              </w:rPr>
              <w:t>房地产信托凭证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r>
      <w:tr w:rsidR="007C555E">
        <w:trPr>
          <w:divId w:val="148632001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7C555E" w:rsidRDefault="00421B21">
            <w:pPr>
              <w:jc w:val="center"/>
            </w:pPr>
            <w:r>
              <w:rPr>
                <w:rFonts w:ascii="宋体" w:hAnsi="宋体" w:hint="eastAsia"/>
                <w:color w:val="000000"/>
                <w:lang w:eastAsia="zh-Hans"/>
              </w:rPr>
              <w:t xml:space="preserve">2 </w:t>
            </w:r>
          </w:p>
        </w:tc>
        <w:tc>
          <w:tcPr>
            <w:tcW w:w="3529" w:type="dxa"/>
            <w:tcBorders>
              <w:top w:val="single" w:sz="4" w:space="0" w:color="auto"/>
              <w:left w:val="nil"/>
              <w:bottom w:val="single" w:sz="4" w:space="0" w:color="auto"/>
              <w:right w:val="single" w:sz="4" w:space="0" w:color="auto"/>
            </w:tcBorders>
            <w:vAlign w:val="center"/>
            <w:hideMark/>
          </w:tcPr>
          <w:p w:rsidR="007C555E" w:rsidRDefault="00421B21">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657,436,214.90</w:t>
            </w:r>
          </w:p>
        </w:tc>
        <w:tc>
          <w:tcPr>
            <w:tcW w:w="2373"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85.28</w:t>
            </w:r>
          </w:p>
        </w:tc>
      </w:tr>
      <w:tr w:rsidR="007C555E">
        <w:trPr>
          <w:divId w:val="148632001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7C555E" w:rsidRDefault="00421B21">
            <w:pPr>
              <w:jc w:val="center"/>
            </w:pPr>
            <w:r>
              <w:rPr>
                <w:rFonts w:ascii="宋体" w:hAnsi="宋体" w:hint="eastAsia"/>
                <w:color w:val="000000"/>
                <w:lang w:eastAsia="zh-Hans"/>
              </w:rPr>
              <w:t xml:space="preserve">3 </w:t>
            </w:r>
          </w:p>
        </w:tc>
        <w:tc>
          <w:tcPr>
            <w:tcW w:w="3529" w:type="dxa"/>
            <w:tcBorders>
              <w:top w:val="single" w:sz="4" w:space="0" w:color="auto"/>
              <w:left w:val="nil"/>
              <w:bottom w:val="single" w:sz="4" w:space="0" w:color="auto"/>
              <w:right w:val="single" w:sz="4" w:space="0" w:color="auto"/>
            </w:tcBorders>
            <w:vAlign w:val="center"/>
            <w:hideMark/>
          </w:tcPr>
          <w:p w:rsidR="007C555E" w:rsidRDefault="00421B21">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r>
      <w:tr w:rsidR="007C555E">
        <w:trPr>
          <w:divId w:val="148632001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7C555E" w:rsidRDefault="00421B21">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7C555E" w:rsidRDefault="00421B21">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r>
      <w:tr w:rsidR="007C555E">
        <w:trPr>
          <w:divId w:val="148632001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7C555E" w:rsidRDefault="00421B21">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7C555E" w:rsidRDefault="00421B21">
            <w:pPr>
              <w:ind w:leftChars="50" w:left="105"/>
            </w:pPr>
            <w:r>
              <w:rPr>
                <w:rFonts w:ascii="宋体" w:hAnsi="宋体" w:hint="eastAsia"/>
                <w:color w:val="000000"/>
              </w:rPr>
              <w:t>资产支持证券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r>
      <w:tr w:rsidR="007C555E">
        <w:trPr>
          <w:divId w:val="148632001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7C555E" w:rsidRDefault="00421B21">
            <w:pPr>
              <w:jc w:val="center"/>
            </w:pPr>
            <w:r>
              <w:rPr>
                <w:rFonts w:ascii="宋体" w:hAnsi="宋体" w:hint="eastAsia"/>
                <w:color w:val="000000"/>
                <w:lang w:eastAsia="zh-Hans"/>
              </w:rPr>
              <w:t xml:space="preserve">4 </w:t>
            </w:r>
          </w:p>
        </w:tc>
        <w:tc>
          <w:tcPr>
            <w:tcW w:w="3529" w:type="dxa"/>
            <w:tcBorders>
              <w:top w:val="single" w:sz="4" w:space="0" w:color="auto"/>
              <w:left w:val="nil"/>
              <w:bottom w:val="single" w:sz="4" w:space="0" w:color="auto"/>
              <w:right w:val="single" w:sz="4" w:space="0" w:color="auto"/>
            </w:tcBorders>
            <w:vAlign w:val="center"/>
            <w:hideMark/>
          </w:tcPr>
          <w:p w:rsidR="007C555E" w:rsidRDefault="00421B21">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r>
      <w:tr w:rsidR="007C555E">
        <w:trPr>
          <w:divId w:val="148632001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7C555E" w:rsidRDefault="00421B21">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7C555E" w:rsidRDefault="00421B21">
            <w:pPr>
              <w:ind w:leftChars="50" w:left="105"/>
            </w:pPr>
            <w:r>
              <w:rPr>
                <w:rFonts w:ascii="宋体" w:hAnsi="宋体" w:hint="eastAsia"/>
                <w:color w:val="000000"/>
              </w:rPr>
              <w:t>其中：远期</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r>
      <w:tr w:rsidR="007C555E">
        <w:trPr>
          <w:divId w:val="148632001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7C555E" w:rsidRDefault="00421B21">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7C555E" w:rsidRDefault="00421B21">
            <w:pPr>
              <w:ind w:firstLineChars="350" w:firstLine="735"/>
            </w:pPr>
            <w:r>
              <w:rPr>
                <w:rFonts w:ascii="宋体" w:hAnsi="宋体" w:hint="eastAsia"/>
                <w:color w:val="000000"/>
              </w:rPr>
              <w:t>期货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r>
      <w:tr w:rsidR="007C555E">
        <w:trPr>
          <w:divId w:val="148632001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7C555E" w:rsidRDefault="00421B21">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7C555E" w:rsidRDefault="00421B21">
            <w:pPr>
              <w:ind w:firstLineChars="350" w:firstLine="735"/>
            </w:pPr>
            <w:r>
              <w:rPr>
                <w:rFonts w:ascii="宋体" w:hAnsi="宋体" w:hint="eastAsia"/>
                <w:color w:val="000000"/>
              </w:rPr>
              <w:t>期权</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r>
      <w:tr w:rsidR="007C555E">
        <w:trPr>
          <w:divId w:val="148632001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7C555E" w:rsidRDefault="00421B21">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7C555E" w:rsidRDefault="00421B21">
            <w:pPr>
              <w:ind w:firstLineChars="350" w:firstLine="735"/>
            </w:pPr>
            <w:r>
              <w:rPr>
                <w:rFonts w:ascii="宋体" w:hAnsi="宋体" w:hint="eastAsia"/>
                <w:color w:val="000000"/>
              </w:rPr>
              <w:t>权证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r>
      <w:tr w:rsidR="007C555E">
        <w:trPr>
          <w:divId w:val="148632001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7C555E" w:rsidRDefault="00421B21">
            <w:pPr>
              <w:jc w:val="center"/>
            </w:pPr>
            <w:r>
              <w:rPr>
                <w:rFonts w:ascii="宋体" w:hAnsi="宋体" w:hint="eastAsia"/>
                <w:color w:val="000000"/>
                <w:lang w:eastAsia="zh-Hans"/>
              </w:rPr>
              <w:t xml:space="preserve">5 </w:t>
            </w:r>
          </w:p>
        </w:tc>
        <w:tc>
          <w:tcPr>
            <w:tcW w:w="3529" w:type="dxa"/>
            <w:tcBorders>
              <w:top w:val="single" w:sz="4" w:space="0" w:color="auto"/>
              <w:left w:val="nil"/>
              <w:bottom w:val="single" w:sz="4" w:space="0" w:color="auto"/>
              <w:right w:val="single" w:sz="4" w:space="0" w:color="auto"/>
            </w:tcBorders>
            <w:vAlign w:val="center"/>
            <w:hideMark/>
          </w:tcPr>
          <w:p w:rsidR="007C555E" w:rsidRDefault="00421B21">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r>
      <w:tr w:rsidR="007C555E">
        <w:trPr>
          <w:divId w:val="148632001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7C555E" w:rsidRDefault="00421B21">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7C555E" w:rsidRDefault="00421B21">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r>
      <w:tr w:rsidR="007C555E">
        <w:trPr>
          <w:divId w:val="148632001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7C555E" w:rsidRDefault="00421B21">
            <w:pPr>
              <w:jc w:val="center"/>
            </w:pPr>
            <w:r>
              <w:rPr>
                <w:rFonts w:ascii="宋体" w:hAnsi="宋体" w:hint="eastAsia"/>
                <w:color w:val="000000"/>
                <w:lang w:eastAsia="zh-Hans"/>
              </w:rPr>
              <w:t xml:space="preserve">6 </w:t>
            </w:r>
          </w:p>
        </w:tc>
        <w:tc>
          <w:tcPr>
            <w:tcW w:w="3529" w:type="dxa"/>
            <w:tcBorders>
              <w:top w:val="single" w:sz="4" w:space="0" w:color="auto"/>
              <w:left w:val="nil"/>
              <w:bottom w:val="single" w:sz="4" w:space="0" w:color="auto"/>
              <w:right w:val="single" w:sz="4" w:space="0" w:color="auto"/>
            </w:tcBorders>
            <w:vAlign w:val="center"/>
            <w:hideMark/>
          </w:tcPr>
          <w:p w:rsidR="007C555E" w:rsidRDefault="00421B21">
            <w:pPr>
              <w:ind w:leftChars="50" w:left="105"/>
            </w:pPr>
            <w:r>
              <w:rPr>
                <w:rFonts w:ascii="宋体" w:hAnsi="宋体" w:hint="eastAsia"/>
                <w:color w:val="000000"/>
              </w:rPr>
              <w:t>货币市场工具</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w:t>
            </w:r>
          </w:p>
        </w:tc>
      </w:tr>
      <w:tr w:rsidR="007C555E">
        <w:trPr>
          <w:divId w:val="148632001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7C555E" w:rsidRDefault="00421B21">
            <w:pPr>
              <w:jc w:val="center"/>
            </w:pPr>
            <w:r>
              <w:rPr>
                <w:rFonts w:ascii="宋体" w:hAnsi="宋体" w:hint="eastAsia"/>
                <w:color w:val="000000"/>
                <w:lang w:eastAsia="zh-Hans"/>
              </w:rPr>
              <w:t xml:space="preserve">7 </w:t>
            </w:r>
          </w:p>
        </w:tc>
        <w:tc>
          <w:tcPr>
            <w:tcW w:w="3529" w:type="dxa"/>
            <w:tcBorders>
              <w:top w:val="single" w:sz="4" w:space="0" w:color="auto"/>
              <w:left w:val="nil"/>
              <w:bottom w:val="single" w:sz="4" w:space="0" w:color="auto"/>
              <w:right w:val="single" w:sz="4" w:space="0" w:color="auto"/>
            </w:tcBorders>
            <w:vAlign w:val="center"/>
            <w:hideMark/>
          </w:tcPr>
          <w:p w:rsidR="007C555E" w:rsidRDefault="00421B21">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110,236,825.79</w:t>
            </w:r>
          </w:p>
        </w:tc>
        <w:tc>
          <w:tcPr>
            <w:tcW w:w="2373"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14.30</w:t>
            </w:r>
          </w:p>
        </w:tc>
      </w:tr>
      <w:tr w:rsidR="007C555E">
        <w:trPr>
          <w:divId w:val="148632001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7C555E" w:rsidRDefault="00421B21">
            <w:pPr>
              <w:jc w:val="center"/>
            </w:pPr>
            <w:r>
              <w:rPr>
                <w:rFonts w:ascii="宋体" w:hAnsi="宋体" w:hint="eastAsia"/>
                <w:color w:val="000000"/>
                <w:lang w:eastAsia="zh-Hans"/>
              </w:rPr>
              <w:t xml:space="preserve">8 </w:t>
            </w:r>
          </w:p>
        </w:tc>
        <w:tc>
          <w:tcPr>
            <w:tcW w:w="3529" w:type="dxa"/>
            <w:tcBorders>
              <w:top w:val="single" w:sz="4" w:space="0" w:color="auto"/>
              <w:left w:val="nil"/>
              <w:bottom w:val="single" w:sz="4" w:space="0" w:color="auto"/>
              <w:right w:val="single" w:sz="4" w:space="0" w:color="auto"/>
            </w:tcBorders>
            <w:vAlign w:val="center"/>
            <w:hideMark/>
          </w:tcPr>
          <w:p w:rsidR="007C555E" w:rsidRDefault="00421B21">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3,221,145.08</w:t>
            </w:r>
          </w:p>
        </w:tc>
        <w:tc>
          <w:tcPr>
            <w:tcW w:w="2373"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0.42</w:t>
            </w:r>
          </w:p>
        </w:tc>
      </w:tr>
      <w:tr w:rsidR="007C555E">
        <w:trPr>
          <w:divId w:val="148632001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7C555E" w:rsidRDefault="00421B21">
            <w:pPr>
              <w:jc w:val="center"/>
            </w:pPr>
            <w:r>
              <w:rPr>
                <w:rFonts w:ascii="宋体" w:hAnsi="宋体" w:hint="eastAsia"/>
                <w:color w:val="000000"/>
                <w:lang w:eastAsia="zh-Hans"/>
              </w:rPr>
              <w:t xml:space="preserve">9 </w:t>
            </w:r>
          </w:p>
        </w:tc>
        <w:tc>
          <w:tcPr>
            <w:tcW w:w="3529" w:type="dxa"/>
            <w:tcBorders>
              <w:top w:val="single" w:sz="4" w:space="0" w:color="auto"/>
              <w:left w:val="nil"/>
              <w:bottom w:val="single" w:sz="4" w:space="0" w:color="auto"/>
              <w:right w:val="single" w:sz="4" w:space="0" w:color="auto"/>
            </w:tcBorders>
            <w:vAlign w:val="center"/>
            <w:hideMark/>
          </w:tcPr>
          <w:p w:rsidR="007C555E" w:rsidRDefault="00421B21">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770,894,185.77</w:t>
            </w:r>
          </w:p>
        </w:tc>
        <w:tc>
          <w:tcPr>
            <w:tcW w:w="2373" w:type="dxa"/>
            <w:tcBorders>
              <w:top w:val="single" w:sz="4" w:space="0" w:color="auto"/>
              <w:left w:val="nil"/>
              <w:bottom w:val="single" w:sz="4" w:space="0" w:color="auto"/>
              <w:right w:val="single" w:sz="4" w:space="0" w:color="auto"/>
            </w:tcBorders>
            <w:vAlign w:val="center"/>
            <w:hideMark/>
          </w:tcPr>
          <w:p w:rsidR="007C555E" w:rsidRDefault="00421B21">
            <w:pPr>
              <w:jc w:val="right"/>
            </w:pPr>
            <w:r>
              <w:rPr>
                <w:rFonts w:ascii="宋体" w:hAnsi="宋体" w:hint="eastAsia"/>
                <w:szCs w:val="24"/>
                <w:lang w:eastAsia="zh-Hans"/>
              </w:rPr>
              <w:t>100.00</w:t>
            </w:r>
          </w:p>
        </w:tc>
      </w:tr>
    </w:tbl>
    <w:p w:rsidR="007C555E" w:rsidRDefault="00421B21">
      <w:pPr>
        <w:pStyle w:val="XBRLTitle2"/>
        <w:spacing w:before="156" w:line="360" w:lineRule="auto"/>
        <w:ind w:left="454"/>
      </w:pPr>
      <w:bookmarkStart w:id="211" w:name="_Toc514088261"/>
      <w:bookmarkStart w:id="212" w:name="_Toc480465433"/>
      <w:bookmarkStart w:id="213" w:name="_Toc448480299"/>
      <w:bookmarkStart w:id="214" w:name="_Toc438654087"/>
      <w:bookmarkStart w:id="215" w:name="_Toc456107132"/>
      <w:bookmarkStart w:id="216" w:name="_Toc459213778"/>
      <w:bookmarkStart w:id="217" w:name="_Toc513542662"/>
      <w:bookmarkStart w:id="218" w:name="_Toc512696264"/>
      <w:bookmarkStart w:id="219" w:name="_Toc512612267"/>
      <w:bookmarkStart w:id="220" w:name="_Toc512612091"/>
      <w:bookmarkStart w:id="221" w:name="_Toc512611295"/>
      <w:bookmarkEnd w:id="205"/>
      <w:proofErr w:type="spellStart"/>
      <w:r>
        <w:rPr>
          <w:rFonts w:eastAsia="宋体" w:hint="eastAsia"/>
        </w:rPr>
        <w:t>报告期末在各个国家（地区）证券市场的股票及存托凭证投资分布</w:t>
      </w:r>
      <w:bookmarkEnd w:id="211"/>
      <w:bookmarkEnd w:id="212"/>
      <w:bookmarkEnd w:id="213"/>
      <w:bookmarkEnd w:id="214"/>
      <w:bookmarkEnd w:id="215"/>
      <w:bookmarkEnd w:id="216"/>
      <w:proofErr w:type="spellEnd"/>
      <w:r>
        <w:rPr>
          <w:rFonts w:hint="eastAsia"/>
        </w:rPr>
        <w:t xml:space="preserve"> </w:t>
      </w:r>
      <w:bookmarkEnd w:id="217"/>
      <w:bookmarkEnd w:id="218"/>
      <w:bookmarkEnd w:id="219"/>
      <w:bookmarkEnd w:id="220"/>
      <w:bookmarkEnd w:id="221"/>
    </w:p>
    <w:p w:rsidR="007C555E" w:rsidRDefault="00421B21">
      <w:pPr>
        <w:spacing w:line="360" w:lineRule="auto"/>
        <w:ind w:firstLineChars="200" w:firstLine="420"/>
        <w:jc w:val="left"/>
      </w:pPr>
      <w:r>
        <w:rPr>
          <w:rFonts w:ascii="宋体" w:hAnsi="宋体" w:hint="eastAsia"/>
        </w:rPr>
        <w:t>本基金本报告期末未持有股票及存托凭证。</w:t>
      </w:r>
    </w:p>
    <w:p w:rsidR="007C555E" w:rsidRDefault="00421B21">
      <w:pPr>
        <w:pStyle w:val="XBRLTitle2"/>
        <w:spacing w:before="156" w:line="360" w:lineRule="auto"/>
        <w:ind w:left="454"/>
      </w:pPr>
      <w:bookmarkStart w:id="222" w:name="m502_tab"/>
      <w:bookmarkStart w:id="223" w:name="_Toc514088262"/>
      <w:bookmarkStart w:id="224" w:name="_Toc480465434"/>
      <w:bookmarkStart w:id="225" w:name="_Toc448480300"/>
      <w:bookmarkStart w:id="226" w:name="_Toc438654088"/>
      <w:bookmarkStart w:id="227" w:name="_Toc456107133"/>
      <w:bookmarkStart w:id="228" w:name="_Toc459213779"/>
      <w:bookmarkStart w:id="229" w:name="_Toc513542663"/>
      <w:bookmarkStart w:id="230" w:name="_Toc512696265"/>
      <w:bookmarkStart w:id="231" w:name="_Toc512612268"/>
      <w:bookmarkStart w:id="232" w:name="_Toc512612092"/>
      <w:bookmarkStart w:id="233" w:name="_Toc512611296"/>
      <w:bookmarkStart w:id="234" w:name="m503"/>
      <w:bookmarkEnd w:id="222"/>
      <w:proofErr w:type="spellStart"/>
      <w:r>
        <w:rPr>
          <w:rFonts w:eastAsia="宋体" w:hint="eastAsia"/>
        </w:rPr>
        <w:t>报告期末按行业分类的股票及存托凭证投资组合</w:t>
      </w:r>
      <w:bookmarkEnd w:id="223"/>
      <w:bookmarkEnd w:id="224"/>
      <w:bookmarkEnd w:id="225"/>
      <w:bookmarkEnd w:id="226"/>
      <w:bookmarkEnd w:id="227"/>
      <w:bookmarkEnd w:id="228"/>
      <w:proofErr w:type="spellEnd"/>
      <w:r>
        <w:rPr>
          <w:rFonts w:hint="eastAsia"/>
        </w:rPr>
        <w:t xml:space="preserve"> </w:t>
      </w:r>
      <w:bookmarkEnd w:id="229"/>
      <w:bookmarkEnd w:id="230"/>
      <w:bookmarkEnd w:id="231"/>
      <w:bookmarkEnd w:id="232"/>
      <w:bookmarkEnd w:id="233"/>
    </w:p>
    <w:p w:rsidR="007C555E" w:rsidRDefault="00421B21">
      <w:pPr>
        <w:spacing w:line="360" w:lineRule="auto"/>
        <w:ind w:firstLineChars="200" w:firstLine="420"/>
        <w:jc w:val="left"/>
        <w:divId w:val="902300006"/>
      </w:pPr>
      <w:bookmarkStart w:id="235" w:name="m08QD_03_01_tab"/>
      <w:bookmarkStart w:id="236" w:name="m08QD_03_tab"/>
      <w:bookmarkStart w:id="237" w:name="m08QD_03_01"/>
      <w:bookmarkStart w:id="238" w:name="_Toc247616244"/>
      <w:bookmarkStart w:id="239" w:name="_Toc433036708"/>
      <w:bookmarkStart w:id="240" w:name="_Toc247613259"/>
      <w:bookmarkStart w:id="241" w:name="m08QD_04_01"/>
      <w:bookmarkStart w:id="242" w:name="m07_04_07_02"/>
      <w:bookmarkEnd w:id="235"/>
      <w:bookmarkEnd w:id="236"/>
      <w:bookmarkEnd w:id="237"/>
      <w:r>
        <w:rPr>
          <w:rFonts w:ascii="宋体" w:hAnsi="宋体" w:hint="eastAsia"/>
          <w:szCs w:val="21"/>
          <w:lang w:eastAsia="zh-Hans"/>
        </w:rPr>
        <w:t>本基金本报告期末未持有股票及存托凭证。</w:t>
      </w:r>
      <w:bookmarkEnd w:id="238"/>
      <w:bookmarkEnd w:id="239"/>
      <w:bookmarkEnd w:id="240"/>
      <w:r>
        <w:rPr>
          <w:rFonts w:ascii="宋体" w:hAnsi="宋体" w:hint="eastAsia"/>
          <w:szCs w:val="21"/>
          <w:lang w:eastAsia="zh-Hans"/>
        </w:rPr>
        <w:t xml:space="preserve"> </w:t>
      </w:r>
    </w:p>
    <w:p w:rsidR="007C555E" w:rsidRDefault="00421B21">
      <w:pPr>
        <w:pStyle w:val="XBRLTitle2"/>
        <w:spacing w:before="156" w:line="360" w:lineRule="auto"/>
        <w:ind w:left="454"/>
      </w:pPr>
      <w:bookmarkStart w:id="243" w:name="_Toc5140882991"/>
      <w:bookmarkStart w:id="244" w:name="_Toc480465441"/>
      <w:bookmarkStart w:id="245" w:name="_Toc459213786"/>
      <w:bookmarkStart w:id="246" w:name="_Toc456107140"/>
      <w:bookmarkStart w:id="247" w:name="_Toc438654095"/>
      <w:bookmarkStart w:id="248" w:name="_Toc448480307"/>
      <w:bookmarkStart w:id="249" w:name="_Toc513542670"/>
      <w:bookmarkStart w:id="250" w:name="_Toc512696272"/>
      <w:bookmarkStart w:id="251" w:name="_Toc512612275"/>
      <w:bookmarkStart w:id="252" w:name="_Toc512612099"/>
      <w:bookmarkStart w:id="253" w:name="_Toc512611303"/>
      <w:bookmarkEnd w:id="234"/>
      <w:proofErr w:type="spellStart"/>
      <w:r>
        <w:rPr>
          <w:rFonts w:eastAsia="宋体" w:hint="eastAsia"/>
        </w:rPr>
        <w:t>期末按公允价值占基金资产净值比例大小排序的权益投资明细</w:t>
      </w:r>
      <w:bookmarkEnd w:id="243"/>
      <w:proofErr w:type="spellEnd"/>
      <w:r>
        <w:rPr>
          <w:rFonts w:eastAsia="宋体" w:hint="eastAsia"/>
        </w:rPr>
        <w:t xml:space="preserve"> </w:t>
      </w:r>
    </w:p>
    <w:p w:rsidR="007C555E" w:rsidRDefault="00421B21">
      <w:pPr>
        <w:pStyle w:val="XBRLTitle3"/>
        <w:spacing w:before="156" w:line="360" w:lineRule="auto"/>
        <w:ind w:left="624"/>
      </w:pPr>
      <w:bookmarkStart w:id="254" w:name="m510_01_1597"/>
      <w:proofErr w:type="spellStart"/>
      <w:r>
        <w:rPr>
          <w:rFonts w:hAnsi="宋体" w:hint="eastAsia"/>
        </w:rPr>
        <w:t>报告期末按公允价值占基金资产净值比例大小排序的前十名股票及存托凭证投资明细</w:t>
      </w:r>
      <w:bookmarkStart w:id="255" w:name="_Toc5140882992"/>
      <w:bookmarkStart w:id="256" w:name="_Toc513542671"/>
      <w:bookmarkStart w:id="257" w:name="_Toc480465442"/>
      <w:bookmarkEnd w:id="255"/>
      <w:proofErr w:type="spellEnd"/>
      <w:r>
        <w:rPr>
          <w:rFonts w:hAnsi="宋体" w:hint="eastAsia"/>
        </w:rPr>
        <w:t xml:space="preserve"> </w:t>
      </w:r>
    </w:p>
    <w:p w:rsidR="007C555E" w:rsidRDefault="00421B21">
      <w:pPr>
        <w:spacing w:line="360" w:lineRule="auto"/>
        <w:ind w:firstLineChars="200" w:firstLine="420"/>
      </w:pPr>
      <w:bookmarkStart w:id="258" w:name="m08QD_04_01_tab"/>
      <w:bookmarkEnd w:id="258"/>
      <w:r>
        <w:rPr>
          <w:rFonts w:ascii="宋体" w:hAnsi="宋体" w:hint="eastAsia"/>
          <w:lang w:eastAsia="zh-Hans"/>
        </w:rPr>
        <w:t>本基金本报告期末未持有股票及存托凭证。</w:t>
      </w:r>
      <w:bookmarkEnd w:id="241"/>
      <w:r>
        <w:rPr>
          <w:rFonts w:ascii="宋体" w:hAnsi="宋体" w:hint="eastAsia"/>
        </w:rPr>
        <w:t xml:space="preserve"> </w:t>
      </w:r>
    </w:p>
    <w:p w:rsidR="007C555E" w:rsidRDefault="00421B21">
      <w:pPr>
        <w:pStyle w:val="XBRLTitle2"/>
        <w:spacing w:before="156" w:line="360" w:lineRule="auto"/>
        <w:ind w:left="454"/>
      </w:pPr>
      <w:bookmarkStart w:id="259" w:name="_Toc514088264"/>
      <w:bookmarkStart w:id="260" w:name="_Toc480465436"/>
      <w:bookmarkStart w:id="261" w:name="_Toc448480302"/>
      <w:bookmarkStart w:id="262" w:name="_Toc438654090"/>
      <w:bookmarkStart w:id="263" w:name="_Toc456107135"/>
      <w:bookmarkStart w:id="264" w:name="_Toc459213781"/>
      <w:bookmarkStart w:id="265" w:name="_Toc513542665"/>
      <w:bookmarkStart w:id="266" w:name="_Toc512696267"/>
      <w:bookmarkStart w:id="267" w:name="_Toc512612270"/>
      <w:bookmarkStart w:id="268" w:name="_Toc512612094"/>
      <w:bookmarkStart w:id="269" w:name="_Toc512611298"/>
      <w:bookmarkStart w:id="270" w:name="m505"/>
      <w:proofErr w:type="spellStart"/>
      <w:r>
        <w:rPr>
          <w:rFonts w:eastAsia="宋体" w:hint="eastAsia"/>
        </w:rPr>
        <w:t>报告期末按债券信用等级分类的债券投资组合</w:t>
      </w:r>
      <w:bookmarkEnd w:id="259"/>
      <w:bookmarkEnd w:id="260"/>
      <w:bookmarkEnd w:id="261"/>
      <w:bookmarkEnd w:id="262"/>
      <w:bookmarkEnd w:id="263"/>
      <w:bookmarkEnd w:id="264"/>
      <w:proofErr w:type="spellEnd"/>
      <w:r>
        <w:rPr>
          <w:rFonts w:hint="eastAsia"/>
        </w:rPr>
        <w:t xml:space="preserve"> </w:t>
      </w:r>
      <w:bookmarkEnd w:id="265"/>
      <w:bookmarkEnd w:id="266"/>
      <w:bookmarkEnd w:id="267"/>
      <w:bookmarkEnd w:id="268"/>
      <w:bookmarkEnd w:id="269"/>
    </w:p>
    <w:p w:rsidR="007C555E" w:rsidRDefault="00421B21">
      <w:pPr>
        <w:spacing w:line="360" w:lineRule="auto"/>
        <w:ind w:firstLineChars="200" w:firstLine="420"/>
        <w:jc w:val="left"/>
      </w:pPr>
      <w:r>
        <w:rPr>
          <w:rFonts w:ascii="宋体" w:hAnsi="宋体" w:hint="eastAsia"/>
        </w:rPr>
        <w:t>本基金本报告期末未持有债券。</w:t>
      </w:r>
    </w:p>
    <w:p w:rsidR="007C555E" w:rsidRDefault="00421B21">
      <w:pPr>
        <w:pStyle w:val="XBRLTitle2"/>
        <w:spacing w:before="156" w:line="360" w:lineRule="auto"/>
        <w:ind w:left="454"/>
      </w:pPr>
      <w:bookmarkStart w:id="271" w:name="_Toc514088265"/>
      <w:bookmarkStart w:id="272" w:name="_Toc480465437"/>
      <w:bookmarkStart w:id="273" w:name="_Toc448480303"/>
      <w:bookmarkStart w:id="274" w:name="_Toc438654091"/>
      <w:bookmarkStart w:id="275" w:name="_Toc456107136"/>
      <w:bookmarkStart w:id="276" w:name="_Toc459213782"/>
      <w:bookmarkStart w:id="277" w:name="_Toc513542666"/>
      <w:bookmarkStart w:id="278" w:name="_Toc512696268"/>
      <w:bookmarkStart w:id="279" w:name="_Toc512612271"/>
      <w:bookmarkStart w:id="280" w:name="_Toc512612095"/>
      <w:bookmarkStart w:id="281" w:name="_Toc512611299"/>
      <w:bookmarkStart w:id="282" w:name="m506"/>
      <w:bookmarkEnd w:id="270"/>
      <w:proofErr w:type="spellStart"/>
      <w:r>
        <w:rPr>
          <w:rFonts w:eastAsia="宋体" w:hint="eastAsia"/>
        </w:rPr>
        <w:t>报告期末按公允价值占基金资产净值比例大小排名的前五名债券投资明细</w:t>
      </w:r>
      <w:bookmarkEnd w:id="271"/>
      <w:bookmarkEnd w:id="272"/>
      <w:bookmarkEnd w:id="273"/>
      <w:bookmarkEnd w:id="274"/>
      <w:bookmarkEnd w:id="275"/>
      <w:bookmarkEnd w:id="276"/>
      <w:proofErr w:type="spellEnd"/>
      <w:r>
        <w:rPr>
          <w:rFonts w:hint="eastAsia"/>
        </w:rPr>
        <w:t xml:space="preserve"> </w:t>
      </w:r>
      <w:bookmarkEnd w:id="277"/>
      <w:bookmarkEnd w:id="278"/>
      <w:bookmarkEnd w:id="279"/>
      <w:bookmarkEnd w:id="280"/>
      <w:bookmarkEnd w:id="281"/>
    </w:p>
    <w:p w:rsidR="007C555E" w:rsidRDefault="00421B21">
      <w:pPr>
        <w:spacing w:line="360" w:lineRule="auto"/>
        <w:ind w:firstLineChars="200" w:firstLine="420"/>
        <w:jc w:val="left"/>
        <w:divId w:val="924993848"/>
      </w:pPr>
      <w:r>
        <w:rPr>
          <w:rFonts w:ascii="宋体" w:hAnsi="宋体" w:hint="eastAsia"/>
          <w:color w:val="000000"/>
          <w:szCs w:val="21"/>
          <w:lang w:eastAsia="zh-Hans"/>
        </w:rPr>
        <w:lastRenderedPageBreak/>
        <w:t>本基金本报告期末未持有债券。</w:t>
      </w:r>
    </w:p>
    <w:p w:rsidR="007C555E" w:rsidRDefault="00421B21">
      <w:pPr>
        <w:pStyle w:val="XBRLTitle2"/>
        <w:spacing w:before="156" w:line="360" w:lineRule="auto"/>
        <w:ind w:left="454"/>
      </w:pPr>
      <w:bookmarkStart w:id="283" w:name="_Toc514088266"/>
      <w:bookmarkStart w:id="284" w:name="_Toc480465438"/>
      <w:bookmarkStart w:id="285" w:name="_Toc448480304"/>
      <w:bookmarkStart w:id="286" w:name="_Toc438654092"/>
      <w:bookmarkStart w:id="287" w:name="_Toc456107137"/>
      <w:bookmarkStart w:id="288" w:name="_Toc459213783"/>
      <w:bookmarkStart w:id="289" w:name="_Toc513542667"/>
      <w:bookmarkStart w:id="290" w:name="_Toc512696269"/>
      <w:bookmarkStart w:id="291" w:name="_Toc512612272"/>
      <w:bookmarkStart w:id="292" w:name="_Toc512612096"/>
      <w:bookmarkStart w:id="293" w:name="_Toc512611300"/>
      <w:bookmarkStart w:id="294" w:name="m507"/>
      <w:bookmarkEnd w:id="282"/>
      <w:proofErr w:type="spellStart"/>
      <w:r>
        <w:rPr>
          <w:rFonts w:eastAsia="宋体" w:hint="eastAsia"/>
        </w:rPr>
        <w:t>报告期末按公允价值占基金资产净值比例大小排名的前十名资产支持证券投资明细</w:t>
      </w:r>
      <w:bookmarkEnd w:id="283"/>
      <w:bookmarkEnd w:id="284"/>
      <w:bookmarkEnd w:id="285"/>
      <w:bookmarkEnd w:id="286"/>
      <w:bookmarkEnd w:id="287"/>
      <w:bookmarkEnd w:id="288"/>
      <w:proofErr w:type="spellEnd"/>
      <w:r>
        <w:rPr>
          <w:rFonts w:hint="eastAsia"/>
        </w:rPr>
        <w:t xml:space="preserve"> </w:t>
      </w:r>
      <w:bookmarkEnd w:id="289"/>
      <w:bookmarkEnd w:id="290"/>
      <w:bookmarkEnd w:id="291"/>
      <w:bookmarkEnd w:id="292"/>
      <w:bookmarkEnd w:id="293"/>
    </w:p>
    <w:p w:rsidR="007C555E" w:rsidRDefault="00421B21">
      <w:pPr>
        <w:spacing w:line="360" w:lineRule="auto"/>
        <w:ind w:firstLineChars="200" w:firstLine="420"/>
        <w:jc w:val="left"/>
        <w:divId w:val="232935373"/>
      </w:pPr>
      <w:r>
        <w:rPr>
          <w:rFonts w:ascii="宋体" w:hAnsi="宋体" w:hint="eastAsia"/>
          <w:color w:val="000000"/>
          <w:szCs w:val="21"/>
          <w:lang w:eastAsia="zh-Hans"/>
        </w:rPr>
        <w:t>本基金本报告期末未持有资产支持证券。</w:t>
      </w:r>
    </w:p>
    <w:p w:rsidR="007C555E" w:rsidRDefault="00421B21">
      <w:pPr>
        <w:pStyle w:val="XBRLTitle2"/>
        <w:spacing w:before="156" w:line="360" w:lineRule="auto"/>
        <w:ind w:left="454"/>
      </w:pPr>
      <w:bookmarkStart w:id="295" w:name="_Toc514088267"/>
      <w:bookmarkStart w:id="296" w:name="_Toc480465439"/>
      <w:bookmarkStart w:id="297" w:name="_Toc459213784"/>
      <w:bookmarkStart w:id="298" w:name="_Toc456107138"/>
      <w:bookmarkStart w:id="299" w:name="_Toc438654093"/>
      <w:bookmarkStart w:id="300" w:name="_Toc448480305"/>
      <w:bookmarkStart w:id="301" w:name="_Toc513542668"/>
      <w:bookmarkStart w:id="302" w:name="_Toc512696270"/>
      <w:bookmarkStart w:id="303" w:name="_Toc512612273"/>
      <w:bookmarkStart w:id="304" w:name="_Toc512612097"/>
      <w:bookmarkStart w:id="305" w:name="_Toc512611301"/>
      <w:bookmarkStart w:id="306" w:name="m508"/>
      <w:bookmarkEnd w:id="294"/>
      <w:proofErr w:type="spellStart"/>
      <w:r>
        <w:rPr>
          <w:rFonts w:eastAsia="宋体" w:hint="eastAsia"/>
        </w:rPr>
        <w:t>报告期末按公允价值占基金资产净值比例大小排名的前五名金融衍生品投资明细</w:t>
      </w:r>
      <w:bookmarkEnd w:id="295"/>
      <w:bookmarkEnd w:id="296"/>
      <w:bookmarkEnd w:id="297"/>
      <w:bookmarkEnd w:id="298"/>
      <w:bookmarkEnd w:id="299"/>
      <w:bookmarkEnd w:id="300"/>
      <w:proofErr w:type="spellEnd"/>
      <w:r>
        <w:rPr>
          <w:rFonts w:hint="eastAsia"/>
        </w:rPr>
        <w:t xml:space="preserve"> </w:t>
      </w:r>
      <w:bookmarkEnd w:id="301"/>
      <w:bookmarkEnd w:id="302"/>
      <w:bookmarkEnd w:id="303"/>
      <w:bookmarkEnd w:id="304"/>
      <w:bookmarkEnd w:id="305"/>
    </w:p>
    <w:p w:rsidR="007C555E" w:rsidRDefault="00421B21">
      <w:pPr>
        <w:spacing w:line="360" w:lineRule="auto"/>
        <w:ind w:firstLineChars="200" w:firstLine="420"/>
        <w:divId w:val="4133944"/>
      </w:pPr>
      <w:bookmarkStart w:id="307" w:name="m08QD_09"/>
      <w:bookmarkEnd w:id="242"/>
      <w:r>
        <w:rPr>
          <w:rFonts w:ascii="宋体" w:hAnsi="宋体" w:hint="eastAsia"/>
          <w:szCs w:val="24"/>
          <w:lang w:eastAsia="zh-Hans"/>
        </w:rPr>
        <w:t>本基金本报告期末未持有金融衍生品。</w:t>
      </w:r>
      <w:r>
        <w:rPr>
          <w:rFonts w:ascii="宋体" w:hAnsi="宋体" w:hint="eastAsia"/>
          <w:lang w:eastAsia="zh-Hans"/>
        </w:rPr>
        <w:t xml:space="preserve"> </w:t>
      </w:r>
      <w:r>
        <w:rPr>
          <w:rFonts w:ascii="宋体" w:hAnsi="宋体" w:hint="eastAsia"/>
          <w:szCs w:val="24"/>
          <w:lang w:eastAsia="zh-Hans"/>
        </w:rPr>
        <w:t xml:space="preserve"> </w:t>
      </w:r>
      <w:bookmarkEnd w:id="307"/>
      <w:r>
        <w:rPr>
          <w:rFonts w:ascii="宋体" w:hAnsi="宋体" w:hint="eastAsia"/>
          <w:szCs w:val="24"/>
          <w:lang w:eastAsia="zh-Hans"/>
        </w:rPr>
        <w:t xml:space="preserve"> </w:t>
      </w:r>
    </w:p>
    <w:p w:rsidR="007C555E" w:rsidRDefault="00421B21">
      <w:pPr>
        <w:pStyle w:val="XBRLTitle2"/>
        <w:spacing w:before="156" w:line="360" w:lineRule="auto"/>
        <w:ind w:left="454"/>
      </w:pPr>
      <w:bookmarkStart w:id="308" w:name="_Toc514088268"/>
      <w:bookmarkStart w:id="309" w:name="_Toc480465440"/>
      <w:bookmarkStart w:id="310" w:name="_Toc459213785"/>
      <w:bookmarkStart w:id="311" w:name="_Toc456107139"/>
      <w:bookmarkStart w:id="312" w:name="_Toc438654094"/>
      <w:bookmarkStart w:id="313" w:name="_Toc448480306"/>
      <w:bookmarkStart w:id="314" w:name="_Toc513542669"/>
      <w:bookmarkStart w:id="315" w:name="_Toc512696271"/>
      <w:bookmarkStart w:id="316" w:name="_Toc512612274"/>
      <w:bookmarkStart w:id="317" w:name="_Toc512612098"/>
      <w:bookmarkStart w:id="318" w:name="_Toc512611302"/>
      <w:bookmarkStart w:id="319" w:name="m509"/>
      <w:bookmarkEnd w:id="306"/>
      <w:proofErr w:type="spellStart"/>
      <w:r>
        <w:rPr>
          <w:rFonts w:eastAsia="宋体" w:hint="eastAsia"/>
        </w:rPr>
        <w:t>报告期末按公允价值占基金资产净值比例大小排序的前十名基金投资明细</w:t>
      </w:r>
      <w:bookmarkEnd w:id="308"/>
      <w:bookmarkEnd w:id="309"/>
      <w:bookmarkEnd w:id="310"/>
      <w:bookmarkEnd w:id="311"/>
      <w:bookmarkEnd w:id="312"/>
      <w:bookmarkEnd w:id="313"/>
      <w:proofErr w:type="spellEnd"/>
      <w:r>
        <w:rPr>
          <w:rFonts w:hint="eastAsia"/>
        </w:rPr>
        <w:t xml:space="preserve"> </w:t>
      </w:r>
      <w:bookmarkEnd w:id="314"/>
      <w:bookmarkEnd w:id="315"/>
      <w:bookmarkEnd w:id="316"/>
      <w:bookmarkEnd w:id="317"/>
      <w:bookmarkEnd w:id="318"/>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1115"/>
        <w:gridCol w:w="1181"/>
        <w:gridCol w:w="1100"/>
        <w:gridCol w:w="1174"/>
        <w:gridCol w:w="1266"/>
        <w:gridCol w:w="1686"/>
        <w:gridCol w:w="1313"/>
      </w:tblGrid>
      <w:tr w:rsidR="007C555E">
        <w:trPr>
          <w:divId w:val="1851336964"/>
          <w:trHeight w:val="1153"/>
        </w:trPr>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7C555E" w:rsidRDefault="00421B21">
            <w:pPr>
              <w:pStyle w:val="a5"/>
              <w:spacing w:before="0" w:beforeAutospacing="0" w:after="0" w:afterAutospacing="0"/>
              <w:ind w:firstLineChars="50" w:firstLine="105"/>
              <w:jc w:val="center"/>
            </w:pPr>
            <w:bookmarkStart w:id="320" w:name="m08QD_10"/>
            <w:r>
              <w:rPr>
                <w:rFonts w:hint="eastAsia"/>
                <w:kern w:val="2"/>
                <w:sz w:val="21"/>
              </w:rPr>
              <w:t>序号</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rPr>
              <w:t>基金名称</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rPr>
              <w:t>基金类型</w:t>
            </w:r>
            <w:r>
              <w:rPr>
                <w:rFonts w:hint="eastAsia"/>
                <w:kern w:val="2"/>
                <w:sz w:val="21"/>
                <w:lang w:eastAsia="zh-Hans"/>
              </w:rPr>
              <w:t xml:space="preserve"> </w:t>
            </w:r>
          </w:p>
        </w:tc>
        <w:tc>
          <w:tcPr>
            <w:tcW w:w="1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rPr>
              <w:t>运作方式</w:t>
            </w:r>
            <w:r>
              <w:rPr>
                <w:rFonts w:hint="eastAsia"/>
                <w:kern w:val="2"/>
                <w:sz w:val="21"/>
                <w:lang w:eastAsia="zh-Hans"/>
              </w:rPr>
              <w:t xml:space="preserve"> </w:t>
            </w:r>
          </w:p>
        </w:tc>
        <w:tc>
          <w:tcPr>
            <w:tcW w:w="12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rPr>
              <w:t>管理人</w:t>
            </w:r>
            <w:r>
              <w:rPr>
                <w:rFonts w:hint="eastAsia"/>
                <w:kern w:val="2"/>
                <w:sz w:val="21"/>
                <w:lang w:eastAsia="zh-Hans"/>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rPr>
              <w:t>公允价值（人民币元）</w:t>
            </w:r>
            <w:r>
              <w:rPr>
                <w:rFonts w:hint="eastAsia"/>
                <w:kern w:val="2"/>
                <w:sz w:val="21"/>
                <w:lang w:eastAsia="zh-Hans"/>
              </w:rPr>
              <w:t xml:space="preserve"> </w:t>
            </w:r>
          </w:p>
        </w:tc>
        <w:tc>
          <w:tcPr>
            <w:tcW w:w="13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rPr>
              <w:t>占基金资产净值比例（%）</w:t>
            </w:r>
            <w:r>
              <w:rPr>
                <w:rFonts w:hint="eastAsia"/>
                <w:kern w:val="2"/>
                <w:sz w:val="21"/>
                <w:lang w:eastAsia="zh-Hans"/>
              </w:rPr>
              <w:t xml:space="preserve"> </w:t>
            </w:r>
          </w:p>
        </w:tc>
      </w:tr>
      <w:tr w:rsidR="007C555E">
        <w:trPr>
          <w:divId w:val="1851336964"/>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ind w:firstLineChars="50" w:firstLine="105"/>
              <w:jc w:val="center"/>
            </w:pPr>
            <w:r>
              <w:rPr>
                <w:rFonts w:hint="eastAsia"/>
                <w:kern w:val="2"/>
                <w:sz w:val="21"/>
                <w:lang w:eastAsia="zh-Hans"/>
              </w:rPr>
              <w:t>1</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JPMI GLOBAL SELECT EQ - I ACC $</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股票型</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契约型开放式</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 xml:space="preserve">JPMorgan Asset Management (Europe) S.á </w:t>
            </w:r>
            <w:proofErr w:type="spellStart"/>
            <w:r>
              <w:rPr>
                <w:rFonts w:hint="eastAsia"/>
                <w:kern w:val="2"/>
                <w:sz w:val="21"/>
                <w:lang w:eastAsia="zh-Hans"/>
              </w:rPr>
              <w:t>r.l</w:t>
            </w:r>
            <w:proofErr w:type="spellEnd"/>
            <w:r>
              <w:rPr>
                <w:rFonts w:hint="eastAsia"/>
                <w:kern w:val="2"/>
                <w:sz w:val="21"/>
                <w:lang w:eastAsia="zh-Hans"/>
              </w:rPr>
              <w:t>.</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right"/>
            </w:pPr>
            <w:r>
              <w:rPr>
                <w:rFonts w:hint="eastAsia"/>
                <w:kern w:val="2"/>
                <w:sz w:val="21"/>
                <w:lang w:eastAsia="zh-Hans"/>
              </w:rPr>
              <w:t>134,109,896.06</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right"/>
            </w:pPr>
            <w:r>
              <w:rPr>
                <w:rFonts w:hint="eastAsia"/>
                <w:kern w:val="2"/>
                <w:sz w:val="21"/>
                <w:lang w:eastAsia="zh-Hans"/>
              </w:rPr>
              <w:t>17.55</w:t>
            </w:r>
          </w:p>
        </w:tc>
      </w:tr>
      <w:tr w:rsidR="007C555E">
        <w:trPr>
          <w:divId w:val="1851336964"/>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ind w:firstLineChars="50" w:firstLine="105"/>
              <w:jc w:val="center"/>
            </w:pPr>
            <w:r>
              <w:rPr>
                <w:rFonts w:hint="eastAsia"/>
                <w:kern w:val="2"/>
                <w:sz w:val="21"/>
                <w:lang w:eastAsia="zh-Hans"/>
              </w:rPr>
              <w:t>2</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JPM GLOB CORP BD I (ACC) USD</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债券型</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契约型开放式</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JF Asset Management Limited (Part of the JPMorgan Chase &amp; Co, group of companies)</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right"/>
            </w:pPr>
            <w:r>
              <w:rPr>
                <w:rFonts w:hint="eastAsia"/>
                <w:kern w:val="2"/>
                <w:sz w:val="21"/>
                <w:lang w:eastAsia="zh-Hans"/>
              </w:rPr>
              <w:t>89,550,372.17</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right"/>
            </w:pPr>
            <w:r>
              <w:rPr>
                <w:rFonts w:hint="eastAsia"/>
                <w:kern w:val="2"/>
                <w:sz w:val="21"/>
                <w:lang w:eastAsia="zh-Hans"/>
              </w:rPr>
              <w:t>11.72</w:t>
            </w:r>
          </w:p>
        </w:tc>
      </w:tr>
      <w:tr w:rsidR="007C555E">
        <w:trPr>
          <w:divId w:val="1851336964"/>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ind w:firstLineChars="50" w:firstLine="105"/>
              <w:jc w:val="center"/>
            </w:pPr>
            <w:r>
              <w:rPr>
                <w:rFonts w:hint="eastAsia"/>
                <w:kern w:val="2"/>
                <w:sz w:val="21"/>
                <w:lang w:eastAsia="zh-Hans"/>
              </w:rPr>
              <w:t>3</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JPM US VALUE I (ACC) - USD</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股票型</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契约型开放式</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 xml:space="preserve">JPMorgan Asset Management (Europe) S.á </w:t>
            </w:r>
            <w:proofErr w:type="spellStart"/>
            <w:r>
              <w:rPr>
                <w:rFonts w:hint="eastAsia"/>
                <w:kern w:val="2"/>
                <w:sz w:val="21"/>
                <w:lang w:eastAsia="zh-Hans"/>
              </w:rPr>
              <w:t>r.l</w:t>
            </w:r>
            <w:proofErr w:type="spellEnd"/>
            <w:r>
              <w:rPr>
                <w:rFonts w:hint="eastAsia"/>
                <w:kern w:val="2"/>
                <w:sz w:val="21"/>
                <w:lang w:eastAsia="zh-Hans"/>
              </w:rPr>
              <w:t>.</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right"/>
            </w:pPr>
            <w:r>
              <w:rPr>
                <w:rFonts w:hint="eastAsia"/>
                <w:kern w:val="2"/>
                <w:sz w:val="21"/>
                <w:lang w:eastAsia="zh-Hans"/>
              </w:rPr>
              <w:t>72,275,899.21</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right"/>
            </w:pPr>
            <w:r>
              <w:rPr>
                <w:rFonts w:hint="eastAsia"/>
                <w:kern w:val="2"/>
                <w:sz w:val="21"/>
                <w:lang w:eastAsia="zh-Hans"/>
              </w:rPr>
              <w:t>9.46</w:t>
            </w:r>
          </w:p>
        </w:tc>
      </w:tr>
      <w:tr w:rsidR="007C555E">
        <w:trPr>
          <w:divId w:val="1851336964"/>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ind w:firstLineChars="50" w:firstLine="105"/>
              <w:jc w:val="center"/>
            </w:pPr>
            <w:r>
              <w:rPr>
                <w:rFonts w:hint="eastAsia"/>
                <w:kern w:val="2"/>
                <w:sz w:val="21"/>
                <w:lang w:eastAsia="zh-Hans"/>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JPMORGAN SAR-GLOBAL BD FD-C</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债券型</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契约型开放式</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 xml:space="preserve">JPMorgan Asset Management (Europe) S.á </w:t>
            </w:r>
            <w:proofErr w:type="spellStart"/>
            <w:r>
              <w:rPr>
                <w:rFonts w:hint="eastAsia"/>
                <w:kern w:val="2"/>
                <w:sz w:val="21"/>
                <w:lang w:eastAsia="zh-Hans"/>
              </w:rPr>
              <w:t>r.l</w:t>
            </w:r>
            <w:proofErr w:type="spellEnd"/>
            <w:r>
              <w:rPr>
                <w:rFonts w:hint="eastAsia"/>
                <w:kern w:val="2"/>
                <w:sz w:val="21"/>
                <w:lang w:eastAsia="zh-Hans"/>
              </w:rPr>
              <w:t>.</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right"/>
            </w:pPr>
            <w:r>
              <w:rPr>
                <w:rFonts w:hint="eastAsia"/>
                <w:kern w:val="2"/>
                <w:sz w:val="21"/>
                <w:lang w:eastAsia="zh-Hans"/>
              </w:rPr>
              <w:t>60,889,148.54</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right"/>
            </w:pPr>
            <w:r>
              <w:rPr>
                <w:rFonts w:hint="eastAsia"/>
                <w:kern w:val="2"/>
                <w:sz w:val="21"/>
                <w:lang w:eastAsia="zh-Hans"/>
              </w:rPr>
              <w:t>7.97</w:t>
            </w:r>
          </w:p>
        </w:tc>
      </w:tr>
      <w:tr w:rsidR="007C555E">
        <w:trPr>
          <w:divId w:val="1851336964"/>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ind w:firstLineChars="50" w:firstLine="105"/>
              <w:jc w:val="center"/>
            </w:pPr>
            <w:r>
              <w:rPr>
                <w:rFonts w:hint="eastAsia"/>
                <w:kern w:val="2"/>
                <w:sz w:val="21"/>
                <w:lang w:eastAsia="zh-Hans"/>
              </w:rPr>
              <w:t>5</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 xml:space="preserve">JPM US GROWTH I </w:t>
            </w:r>
            <w:r>
              <w:rPr>
                <w:rFonts w:hint="eastAsia"/>
                <w:kern w:val="2"/>
                <w:sz w:val="21"/>
                <w:lang w:eastAsia="zh-Hans"/>
              </w:rPr>
              <w:lastRenderedPageBreak/>
              <w:t>(ACC) - USD</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lastRenderedPageBreak/>
              <w:t>股票型</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契约型开放式</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 xml:space="preserve">JPMorgan Asset Management </w:t>
            </w:r>
            <w:r>
              <w:rPr>
                <w:rFonts w:hint="eastAsia"/>
                <w:kern w:val="2"/>
                <w:sz w:val="21"/>
                <w:lang w:eastAsia="zh-Hans"/>
              </w:rPr>
              <w:lastRenderedPageBreak/>
              <w:t xml:space="preserve">(Europe) S.á </w:t>
            </w:r>
            <w:proofErr w:type="spellStart"/>
            <w:r>
              <w:rPr>
                <w:rFonts w:hint="eastAsia"/>
                <w:kern w:val="2"/>
                <w:sz w:val="21"/>
                <w:lang w:eastAsia="zh-Hans"/>
              </w:rPr>
              <w:t>r.l</w:t>
            </w:r>
            <w:proofErr w:type="spellEnd"/>
            <w:r>
              <w:rPr>
                <w:rFonts w:hint="eastAsia"/>
                <w:kern w:val="2"/>
                <w:sz w:val="21"/>
                <w:lang w:eastAsia="zh-Hans"/>
              </w:rPr>
              <w:t>.</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right"/>
            </w:pPr>
            <w:r>
              <w:rPr>
                <w:rFonts w:hint="eastAsia"/>
                <w:kern w:val="2"/>
                <w:sz w:val="21"/>
                <w:lang w:eastAsia="zh-Hans"/>
              </w:rPr>
              <w:lastRenderedPageBreak/>
              <w:t>49,309,863.19</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right"/>
            </w:pPr>
            <w:r>
              <w:rPr>
                <w:rFonts w:hint="eastAsia"/>
                <w:kern w:val="2"/>
                <w:sz w:val="21"/>
                <w:lang w:eastAsia="zh-Hans"/>
              </w:rPr>
              <w:t>6.45</w:t>
            </w:r>
          </w:p>
        </w:tc>
      </w:tr>
      <w:tr w:rsidR="007C555E">
        <w:trPr>
          <w:divId w:val="1851336964"/>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ind w:firstLineChars="50" w:firstLine="105"/>
              <w:jc w:val="center"/>
            </w:pPr>
            <w:r>
              <w:rPr>
                <w:rFonts w:hint="eastAsia"/>
                <w:kern w:val="2"/>
                <w:sz w:val="21"/>
                <w:lang w:eastAsia="zh-Hans"/>
              </w:rPr>
              <w:t>6</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JPM US AGGR BOND I (ACC)-USD</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债券型</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契约型开放式</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 xml:space="preserve">JPMorgan Asset Management (Europe) S.á </w:t>
            </w:r>
            <w:proofErr w:type="spellStart"/>
            <w:r>
              <w:rPr>
                <w:rFonts w:hint="eastAsia"/>
                <w:kern w:val="2"/>
                <w:sz w:val="21"/>
                <w:lang w:eastAsia="zh-Hans"/>
              </w:rPr>
              <w:t>r.l</w:t>
            </w:r>
            <w:proofErr w:type="spellEnd"/>
            <w:r>
              <w:rPr>
                <w:rFonts w:hint="eastAsia"/>
                <w:kern w:val="2"/>
                <w:sz w:val="21"/>
                <w:lang w:eastAsia="zh-Hans"/>
              </w:rPr>
              <w:t>.</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right"/>
            </w:pPr>
            <w:r>
              <w:rPr>
                <w:rFonts w:hint="eastAsia"/>
                <w:kern w:val="2"/>
                <w:sz w:val="21"/>
                <w:lang w:eastAsia="zh-Hans"/>
              </w:rPr>
              <w:t>46,047,445.23</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right"/>
            </w:pPr>
            <w:r>
              <w:rPr>
                <w:rFonts w:hint="eastAsia"/>
                <w:kern w:val="2"/>
                <w:sz w:val="21"/>
                <w:lang w:eastAsia="zh-Hans"/>
              </w:rPr>
              <w:t>6.03</w:t>
            </w:r>
          </w:p>
        </w:tc>
      </w:tr>
      <w:tr w:rsidR="007C555E">
        <w:trPr>
          <w:divId w:val="1851336964"/>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ind w:firstLineChars="50" w:firstLine="105"/>
              <w:jc w:val="center"/>
            </w:pPr>
            <w:r>
              <w:rPr>
                <w:rFonts w:hint="eastAsia"/>
                <w:kern w:val="2"/>
                <w:sz w:val="21"/>
                <w:lang w:eastAsia="zh-Hans"/>
              </w:rPr>
              <w:t>7</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JPM US SEL EQ I (ACC)-USD</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股票型</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契约型开放式</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 xml:space="preserve">JPMorgan Asset Management (Europe) S.á </w:t>
            </w:r>
            <w:proofErr w:type="spellStart"/>
            <w:r>
              <w:rPr>
                <w:rFonts w:hint="eastAsia"/>
                <w:kern w:val="2"/>
                <w:sz w:val="21"/>
                <w:lang w:eastAsia="zh-Hans"/>
              </w:rPr>
              <w:t>r.l</w:t>
            </w:r>
            <w:proofErr w:type="spellEnd"/>
            <w:r>
              <w:rPr>
                <w:rFonts w:hint="eastAsia"/>
                <w:kern w:val="2"/>
                <w:sz w:val="21"/>
                <w:lang w:eastAsia="zh-Hans"/>
              </w:rPr>
              <w:t>.</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right"/>
            </w:pPr>
            <w:r>
              <w:rPr>
                <w:rFonts w:hint="eastAsia"/>
                <w:kern w:val="2"/>
                <w:sz w:val="21"/>
                <w:lang w:eastAsia="zh-Hans"/>
              </w:rPr>
              <w:t>42,592,392.95</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right"/>
            </w:pPr>
            <w:r>
              <w:rPr>
                <w:rFonts w:hint="eastAsia"/>
                <w:kern w:val="2"/>
                <w:sz w:val="21"/>
                <w:lang w:eastAsia="zh-Hans"/>
              </w:rPr>
              <w:t>5.57</w:t>
            </w:r>
          </w:p>
        </w:tc>
      </w:tr>
      <w:tr w:rsidR="007C555E">
        <w:trPr>
          <w:divId w:val="1851336964"/>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ind w:firstLineChars="50" w:firstLine="105"/>
              <w:jc w:val="center"/>
            </w:pPr>
            <w:r>
              <w:rPr>
                <w:rFonts w:hint="eastAsia"/>
                <w:kern w:val="2"/>
                <w:sz w:val="21"/>
                <w:lang w:eastAsia="zh-Hans"/>
              </w:rPr>
              <w:t>8</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JPM EME MKT OPPS I(ACC)-USD</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股票型</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契约型开放式</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 xml:space="preserve">JPMorgan Asset Management (Europe) S.á </w:t>
            </w:r>
            <w:proofErr w:type="spellStart"/>
            <w:r>
              <w:rPr>
                <w:rFonts w:hint="eastAsia"/>
                <w:kern w:val="2"/>
                <w:sz w:val="21"/>
                <w:lang w:eastAsia="zh-Hans"/>
              </w:rPr>
              <w:t>r.l</w:t>
            </w:r>
            <w:proofErr w:type="spellEnd"/>
            <w:r>
              <w:rPr>
                <w:rFonts w:hint="eastAsia"/>
                <w:kern w:val="2"/>
                <w:sz w:val="21"/>
                <w:lang w:eastAsia="zh-Hans"/>
              </w:rPr>
              <w:t>.</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right"/>
            </w:pPr>
            <w:r>
              <w:rPr>
                <w:rFonts w:hint="eastAsia"/>
                <w:kern w:val="2"/>
                <w:sz w:val="21"/>
                <w:lang w:eastAsia="zh-Hans"/>
              </w:rPr>
              <w:t>35,696,154.80</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right"/>
            </w:pPr>
            <w:r>
              <w:rPr>
                <w:rFonts w:hint="eastAsia"/>
                <w:kern w:val="2"/>
                <w:sz w:val="21"/>
                <w:lang w:eastAsia="zh-Hans"/>
              </w:rPr>
              <w:t>4.67</w:t>
            </w:r>
          </w:p>
        </w:tc>
      </w:tr>
      <w:tr w:rsidR="007C555E">
        <w:trPr>
          <w:divId w:val="1851336964"/>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ind w:firstLineChars="50" w:firstLine="105"/>
              <w:jc w:val="center"/>
            </w:pPr>
            <w:r>
              <w:rPr>
                <w:rFonts w:hint="eastAsia"/>
                <w:kern w:val="2"/>
                <w:sz w:val="21"/>
                <w:lang w:eastAsia="zh-Hans"/>
              </w:rPr>
              <w:t>9</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JPM ASIA PAC EQ I(ACC)-USD</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股票型</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契约型开放式</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 xml:space="preserve">JPMorgan Asset Management (Europe) S.á </w:t>
            </w:r>
            <w:proofErr w:type="spellStart"/>
            <w:r>
              <w:rPr>
                <w:rFonts w:hint="eastAsia"/>
                <w:kern w:val="2"/>
                <w:sz w:val="21"/>
                <w:lang w:eastAsia="zh-Hans"/>
              </w:rPr>
              <w:t>r.l</w:t>
            </w:r>
            <w:proofErr w:type="spellEnd"/>
            <w:r>
              <w:rPr>
                <w:rFonts w:hint="eastAsia"/>
                <w:kern w:val="2"/>
                <w:sz w:val="21"/>
                <w:lang w:eastAsia="zh-Hans"/>
              </w:rPr>
              <w:t>.</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right"/>
            </w:pPr>
            <w:r>
              <w:rPr>
                <w:rFonts w:hint="eastAsia"/>
                <w:kern w:val="2"/>
                <w:sz w:val="21"/>
                <w:lang w:eastAsia="zh-Hans"/>
              </w:rPr>
              <w:t>30,111,530.56</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right"/>
            </w:pPr>
            <w:r>
              <w:rPr>
                <w:rFonts w:hint="eastAsia"/>
                <w:kern w:val="2"/>
                <w:sz w:val="21"/>
                <w:lang w:eastAsia="zh-Hans"/>
              </w:rPr>
              <w:t>3.94</w:t>
            </w:r>
          </w:p>
        </w:tc>
      </w:tr>
      <w:tr w:rsidR="007C555E">
        <w:trPr>
          <w:divId w:val="1851336964"/>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ind w:firstLineChars="50" w:firstLine="105"/>
              <w:jc w:val="center"/>
            </w:pPr>
            <w:r>
              <w:rPr>
                <w:rFonts w:hint="eastAsia"/>
                <w:kern w:val="2"/>
                <w:sz w:val="21"/>
                <w:lang w:eastAsia="zh-Hans"/>
              </w:rPr>
              <w:t>10</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JPM EUR DYNAMIC I (ACC) - USDHED</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股票型</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契约型开放式</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center"/>
            </w:pPr>
            <w:r>
              <w:rPr>
                <w:rFonts w:hint="eastAsia"/>
                <w:kern w:val="2"/>
                <w:sz w:val="21"/>
                <w:lang w:eastAsia="zh-Hans"/>
              </w:rPr>
              <w:t xml:space="preserve">JPMorgan Asset Management (Europe) S.á </w:t>
            </w:r>
            <w:proofErr w:type="spellStart"/>
            <w:r>
              <w:rPr>
                <w:rFonts w:hint="eastAsia"/>
                <w:kern w:val="2"/>
                <w:sz w:val="21"/>
                <w:lang w:eastAsia="zh-Hans"/>
              </w:rPr>
              <w:t>r.l</w:t>
            </w:r>
            <w:proofErr w:type="spellEnd"/>
            <w:r>
              <w:rPr>
                <w:rFonts w:hint="eastAsia"/>
                <w:kern w:val="2"/>
                <w:sz w:val="21"/>
                <w:lang w:eastAsia="zh-Hans"/>
              </w:rPr>
              <w:t>.</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right"/>
            </w:pPr>
            <w:r>
              <w:rPr>
                <w:rFonts w:hint="eastAsia"/>
                <w:kern w:val="2"/>
                <w:sz w:val="21"/>
                <w:lang w:eastAsia="zh-Hans"/>
              </w:rPr>
              <w:t>27,032,614.23</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C555E" w:rsidRDefault="00421B21">
            <w:pPr>
              <w:pStyle w:val="a5"/>
              <w:spacing w:before="0" w:beforeAutospacing="0" w:after="0" w:afterAutospacing="0"/>
              <w:jc w:val="right"/>
            </w:pPr>
            <w:r>
              <w:rPr>
                <w:rFonts w:hint="eastAsia"/>
                <w:kern w:val="2"/>
                <w:sz w:val="21"/>
                <w:lang w:eastAsia="zh-Hans"/>
              </w:rPr>
              <w:t>3.54</w:t>
            </w:r>
            <w:bookmarkEnd w:id="207"/>
            <w:bookmarkEnd w:id="208"/>
            <w:bookmarkEnd w:id="209"/>
            <w:bookmarkEnd w:id="210"/>
            <w:bookmarkEnd w:id="320"/>
          </w:p>
        </w:tc>
      </w:tr>
    </w:tbl>
    <w:p w:rsidR="007C555E" w:rsidRDefault="00421B21">
      <w:pPr>
        <w:pStyle w:val="XBRLTitle2"/>
        <w:spacing w:before="156" w:line="360" w:lineRule="auto"/>
        <w:ind w:left="454"/>
      </w:pPr>
      <w:bookmarkStart w:id="321" w:name="_Toc514088269"/>
      <w:bookmarkEnd w:id="319"/>
      <w:proofErr w:type="spellStart"/>
      <w:r>
        <w:rPr>
          <w:rFonts w:eastAsia="宋体" w:hint="eastAsia"/>
        </w:rPr>
        <w:t>投资组合报告附注</w:t>
      </w:r>
      <w:bookmarkEnd w:id="321"/>
      <w:bookmarkEnd w:id="244"/>
      <w:bookmarkEnd w:id="245"/>
      <w:bookmarkEnd w:id="246"/>
      <w:bookmarkEnd w:id="247"/>
      <w:bookmarkEnd w:id="248"/>
      <w:bookmarkEnd w:id="249"/>
      <w:bookmarkEnd w:id="250"/>
      <w:bookmarkEnd w:id="251"/>
      <w:bookmarkEnd w:id="252"/>
      <w:bookmarkEnd w:id="253"/>
      <w:proofErr w:type="spellEnd"/>
      <w:r>
        <w:rPr>
          <w:rFonts w:eastAsia="宋体" w:hint="eastAsia"/>
        </w:rPr>
        <w:t xml:space="preserve"> </w:t>
      </w:r>
    </w:p>
    <w:p w:rsidR="007C555E" w:rsidRDefault="00421B21">
      <w:pPr>
        <w:pStyle w:val="XBRLTitle3"/>
        <w:spacing w:before="156" w:line="360" w:lineRule="auto"/>
        <w:ind w:left="624"/>
      </w:pPr>
      <w:r>
        <w:rPr>
          <w:rFonts w:hAnsi="宋体" w:hint="eastAsia"/>
          <w:lang w:eastAsia="zh-CN"/>
        </w:rPr>
        <w:t xml:space="preserve"> </w:t>
      </w:r>
      <w:bookmarkStart w:id="322" w:name="_Toc514088270"/>
      <w:bookmarkEnd w:id="322"/>
      <w:bookmarkEnd w:id="256"/>
      <w:bookmarkEnd w:id="257"/>
      <w:r>
        <w:rPr>
          <w:rFonts w:hAnsi="宋体" w:hint="eastAsia"/>
        </w:rPr>
        <w:t xml:space="preserve"> </w:t>
      </w:r>
    </w:p>
    <w:p w:rsidR="007C555E" w:rsidRDefault="00421B21">
      <w:pPr>
        <w:spacing w:line="360" w:lineRule="auto"/>
        <w:ind w:firstLineChars="200" w:firstLine="420"/>
      </w:pPr>
      <w:r>
        <w:rPr>
          <w:rFonts w:ascii="宋体" w:hAnsi="宋体" w:hint="eastAsia"/>
        </w:rPr>
        <w:t>本基金投资的前十名证券的发行主体</w:t>
      </w:r>
      <w:proofErr w:type="gramStart"/>
      <w:r>
        <w:rPr>
          <w:rFonts w:ascii="宋体" w:hAnsi="宋体" w:hint="eastAsia"/>
        </w:rPr>
        <w:t>本期未</w:t>
      </w:r>
      <w:proofErr w:type="gramEnd"/>
      <w:r>
        <w:rPr>
          <w:rFonts w:ascii="宋体" w:hAnsi="宋体" w:hint="eastAsia"/>
        </w:rPr>
        <w:t>出现被监管部门立案调查，或在报告编制日前一年内受到公开谴责、处罚的情形。</w:t>
      </w:r>
    </w:p>
    <w:p w:rsidR="007C555E" w:rsidRDefault="00421B21">
      <w:pPr>
        <w:pStyle w:val="XBRLTitle3"/>
        <w:spacing w:before="156" w:line="360" w:lineRule="auto"/>
        <w:ind w:left="624"/>
      </w:pPr>
      <w:bookmarkStart w:id="323" w:name="m510_01_1598"/>
      <w:bookmarkEnd w:id="254"/>
      <w:r>
        <w:rPr>
          <w:rFonts w:hAnsi="宋体" w:hint="eastAsia"/>
          <w:lang w:eastAsia="zh-CN"/>
        </w:rPr>
        <w:t xml:space="preserve"> </w:t>
      </w:r>
      <w:bookmarkStart w:id="324" w:name="_Toc514088271"/>
      <w:bookmarkStart w:id="325" w:name="_Toc513542672"/>
      <w:bookmarkStart w:id="326" w:name="_Toc480465443"/>
      <w:bookmarkEnd w:id="324"/>
      <w:bookmarkEnd w:id="325"/>
      <w:bookmarkEnd w:id="326"/>
      <w:r>
        <w:rPr>
          <w:rFonts w:hAnsi="宋体" w:hint="eastAsia"/>
        </w:rPr>
        <w:t xml:space="preserve"> </w:t>
      </w:r>
    </w:p>
    <w:p w:rsidR="007C555E" w:rsidRDefault="00421B21">
      <w:pPr>
        <w:spacing w:line="360" w:lineRule="auto"/>
        <w:ind w:firstLineChars="200" w:firstLine="420"/>
      </w:pPr>
      <w:r>
        <w:rPr>
          <w:rFonts w:ascii="宋体" w:hAnsi="宋体" w:hint="eastAsia"/>
        </w:rPr>
        <w:t>报告期内本基金投资的前十名股票中没有在基金合同规定备选股票库之外的股票。</w:t>
      </w:r>
    </w:p>
    <w:p w:rsidR="007C555E" w:rsidRDefault="00421B21">
      <w:pPr>
        <w:pStyle w:val="XBRLTitle3"/>
        <w:spacing w:before="156" w:line="360" w:lineRule="auto"/>
        <w:ind w:left="624"/>
      </w:pPr>
      <w:bookmarkStart w:id="327" w:name="_Toc514088272"/>
      <w:bookmarkStart w:id="328" w:name="_Toc480465444"/>
      <w:bookmarkStart w:id="329" w:name="_Toc513542673"/>
      <w:bookmarkStart w:id="330" w:name="m510_02"/>
      <w:bookmarkEnd w:id="323"/>
      <w:proofErr w:type="spellStart"/>
      <w:r>
        <w:rPr>
          <w:rFonts w:hAnsi="宋体" w:hint="eastAsia"/>
        </w:rPr>
        <w:t>其他资产构成</w:t>
      </w:r>
      <w:bookmarkEnd w:id="327"/>
      <w:bookmarkEnd w:id="328"/>
      <w:proofErr w:type="spellEnd"/>
      <w:r>
        <w:rPr>
          <w:rFonts w:hint="eastAsia"/>
        </w:rPr>
        <w:t xml:space="preserve"> </w:t>
      </w:r>
      <w:bookmarkEnd w:id="3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7C555E">
        <w:trPr>
          <w:divId w:val="885331931"/>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555E" w:rsidRDefault="00421B21">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555E" w:rsidRDefault="00421B21">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555E" w:rsidRDefault="00421B21">
            <w:pPr>
              <w:jc w:val="center"/>
            </w:pPr>
            <w:r>
              <w:rPr>
                <w:rFonts w:ascii="宋体" w:hAnsi="宋体" w:hint="eastAsia"/>
              </w:rPr>
              <w:t>金额（人民币元）</w:t>
            </w:r>
            <w:r>
              <w:t xml:space="preserve"> </w:t>
            </w:r>
          </w:p>
        </w:tc>
      </w:tr>
      <w:tr w:rsidR="007C555E">
        <w:trPr>
          <w:divId w:val="88533193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jc w:val="right"/>
            </w:pPr>
            <w:r>
              <w:rPr>
                <w:rFonts w:ascii="宋体" w:hAnsi="宋体" w:hint="eastAsia"/>
              </w:rPr>
              <w:t>-</w:t>
            </w:r>
          </w:p>
        </w:tc>
      </w:tr>
      <w:tr w:rsidR="007C555E">
        <w:trPr>
          <w:divId w:val="88533193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jc w:val="right"/>
            </w:pPr>
            <w:r>
              <w:rPr>
                <w:rFonts w:ascii="宋体" w:hAnsi="宋体" w:hint="eastAsia"/>
              </w:rPr>
              <w:t>-</w:t>
            </w:r>
          </w:p>
        </w:tc>
      </w:tr>
      <w:tr w:rsidR="007C555E">
        <w:trPr>
          <w:divId w:val="88533193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jc w:val="right"/>
            </w:pPr>
            <w:r>
              <w:rPr>
                <w:rFonts w:ascii="宋体" w:hAnsi="宋体" w:hint="eastAsia"/>
              </w:rPr>
              <w:t>-</w:t>
            </w:r>
          </w:p>
        </w:tc>
      </w:tr>
      <w:tr w:rsidR="007C555E">
        <w:trPr>
          <w:divId w:val="88533193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jc w:val="right"/>
            </w:pPr>
            <w:r>
              <w:rPr>
                <w:rFonts w:ascii="宋体" w:hAnsi="宋体" w:hint="eastAsia"/>
              </w:rPr>
              <w:t>-</w:t>
            </w:r>
          </w:p>
        </w:tc>
      </w:tr>
      <w:tr w:rsidR="007C555E">
        <w:trPr>
          <w:divId w:val="88533193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jc w:val="center"/>
            </w:pPr>
            <w:r>
              <w:rPr>
                <w:rFonts w:ascii="宋体" w:hAnsi="宋体" w:hint="eastAsia"/>
              </w:rPr>
              <w:lastRenderedPageBreak/>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jc w:val="right"/>
            </w:pPr>
            <w:r>
              <w:rPr>
                <w:rFonts w:ascii="宋体" w:hAnsi="宋体" w:hint="eastAsia"/>
              </w:rPr>
              <w:t>3,221,145.08</w:t>
            </w:r>
          </w:p>
        </w:tc>
      </w:tr>
      <w:tr w:rsidR="007C555E">
        <w:trPr>
          <w:divId w:val="88533193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jc w:val="right"/>
            </w:pPr>
            <w:r>
              <w:rPr>
                <w:rFonts w:ascii="宋体" w:hAnsi="宋体" w:hint="eastAsia"/>
              </w:rPr>
              <w:t>-</w:t>
            </w:r>
          </w:p>
        </w:tc>
      </w:tr>
      <w:tr w:rsidR="007C555E">
        <w:trPr>
          <w:divId w:val="88533193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jc w:val="right"/>
            </w:pPr>
            <w:r>
              <w:rPr>
                <w:rFonts w:ascii="宋体" w:hAnsi="宋体" w:hint="eastAsia"/>
              </w:rPr>
              <w:t>-</w:t>
            </w:r>
          </w:p>
        </w:tc>
      </w:tr>
      <w:tr w:rsidR="007C555E">
        <w:trPr>
          <w:divId w:val="88533193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C555E" w:rsidRDefault="00421B21">
            <w:pPr>
              <w:jc w:val="right"/>
            </w:pPr>
            <w:r>
              <w:rPr>
                <w:rFonts w:ascii="宋体" w:hAnsi="宋体" w:hint="eastAsia"/>
              </w:rPr>
              <w:t>3,221,145.08</w:t>
            </w:r>
          </w:p>
        </w:tc>
      </w:tr>
    </w:tbl>
    <w:p w:rsidR="007C555E" w:rsidRDefault="00421B21">
      <w:pPr>
        <w:pStyle w:val="XBRLTitle3"/>
        <w:spacing w:before="156" w:line="360" w:lineRule="auto"/>
        <w:ind w:left="624"/>
      </w:pPr>
      <w:bookmarkStart w:id="331" w:name="_Toc514088273"/>
      <w:bookmarkStart w:id="332" w:name="_Toc480465445"/>
      <w:bookmarkStart w:id="333" w:name="_Toc513542674"/>
      <w:bookmarkStart w:id="334" w:name="m510_03"/>
      <w:bookmarkEnd w:id="330"/>
      <w:proofErr w:type="spellStart"/>
      <w:r>
        <w:rPr>
          <w:rFonts w:hAnsi="宋体" w:hint="eastAsia"/>
        </w:rPr>
        <w:t>报告期末持有的处于转股期的可转换债券明细</w:t>
      </w:r>
      <w:bookmarkEnd w:id="331"/>
      <w:bookmarkEnd w:id="332"/>
      <w:proofErr w:type="spellEnd"/>
      <w:r>
        <w:rPr>
          <w:rFonts w:hint="eastAsia"/>
        </w:rPr>
        <w:t xml:space="preserve"> </w:t>
      </w:r>
      <w:bookmarkEnd w:id="333"/>
    </w:p>
    <w:p w:rsidR="007C555E" w:rsidRDefault="00421B21">
      <w:pPr>
        <w:spacing w:line="360" w:lineRule="auto"/>
        <w:ind w:firstLineChars="200" w:firstLine="420"/>
        <w:jc w:val="left"/>
        <w:divId w:val="1187213773"/>
      </w:pPr>
      <w:r>
        <w:rPr>
          <w:rFonts w:ascii="宋体" w:hAnsi="宋体" w:hint="eastAsia"/>
        </w:rPr>
        <w:t xml:space="preserve">本基金本报告期末未持有处于转股期的可转换债券。 </w:t>
      </w:r>
    </w:p>
    <w:p w:rsidR="007C555E" w:rsidRDefault="00421B21">
      <w:pPr>
        <w:pStyle w:val="XBRLTitle3"/>
        <w:spacing w:before="156" w:line="360" w:lineRule="auto"/>
        <w:ind w:left="624"/>
      </w:pPr>
      <w:bookmarkStart w:id="335" w:name="_Toc514088274"/>
      <w:bookmarkStart w:id="336" w:name="_Toc480465446"/>
      <w:bookmarkStart w:id="337" w:name="_Toc513542675"/>
      <w:bookmarkStart w:id="338" w:name="m510_04"/>
      <w:bookmarkEnd w:id="334"/>
      <w:proofErr w:type="spellStart"/>
      <w:r>
        <w:rPr>
          <w:rFonts w:hAnsi="宋体" w:hint="eastAsia"/>
        </w:rPr>
        <w:t>报告期末前十名股票中存在流通受限情况的说明</w:t>
      </w:r>
      <w:bookmarkEnd w:id="335"/>
      <w:bookmarkEnd w:id="336"/>
      <w:proofErr w:type="spellEnd"/>
      <w:r>
        <w:rPr>
          <w:rFonts w:hint="eastAsia"/>
        </w:rPr>
        <w:t xml:space="preserve"> </w:t>
      </w:r>
      <w:bookmarkEnd w:id="337"/>
    </w:p>
    <w:p w:rsidR="007C555E" w:rsidRDefault="00421B21">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20"/>
      <w:bookmarkEnd w:id="21"/>
      <w:bookmarkEnd w:id="22"/>
      <w:bookmarkEnd w:id="23"/>
      <w:bookmarkEnd w:id="24"/>
    </w:p>
    <w:p w:rsidR="007C555E" w:rsidRDefault="00421B21">
      <w:pPr>
        <w:pStyle w:val="XBRLTitle3"/>
        <w:spacing w:before="156" w:line="360" w:lineRule="auto"/>
        <w:ind w:left="624"/>
      </w:pPr>
      <w:bookmarkStart w:id="339" w:name="_Toc514088275"/>
      <w:bookmarkStart w:id="340" w:name="_Toc480465447"/>
      <w:bookmarkStart w:id="341" w:name="_Toc513542676"/>
      <w:bookmarkStart w:id="342" w:name="m510_05_1678"/>
      <w:bookmarkEnd w:id="338"/>
      <w:proofErr w:type="spellStart"/>
      <w:r>
        <w:rPr>
          <w:rFonts w:hAnsi="宋体" w:hint="eastAsia"/>
        </w:rPr>
        <w:t>投资组合报告附注的其他文字描述部分</w:t>
      </w:r>
      <w:bookmarkEnd w:id="339"/>
      <w:bookmarkEnd w:id="340"/>
      <w:bookmarkEnd w:id="341"/>
      <w:proofErr w:type="spellEnd"/>
      <w:r>
        <w:rPr>
          <w:rFonts w:hAnsi="宋体" w:hint="eastAsia"/>
        </w:rPr>
        <w:t xml:space="preserve"> </w:t>
      </w:r>
    </w:p>
    <w:p w:rsidR="007C555E" w:rsidRDefault="00421B21">
      <w:pPr>
        <w:spacing w:line="360" w:lineRule="auto"/>
        <w:ind w:firstLineChars="200" w:firstLine="420"/>
        <w:jc w:val="left"/>
      </w:pPr>
      <w:r>
        <w:rPr>
          <w:rFonts w:ascii="宋体" w:hAnsi="宋体" w:hint="eastAsia"/>
        </w:rPr>
        <w:t>因四舍五入原因，投资组合报告中分项之和与合计可能存在尾差。</w:t>
      </w:r>
    </w:p>
    <w:p w:rsidR="007C555E" w:rsidRDefault="00421B21">
      <w:pPr>
        <w:pStyle w:val="XBRLTitle1"/>
        <w:spacing w:before="156"/>
        <w:ind w:left="425"/>
      </w:pPr>
      <w:bookmarkStart w:id="343" w:name="_Toc514088276"/>
      <w:bookmarkStart w:id="344" w:name="_Toc480465448"/>
      <w:bookmarkStart w:id="345" w:name="_Toc448480308"/>
      <w:bookmarkStart w:id="346" w:name="_Toc438654096"/>
      <w:bookmarkStart w:id="347" w:name="_Toc456107141"/>
      <w:bookmarkStart w:id="348" w:name="_Toc459213787"/>
      <w:bookmarkStart w:id="349" w:name="_Toc513542677"/>
      <w:bookmarkStart w:id="350" w:name="_Toc512696273"/>
      <w:bookmarkStart w:id="351" w:name="_Toc512612276"/>
      <w:bookmarkStart w:id="352" w:name="_Toc512612100"/>
      <w:bookmarkStart w:id="353" w:name="_Toc512611304"/>
      <w:bookmarkStart w:id="354" w:name="m601"/>
      <w:proofErr w:type="spellStart"/>
      <w:r>
        <w:rPr>
          <w:rFonts w:hint="eastAsia"/>
        </w:rPr>
        <w:t>开放式基金份额变动</w:t>
      </w:r>
      <w:bookmarkEnd w:id="343"/>
      <w:bookmarkEnd w:id="344"/>
      <w:bookmarkEnd w:id="345"/>
      <w:bookmarkEnd w:id="346"/>
      <w:bookmarkEnd w:id="347"/>
      <w:bookmarkEnd w:id="348"/>
      <w:bookmarkEnd w:id="349"/>
      <w:bookmarkEnd w:id="350"/>
      <w:bookmarkEnd w:id="351"/>
      <w:bookmarkEnd w:id="352"/>
      <w:bookmarkEnd w:id="353"/>
      <w:proofErr w:type="spellEnd"/>
    </w:p>
    <w:p w:rsidR="007C555E" w:rsidRDefault="00421B21">
      <w:pPr>
        <w:wordWrap w:val="0"/>
        <w:spacing w:line="360" w:lineRule="auto"/>
        <w:jc w:val="right"/>
      </w:pPr>
      <w:bookmarkStart w:id="355"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49"/>
        <w:gridCol w:w="2572"/>
      </w:tblGrid>
      <w:tr w:rsidR="007C555E">
        <w:trPr>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7C555E" w:rsidRDefault="00421B21">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bookmarkStart w:id="356" w:name="m10_01" w:colFirst="1" w:colLast="2"/>
            <w:bookmarkStart w:id="357" w:name="m601_tab"/>
            <w:bookmarkEnd w:id="355"/>
            <w:r>
              <w:rPr>
                <w:rFonts w:ascii="宋体" w:hAnsi="宋体" w:cs="Times New Roman"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555E" w:rsidRDefault="00421B21">
            <w:pPr>
              <w:ind w:right="3"/>
              <w:jc w:val="center"/>
            </w:pPr>
            <w:r>
              <w:rPr>
                <w:rFonts w:ascii="宋体" w:hAnsi="宋体" w:hint="eastAsia"/>
                <w:lang w:eastAsia="zh-Hans"/>
              </w:rPr>
              <w:t>摩根全球多元配置(QDII-FOF)人民币A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555E" w:rsidRDefault="00421B21">
            <w:pPr>
              <w:ind w:right="3"/>
              <w:jc w:val="center"/>
            </w:pPr>
            <w:r>
              <w:rPr>
                <w:rFonts w:ascii="宋体" w:hAnsi="宋体" w:hint="eastAsia"/>
                <w:lang w:eastAsia="zh-Hans"/>
              </w:rPr>
              <w:t>摩根全球多元配置(QDII-FOF)人民币C</w:t>
            </w:r>
            <w:r>
              <w:rPr>
                <w:rFonts w:ascii="宋体" w:hAnsi="宋体" w:hint="eastAsia"/>
                <w:kern w:val="0"/>
                <w:szCs w:val="24"/>
                <w:lang w:eastAsia="zh-Hans"/>
              </w:rPr>
              <w:t xml:space="preserve"> </w:t>
            </w:r>
          </w:p>
        </w:tc>
      </w:tr>
      <w:tr w:rsidR="007C555E">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C555E" w:rsidRDefault="00421B21">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报告期期</w:t>
            </w:r>
            <w:proofErr w:type="gramStart"/>
            <w:r>
              <w:rPr>
                <w:rFonts w:ascii="宋体" w:hAnsi="宋体" w:cs="Times New Roman" w:hint="eastAsia"/>
                <w:kern w:val="2"/>
                <w:sz w:val="21"/>
              </w:rPr>
              <w:t>初</w:t>
            </w:r>
            <w:r>
              <w:rPr>
                <w:rStyle w:val="grame"/>
                <w:rFonts w:ascii="宋体" w:hAnsi="宋体" w:cs="Times New Roman" w:hint="eastAsia"/>
                <w:kern w:val="2"/>
                <w:sz w:val="21"/>
              </w:rPr>
              <w:t>基金</w:t>
            </w:r>
            <w:proofErr w:type="gramEnd"/>
            <w:r>
              <w:rPr>
                <w:rFonts w:ascii="宋体" w:hAnsi="宋体" w:cs="Times New Roman"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C555E" w:rsidRDefault="00421B21">
            <w:pPr>
              <w:jc w:val="right"/>
            </w:pPr>
            <w:r>
              <w:rPr>
                <w:rFonts w:ascii="宋体" w:hAnsi="宋体" w:hint="eastAsia"/>
              </w:rPr>
              <w:t>348,993,648.40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C555E" w:rsidRDefault="00421B21">
            <w:pPr>
              <w:jc w:val="right"/>
            </w:pPr>
            <w:r>
              <w:rPr>
                <w:rFonts w:ascii="宋体" w:hAnsi="宋体" w:hint="eastAsia"/>
              </w:rPr>
              <w:t>67,237,160.10</w:t>
            </w:r>
          </w:p>
        </w:tc>
      </w:tr>
      <w:tr w:rsidR="007C555E">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C555E" w:rsidRDefault="00421B21">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C555E" w:rsidRDefault="00421B21">
            <w:pPr>
              <w:jc w:val="right"/>
            </w:pPr>
            <w:r>
              <w:rPr>
                <w:rFonts w:ascii="宋体" w:hAnsi="宋体" w:hint="eastAsia"/>
              </w:rPr>
              <w:t>51,512,561.49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C555E" w:rsidRDefault="00421B21">
            <w:pPr>
              <w:jc w:val="right"/>
            </w:pPr>
            <w:r>
              <w:rPr>
                <w:rFonts w:ascii="宋体" w:hAnsi="宋体" w:hint="eastAsia"/>
              </w:rPr>
              <w:t>44,875,142.44</w:t>
            </w:r>
          </w:p>
        </w:tc>
      </w:tr>
      <w:tr w:rsidR="007C555E">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C555E" w:rsidRDefault="00421B21">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C555E" w:rsidRDefault="00421B21">
            <w:pPr>
              <w:jc w:val="right"/>
            </w:pPr>
            <w:r>
              <w:rPr>
                <w:rFonts w:ascii="宋体" w:hAnsi="宋体" w:hint="eastAsia"/>
              </w:rPr>
              <w:t>36,296,895.69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C555E" w:rsidRDefault="00421B21">
            <w:pPr>
              <w:jc w:val="right"/>
            </w:pPr>
            <w:r>
              <w:rPr>
                <w:rFonts w:ascii="宋体" w:hAnsi="宋体" w:hint="eastAsia"/>
              </w:rPr>
              <w:t>15,180,209.64</w:t>
            </w:r>
          </w:p>
        </w:tc>
      </w:tr>
      <w:tr w:rsidR="007C555E">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C555E" w:rsidRDefault="00421B21">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C555E" w:rsidRDefault="00421B21">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C555E" w:rsidRDefault="00421B21">
            <w:pPr>
              <w:jc w:val="right"/>
            </w:pPr>
            <w:r>
              <w:rPr>
                <w:rFonts w:ascii="宋体" w:hAnsi="宋体" w:hint="eastAsia"/>
              </w:rPr>
              <w:t>-</w:t>
            </w:r>
          </w:p>
        </w:tc>
      </w:tr>
      <w:tr w:rsidR="007C555E">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C555E" w:rsidRDefault="00421B21">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C555E" w:rsidRDefault="00421B21">
            <w:pPr>
              <w:jc w:val="right"/>
            </w:pPr>
            <w:r>
              <w:rPr>
                <w:rFonts w:ascii="宋体" w:hAnsi="宋体" w:hint="eastAsia"/>
              </w:rPr>
              <w:t>364,209,314.20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C555E" w:rsidRDefault="00421B21">
            <w:pPr>
              <w:jc w:val="right"/>
            </w:pPr>
            <w:r>
              <w:rPr>
                <w:rFonts w:ascii="宋体" w:hAnsi="宋体" w:hint="eastAsia"/>
              </w:rPr>
              <w:t>96,932,092.90</w:t>
            </w:r>
          </w:p>
        </w:tc>
      </w:tr>
    </w:tbl>
    <w:p w:rsidR="007C555E" w:rsidRDefault="00421B21">
      <w:pPr>
        <w:spacing w:line="360" w:lineRule="auto"/>
        <w:jc w:val="left"/>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56"/>
      <w:r>
        <w:rPr>
          <w:rFonts w:ascii="宋体" w:hAnsi="宋体" w:hint="eastAsia"/>
        </w:rPr>
        <w:t xml:space="preserve"> </w:t>
      </w:r>
    </w:p>
    <w:p w:rsidR="007C555E" w:rsidRDefault="00421B21">
      <w:pPr>
        <w:pStyle w:val="XBRLTitle1"/>
        <w:spacing w:before="156"/>
        <w:ind w:left="425"/>
      </w:pPr>
      <w:bookmarkStart w:id="358" w:name="_Toc514088277"/>
      <w:bookmarkStart w:id="359" w:name="_Toc480465449"/>
      <w:bookmarkStart w:id="360" w:name="_Toc448480309"/>
      <w:bookmarkStart w:id="361" w:name="_Toc438654097"/>
      <w:bookmarkStart w:id="362" w:name="_Toc456107142"/>
      <w:bookmarkStart w:id="363" w:name="_Toc459213788"/>
      <w:bookmarkStart w:id="364" w:name="_Toc513542678"/>
      <w:bookmarkStart w:id="365" w:name="_Toc512696274"/>
      <w:bookmarkStart w:id="366" w:name="_Toc512612277"/>
      <w:bookmarkStart w:id="367" w:name="_Toc512612101"/>
      <w:bookmarkStart w:id="368" w:name="_Toc512611305"/>
      <w:bookmarkStart w:id="369" w:name="m7manage01"/>
      <w:bookmarkEnd w:id="357"/>
      <w:bookmarkEnd w:id="354"/>
      <w:proofErr w:type="spellStart"/>
      <w:r>
        <w:rPr>
          <w:rFonts w:hint="eastAsia"/>
        </w:rPr>
        <w:t>基金管理人运用固有资金投资本基金交易明细</w:t>
      </w:r>
      <w:bookmarkEnd w:id="358"/>
      <w:bookmarkEnd w:id="359"/>
      <w:bookmarkEnd w:id="360"/>
      <w:bookmarkEnd w:id="361"/>
      <w:bookmarkEnd w:id="362"/>
      <w:bookmarkEnd w:id="363"/>
      <w:bookmarkEnd w:id="364"/>
      <w:bookmarkEnd w:id="365"/>
      <w:bookmarkEnd w:id="366"/>
      <w:bookmarkEnd w:id="367"/>
      <w:bookmarkEnd w:id="368"/>
      <w:bookmarkEnd w:id="369"/>
      <w:bookmarkEnd w:id="342"/>
      <w:proofErr w:type="spellEnd"/>
    </w:p>
    <w:p w:rsidR="007C555E" w:rsidRDefault="00421B21">
      <w:pPr>
        <w:spacing w:line="360" w:lineRule="auto"/>
        <w:ind w:firstLineChars="200" w:firstLine="420"/>
        <w:jc w:val="left"/>
      </w:pPr>
      <w:r>
        <w:rPr>
          <w:rFonts w:ascii="宋体" w:hAnsi="宋体" w:hint="eastAsia"/>
          <w:lang w:eastAsia="zh-Hans"/>
        </w:rPr>
        <w:t>无。</w:t>
      </w:r>
      <w:r>
        <w:rPr>
          <w:rFonts w:ascii="宋体" w:hAnsi="宋体" w:hint="eastAsia"/>
        </w:rPr>
        <w:t xml:space="preserve"> </w:t>
      </w:r>
    </w:p>
    <w:p w:rsidR="007C555E" w:rsidRDefault="00421B21">
      <w:pPr>
        <w:pStyle w:val="XBRLTitle1"/>
        <w:spacing w:before="156"/>
        <w:ind w:left="425"/>
      </w:pPr>
      <w:bookmarkStart w:id="370" w:name="_Toc17881714"/>
      <w:bookmarkStart w:id="371" w:name="_Toc479856294"/>
      <w:bookmarkStart w:id="372" w:name="_Toc492299909"/>
      <w:bookmarkStart w:id="373" w:name="_Toc512627244"/>
      <w:bookmarkStart w:id="374" w:name="_Toc512694324"/>
      <w:bookmarkStart w:id="375" w:name="m701"/>
      <w:proofErr w:type="spellStart"/>
      <w:r>
        <w:rPr>
          <w:rFonts w:hint="eastAsia"/>
        </w:rPr>
        <w:t>影响投资者决策的其他重要信息</w:t>
      </w:r>
      <w:bookmarkEnd w:id="370"/>
      <w:bookmarkEnd w:id="371"/>
      <w:bookmarkEnd w:id="372"/>
      <w:bookmarkEnd w:id="373"/>
      <w:bookmarkEnd w:id="374"/>
      <w:proofErr w:type="spellEnd"/>
      <w:r>
        <w:rPr>
          <w:rFonts w:hint="eastAsia"/>
          <w:lang w:eastAsia="zh-CN"/>
        </w:rPr>
        <w:t xml:space="preserve"> </w:t>
      </w:r>
    </w:p>
    <w:p w:rsidR="007C555E" w:rsidRDefault="00421B21">
      <w:pPr>
        <w:pStyle w:val="XBRLTitle2"/>
        <w:spacing w:before="156"/>
        <w:ind w:left="454"/>
      </w:pPr>
      <w:bookmarkStart w:id="376" w:name="_Toc17881715"/>
      <w:bookmarkStart w:id="377" w:name="_Toc492299910"/>
      <w:bookmarkStart w:id="378" w:name="_Toc512627245"/>
      <w:bookmarkStart w:id="379" w:name="_Toc512694325"/>
      <w:r>
        <w:rPr>
          <w:rFonts w:eastAsia="宋体" w:cs="宋体" w:hint="eastAsia"/>
          <w:kern w:val="0"/>
        </w:rPr>
        <w:t>报告期内单一投资者持有基金份额比例达到或超过</w:t>
      </w:r>
      <w:r>
        <w:rPr>
          <w:rFonts w:hint="eastAsia"/>
          <w:kern w:val="0"/>
        </w:rPr>
        <w:t>20%</w:t>
      </w:r>
      <w:r>
        <w:rPr>
          <w:rFonts w:eastAsia="宋体" w:cs="宋体" w:hint="eastAsia"/>
          <w:kern w:val="0"/>
        </w:rPr>
        <w:t>的情况</w:t>
      </w:r>
      <w:bookmarkEnd w:id="376"/>
      <w:bookmarkEnd w:id="377"/>
      <w:bookmarkEnd w:id="378"/>
      <w:bookmarkEnd w:id="379"/>
      <w:r>
        <w:rPr>
          <w:rFonts w:hint="eastAsia"/>
          <w:kern w:val="0"/>
          <w:lang w:eastAsia="zh-CN"/>
        </w:rPr>
        <w:t xml:space="preserve"> </w:t>
      </w:r>
    </w:p>
    <w:bookmarkEnd w:id="51"/>
    <w:bookmarkEnd w:id="52"/>
    <w:bookmarkEnd w:id="25"/>
    <w:p w:rsidR="007C555E" w:rsidRDefault="00421B21">
      <w:pPr>
        <w:spacing w:line="360" w:lineRule="auto"/>
        <w:ind w:firstLineChars="200" w:firstLine="420"/>
        <w:rPr>
          <w:rFonts w:ascii="宋体" w:hAnsi="宋体"/>
          <w:szCs w:val="21"/>
          <w:lang w:eastAsia="zh-Hans"/>
        </w:rPr>
      </w:pPr>
      <w:r>
        <w:rPr>
          <w:rFonts w:ascii="宋体" w:hAnsi="宋体" w:hint="eastAsia"/>
          <w:szCs w:val="21"/>
          <w:lang w:eastAsia="zh-Hans"/>
        </w:rPr>
        <w:t>无。</w:t>
      </w:r>
    </w:p>
    <w:p w:rsidR="007C555E" w:rsidRDefault="00421B21">
      <w:pPr>
        <w:pStyle w:val="XBRLTitle1"/>
        <w:spacing w:before="156"/>
        <w:ind w:left="425"/>
      </w:pPr>
      <w:bookmarkStart w:id="380" w:name="_Toc514088283"/>
      <w:bookmarkStart w:id="381" w:name="_Toc466644495"/>
      <w:bookmarkStart w:id="382" w:name="_Toc480465455"/>
      <w:bookmarkStart w:id="383" w:name="_Toc513542684"/>
      <w:bookmarkStart w:id="384" w:name="_Toc512696280"/>
      <w:bookmarkStart w:id="385" w:name="_Toc512612283"/>
      <w:bookmarkStart w:id="386" w:name="_Toc512612107"/>
      <w:bookmarkStart w:id="387" w:name="_Toc512611311"/>
      <w:bookmarkEnd w:id="375"/>
      <w:proofErr w:type="spellStart"/>
      <w:r>
        <w:rPr>
          <w:rFonts w:hint="eastAsia"/>
        </w:rPr>
        <w:t>备查文件目录</w:t>
      </w:r>
      <w:bookmarkEnd w:id="380"/>
      <w:bookmarkEnd w:id="381"/>
      <w:bookmarkEnd w:id="382"/>
      <w:bookmarkEnd w:id="383"/>
      <w:bookmarkEnd w:id="384"/>
      <w:bookmarkEnd w:id="385"/>
      <w:bookmarkEnd w:id="386"/>
      <w:bookmarkEnd w:id="387"/>
      <w:proofErr w:type="spellEnd"/>
    </w:p>
    <w:p w:rsidR="007C555E" w:rsidRDefault="00421B21">
      <w:pPr>
        <w:pStyle w:val="XBRLTitle2"/>
        <w:spacing w:before="156" w:line="360" w:lineRule="auto"/>
        <w:ind w:left="454"/>
      </w:pPr>
      <w:bookmarkStart w:id="388" w:name="_Toc514088284"/>
      <w:bookmarkStart w:id="389" w:name="_Toc480465456"/>
      <w:bookmarkStart w:id="390" w:name="_Toc448480313"/>
      <w:bookmarkStart w:id="391" w:name="_Toc438654101"/>
      <w:bookmarkStart w:id="392" w:name="_Toc456107145"/>
      <w:bookmarkStart w:id="393" w:name="_Toc459213792"/>
      <w:bookmarkStart w:id="394" w:name="_Toc513542685"/>
      <w:bookmarkStart w:id="395" w:name="_Toc512696281"/>
      <w:bookmarkStart w:id="396" w:name="_Toc512612284"/>
      <w:bookmarkStart w:id="397" w:name="_Toc512612108"/>
      <w:bookmarkStart w:id="398" w:name="_Toc512611312"/>
      <w:bookmarkStart w:id="399" w:name="m801_01_1733"/>
      <w:proofErr w:type="spellStart"/>
      <w:r>
        <w:rPr>
          <w:rFonts w:eastAsia="宋体" w:hint="eastAsia"/>
        </w:rPr>
        <w:t>备查文件目录</w:t>
      </w:r>
      <w:bookmarkEnd w:id="388"/>
      <w:bookmarkEnd w:id="389"/>
      <w:bookmarkEnd w:id="390"/>
      <w:bookmarkEnd w:id="391"/>
      <w:bookmarkEnd w:id="392"/>
      <w:bookmarkEnd w:id="393"/>
      <w:bookmarkEnd w:id="394"/>
      <w:bookmarkEnd w:id="395"/>
      <w:bookmarkEnd w:id="396"/>
      <w:bookmarkEnd w:id="397"/>
      <w:bookmarkEnd w:id="398"/>
      <w:proofErr w:type="spellEnd"/>
      <w:r>
        <w:rPr>
          <w:rFonts w:eastAsia="宋体" w:hint="eastAsia"/>
        </w:rPr>
        <w:t xml:space="preserve"> </w:t>
      </w:r>
    </w:p>
    <w:p w:rsidR="007C555E" w:rsidRDefault="00421B21">
      <w:pPr>
        <w:spacing w:line="360" w:lineRule="auto"/>
        <w:ind w:firstLineChars="200" w:firstLine="420"/>
        <w:jc w:val="left"/>
      </w:pPr>
      <w:r>
        <w:rPr>
          <w:rFonts w:ascii="宋体" w:hAnsi="宋体" w:cs="宋体" w:hint="eastAsia"/>
          <w:color w:val="000000"/>
          <w:kern w:val="0"/>
        </w:rPr>
        <w:t>1、中国证监会准予本基金募集注册的文件；</w:t>
      </w:r>
      <w:r>
        <w:rPr>
          <w:rFonts w:ascii="宋体" w:hAnsi="宋体" w:cs="宋体" w:hint="eastAsia"/>
          <w:color w:val="000000"/>
          <w:kern w:val="0"/>
        </w:rPr>
        <w:br/>
        <w:t xml:space="preserve">　　2、《摩根全球多元配置证券投资基金(QDII-FOF)基金合同》；</w:t>
      </w:r>
      <w:r>
        <w:rPr>
          <w:rFonts w:ascii="宋体" w:hAnsi="宋体" w:cs="宋体" w:hint="eastAsia"/>
          <w:color w:val="000000"/>
          <w:kern w:val="0"/>
        </w:rPr>
        <w:br/>
      </w:r>
      <w:r>
        <w:rPr>
          <w:rFonts w:ascii="宋体" w:hAnsi="宋体" w:cs="宋体" w:hint="eastAsia"/>
          <w:color w:val="000000"/>
          <w:kern w:val="0"/>
        </w:rPr>
        <w:lastRenderedPageBreak/>
        <w:t xml:space="preserve">　　3、《摩根全球多元配置证券投资基金(QDII-FOF)托管协议》；</w:t>
      </w:r>
      <w:r>
        <w:rPr>
          <w:rFonts w:ascii="宋体" w:hAnsi="宋体" w:cs="宋体" w:hint="eastAsia"/>
          <w:color w:val="000000"/>
          <w:kern w:val="0"/>
        </w:rPr>
        <w:br/>
        <w:t xml:space="preserve">　　4、法律意见书；</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6、基金托管人业务资格批件、营业执照；</w:t>
      </w:r>
      <w:r>
        <w:rPr>
          <w:rFonts w:ascii="宋体" w:hAnsi="宋体" w:cs="宋体" w:hint="eastAsia"/>
          <w:color w:val="000000"/>
          <w:kern w:val="0"/>
        </w:rPr>
        <w:br/>
        <w:t xml:space="preserve">　　7、中国证监会要求的其他文件。</w:t>
      </w:r>
    </w:p>
    <w:p w:rsidR="007C555E" w:rsidRDefault="00421B21">
      <w:pPr>
        <w:pStyle w:val="XBRLTitle2"/>
        <w:spacing w:before="156" w:line="360" w:lineRule="auto"/>
        <w:ind w:left="454"/>
      </w:pPr>
      <w:bookmarkStart w:id="400" w:name="_Toc514088285"/>
      <w:bookmarkStart w:id="401" w:name="_Toc480465457"/>
      <w:bookmarkStart w:id="402" w:name="_Toc448480314"/>
      <w:bookmarkStart w:id="403" w:name="_Toc438654102"/>
      <w:bookmarkStart w:id="404" w:name="_Toc456107146"/>
      <w:bookmarkStart w:id="405" w:name="_Toc459213793"/>
      <w:bookmarkStart w:id="406" w:name="_Toc513542686"/>
      <w:bookmarkStart w:id="407" w:name="_Toc512696282"/>
      <w:bookmarkStart w:id="408" w:name="_Toc512612285"/>
      <w:bookmarkStart w:id="409" w:name="_Toc512612109"/>
      <w:bookmarkStart w:id="410" w:name="_Toc512611313"/>
      <w:bookmarkStart w:id="411" w:name="m801_01_1734"/>
      <w:bookmarkEnd w:id="399"/>
      <w:proofErr w:type="spellStart"/>
      <w:r>
        <w:rPr>
          <w:rFonts w:eastAsia="宋体" w:hint="eastAsia"/>
        </w:rPr>
        <w:t>存放地点</w:t>
      </w:r>
      <w:bookmarkEnd w:id="400"/>
      <w:bookmarkEnd w:id="401"/>
      <w:bookmarkEnd w:id="402"/>
      <w:bookmarkEnd w:id="403"/>
      <w:bookmarkEnd w:id="404"/>
      <w:bookmarkEnd w:id="405"/>
      <w:bookmarkEnd w:id="406"/>
      <w:bookmarkEnd w:id="407"/>
      <w:bookmarkEnd w:id="408"/>
      <w:bookmarkEnd w:id="409"/>
      <w:bookmarkEnd w:id="410"/>
      <w:proofErr w:type="spellEnd"/>
      <w:r>
        <w:rPr>
          <w:rFonts w:eastAsia="宋体" w:hint="eastAsia"/>
        </w:rPr>
        <w:t xml:space="preserve"> </w:t>
      </w:r>
    </w:p>
    <w:p w:rsidR="007C555E" w:rsidRDefault="00421B21">
      <w:pPr>
        <w:spacing w:line="360" w:lineRule="auto"/>
        <w:ind w:firstLineChars="200" w:firstLine="420"/>
        <w:jc w:val="left"/>
      </w:pPr>
      <w:r>
        <w:rPr>
          <w:rFonts w:ascii="宋体" w:hAnsi="宋体" w:cs="宋体" w:hint="eastAsia"/>
          <w:color w:val="000000"/>
          <w:kern w:val="0"/>
        </w:rPr>
        <w:t>基金管理人或基金托管人住所。</w:t>
      </w:r>
    </w:p>
    <w:p w:rsidR="007C555E" w:rsidRDefault="00421B21">
      <w:pPr>
        <w:pStyle w:val="XBRLTitle2"/>
        <w:spacing w:before="156" w:line="360" w:lineRule="auto"/>
        <w:ind w:left="454"/>
      </w:pPr>
      <w:bookmarkStart w:id="412" w:name="_Toc514088286"/>
      <w:bookmarkStart w:id="413" w:name="_Toc480465458"/>
      <w:bookmarkStart w:id="414" w:name="_Toc448480315"/>
      <w:bookmarkStart w:id="415" w:name="_Toc438654103"/>
      <w:bookmarkStart w:id="416" w:name="_Toc456107147"/>
      <w:bookmarkStart w:id="417" w:name="_Toc459213794"/>
      <w:bookmarkStart w:id="418" w:name="_Toc513542687"/>
      <w:bookmarkStart w:id="419" w:name="_Toc512696283"/>
      <w:bookmarkStart w:id="420" w:name="_Toc512612286"/>
      <w:bookmarkStart w:id="421" w:name="_Toc512612110"/>
      <w:bookmarkStart w:id="422" w:name="_Toc512611314"/>
      <w:bookmarkStart w:id="423" w:name="m801_01_1735"/>
      <w:bookmarkEnd w:id="411"/>
      <w:proofErr w:type="spellStart"/>
      <w:r>
        <w:rPr>
          <w:rFonts w:eastAsia="宋体" w:hint="eastAsia"/>
        </w:rPr>
        <w:t>查阅方式</w:t>
      </w:r>
      <w:bookmarkEnd w:id="412"/>
      <w:bookmarkEnd w:id="413"/>
      <w:bookmarkEnd w:id="414"/>
      <w:bookmarkEnd w:id="415"/>
      <w:bookmarkEnd w:id="416"/>
      <w:bookmarkEnd w:id="417"/>
      <w:bookmarkEnd w:id="418"/>
      <w:bookmarkEnd w:id="419"/>
      <w:bookmarkEnd w:id="420"/>
      <w:bookmarkEnd w:id="421"/>
      <w:bookmarkEnd w:id="422"/>
      <w:proofErr w:type="spellEnd"/>
      <w:r>
        <w:rPr>
          <w:rFonts w:eastAsia="宋体" w:hint="eastAsia"/>
        </w:rPr>
        <w:t xml:space="preserve"> </w:t>
      </w:r>
    </w:p>
    <w:p w:rsidR="007C555E" w:rsidRDefault="00421B21">
      <w:pPr>
        <w:spacing w:line="360" w:lineRule="auto"/>
        <w:ind w:firstLineChars="200" w:firstLine="420"/>
        <w:jc w:val="left"/>
      </w:pPr>
      <w:r>
        <w:rPr>
          <w:rFonts w:ascii="宋体" w:hAnsi="宋体" w:cs="宋体" w:hint="eastAsia"/>
          <w:color w:val="000000"/>
          <w:kern w:val="0"/>
        </w:rPr>
        <w:t>投资者可在营业时间免费查阅，也可按工本费购买复印件。</w:t>
      </w:r>
      <w:bookmarkEnd w:id="26"/>
      <w:r>
        <w:rPr>
          <w:rFonts w:ascii="宋体" w:hAnsi="宋体" w:cs="宋体" w:hint="eastAsia"/>
          <w:color w:val="000000"/>
          <w:kern w:val="0"/>
        </w:rPr>
        <w:t xml:space="preserve"> </w:t>
      </w:r>
    </w:p>
    <w:bookmarkEnd w:id="423"/>
    <w:p w:rsidR="007C555E" w:rsidRDefault="00421B21">
      <w:pPr>
        <w:spacing w:line="360" w:lineRule="auto"/>
        <w:jc w:val="left"/>
        <w:rPr>
          <w:rFonts w:ascii="宋体" w:hAnsi="宋体"/>
          <w:b/>
          <w:bCs/>
          <w:sz w:val="28"/>
          <w:szCs w:val="30"/>
        </w:rPr>
      </w:pPr>
      <w:r>
        <w:rPr>
          <w:rFonts w:ascii="宋体" w:hAnsi="宋体" w:hint="eastAsia"/>
          <w:b/>
          <w:bCs/>
          <w:sz w:val="28"/>
          <w:szCs w:val="30"/>
        </w:rPr>
        <w:t xml:space="preserve">　 </w:t>
      </w:r>
    </w:p>
    <w:p w:rsidR="007C555E" w:rsidRDefault="00421B21">
      <w:pPr>
        <w:spacing w:line="360" w:lineRule="auto"/>
        <w:jc w:val="left"/>
        <w:rPr>
          <w:rFonts w:ascii="宋体" w:hAnsi="宋体"/>
          <w:b/>
          <w:bCs/>
          <w:sz w:val="28"/>
          <w:szCs w:val="30"/>
        </w:rPr>
      </w:pPr>
      <w:r>
        <w:rPr>
          <w:rFonts w:ascii="宋体" w:hAnsi="宋体" w:hint="eastAsia"/>
          <w:b/>
          <w:bCs/>
          <w:sz w:val="28"/>
          <w:szCs w:val="30"/>
        </w:rPr>
        <w:t xml:space="preserve">　 </w:t>
      </w:r>
    </w:p>
    <w:p w:rsidR="007C555E" w:rsidRDefault="00421B21">
      <w:pPr>
        <w:spacing w:line="360" w:lineRule="auto"/>
        <w:ind w:firstLineChars="600" w:firstLine="1446"/>
        <w:jc w:val="right"/>
      </w:pPr>
      <w:r>
        <w:rPr>
          <w:rFonts w:ascii="宋体" w:hAnsi="宋体" w:hint="eastAsia"/>
          <w:b/>
          <w:bCs/>
          <w:sz w:val="24"/>
          <w:szCs w:val="24"/>
        </w:rPr>
        <w:t>摩根基金管理（中国）有限公司</w:t>
      </w:r>
    </w:p>
    <w:p w:rsidR="007C555E" w:rsidRDefault="00421B21">
      <w:pPr>
        <w:spacing w:line="360" w:lineRule="auto"/>
        <w:ind w:firstLineChars="600" w:firstLine="1446"/>
        <w:jc w:val="right"/>
      </w:pPr>
      <w:r>
        <w:rPr>
          <w:rFonts w:ascii="宋体" w:hAnsi="宋体" w:hint="eastAsia"/>
          <w:b/>
          <w:bCs/>
          <w:sz w:val="24"/>
          <w:szCs w:val="24"/>
        </w:rPr>
        <w:t>2025年4月22日</w:t>
      </w:r>
    </w:p>
    <w:sectPr w:rsidR="007C555E">
      <w:headerReference w:type="default" r:id="rId10"/>
      <w:footerReference w:type="even" r:id="rId11"/>
      <w:footerReference w:type="default" r:id="rId12"/>
      <w:headerReference w:type="first" r:id="rId13"/>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55E" w:rsidRDefault="00421B21">
      <w:pPr>
        <w:rPr>
          <w:szCs w:val="21"/>
        </w:rPr>
      </w:pPr>
      <w:r>
        <w:rPr>
          <w:szCs w:val="21"/>
        </w:rPr>
        <w:separator/>
      </w:r>
      <w:r>
        <w:rPr>
          <w:szCs w:val="21"/>
        </w:rPr>
        <w:t xml:space="preserve"> </w:t>
      </w:r>
    </w:p>
  </w:endnote>
  <w:endnote w:type="continuationSeparator" w:id="0">
    <w:p w:rsidR="007C555E" w:rsidRDefault="00421B21">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55E" w:rsidRDefault="00421B21">
    <w:pPr>
      <w:pStyle w:val="aa"/>
      <w:framePr w:wrap="around" w:vAnchor="text" w:hAnchor="margin" w:xAlign="right" w:y="1"/>
      <w:rPr>
        <w:rStyle w:val="af9"/>
      </w:rPr>
    </w:pPr>
    <w:r>
      <w:fldChar w:fldCharType="begin"/>
    </w:r>
    <w:r>
      <w:rPr>
        <w:rStyle w:val="af9"/>
      </w:rPr>
      <w:instrText xml:space="preserve">PAGE  </w:instrText>
    </w:r>
    <w:r>
      <w:fldChar w:fldCharType="end"/>
    </w:r>
  </w:p>
  <w:p w:rsidR="007C555E" w:rsidRDefault="007C555E">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55E" w:rsidRDefault="00421B21">
    <w:pPr>
      <w:pStyle w:val="aa"/>
      <w:framePr w:wrap="around" w:vAnchor="text" w:hAnchor="margin" w:xAlign="right" w:y="1"/>
      <w:rPr>
        <w:rStyle w:val="af9"/>
      </w:rPr>
    </w:pPr>
    <w:r>
      <w:rPr>
        <w:rStyle w:val="af9"/>
      </w:rPr>
      <w:t xml:space="preserve">  </w:t>
    </w:r>
  </w:p>
  <w:p w:rsidR="007C555E" w:rsidRDefault="00421B21">
    <w:pPr>
      <w:jc w:val="center"/>
      <w:rPr>
        <w:rFonts w:ascii="宋体" w:hAnsi="宋体"/>
        <w:sz w:val="18"/>
        <w:szCs w:val="18"/>
      </w:rPr>
    </w:pPr>
    <w:r>
      <w:rPr>
        <w:rFonts w:ascii="宋体" w:hAnsi="宋体" w:hint="eastAsia"/>
        <w:sz w:val="18"/>
        <w:szCs w:val="18"/>
      </w:rPr>
      <w:t xml:space="preserve">第 </w:t>
    </w:r>
    <w:r>
      <w:rPr>
        <w:rFonts w:ascii="宋体" w:hAnsi="宋体" w:hint="eastAsia"/>
        <w:sz w:val="18"/>
        <w:szCs w:val="18"/>
      </w:rPr>
      <w:fldChar w:fldCharType="begin"/>
    </w:r>
    <w:r>
      <w:rPr>
        <w:rFonts w:ascii="宋体" w:hAnsi="宋体" w:hint="eastAsia"/>
        <w:sz w:val="18"/>
        <w:szCs w:val="18"/>
      </w:rPr>
      <w:instrText xml:space="preserve"> PAGE   \* MERGEFORMAT </w:instrText>
    </w:r>
    <w:r>
      <w:rPr>
        <w:rFonts w:ascii="宋体" w:hAnsi="宋体" w:hint="eastAsia"/>
        <w:sz w:val="18"/>
        <w:szCs w:val="18"/>
      </w:rPr>
      <w:fldChar w:fldCharType="separate"/>
    </w:r>
    <w:r w:rsidR="00EB1887">
      <w:rPr>
        <w:rFonts w:ascii="宋体" w:hAnsi="宋体"/>
        <w:noProof/>
        <w:sz w:val="18"/>
        <w:szCs w:val="18"/>
      </w:rPr>
      <w:t>14</w:t>
    </w:r>
    <w:r>
      <w:rPr>
        <w:rFonts w:ascii="宋体" w:hAnsi="宋体" w:hint="eastAsia"/>
        <w:sz w:val="18"/>
        <w:szCs w:val="18"/>
      </w:rPr>
      <w:fldChar w:fldCharType="end"/>
    </w:r>
    <w:r>
      <w:rPr>
        <w:rFonts w:ascii="宋体" w:hAnsi="宋体" w:hint="eastAsia"/>
        <w:sz w:val="18"/>
        <w:szCs w:val="18"/>
      </w:rPr>
      <w:t>页 共</w:t>
    </w:r>
    <w:r>
      <w:rPr>
        <w:rFonts w:ascii="宋体" w:hAnsi="宋体" w:hint="eastAsia"/>
        <w:sz w:val="18"/>
        <w:szCs w:val="18"/>
      </w:rPr>
      <w:fldChar w:fldCharType="begin"/>
    </w:r>
    <w:r>
      <w:rPr>
        <w:rFonts w:ascii="宋体" w:hAnsi="宋体" w:hint="eastAsia"/>
        <w:sz w:val="18"/>
        <w:szCs w:val="18"/>
      </w:rPr>
      <w:instrText xml:space="preserve"> NUMPAGES   \* MERGEFORMAT </w:instrText>
    </w:r>
    <w:r>
      <w:rPr>
        <w:rFonts w:ascii="宋体" w:hAnsi="宋体" w:hint="eastAsia"/>
        <w:sz w:val="18"/>
        <w:szCs w:val="18"/>
      </w:rPr>
      <w:fldChar w:fldCharType="separate"/>
    </w:r>
    <w:r w:rsidR="00EB1887">
      <w:rPr>
        <w:rFonts w:ascii="宋体" w:hAnsi="宋体"/>
        <w:noProof/>
        <w:sz w:val="18"/>
        <w:szCs w:val="18"/>
      </w:rPr>
      <w:t>14</w:t>
    </w:r>
    <w:r>
      <w:rPr>
        <w:rFonts w:ascii="宋体" w:hAnsi="宋体" w:hint="eastAsia"/>
        <w:sz w:val="18"/>
        <w:szCs w:val="18"/>
      </w:rPr>
      <w:fldChar w:fldCharType="end"/>
    </w:r>
    <w:r>
      <w:rPr>
        <w:rFonts w:ascii="宋体" w:hAnsi="宋体" w:hint="eastAsia"/>
        <w:sz w:val="18"/>
        <w:szCs w:val="18"/>
      </w:rPr>
      <w:t xml:space="preserve"> 页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55E" w:rsidRDefault="00421B21">
      <w:pPr>
        <w:rPr>
          <w:szCs w:val="21"/>
        </w:rPr>
      </w:pPr>
      <w:r>
        <w:rPr>
          <w:szCs w:val="21"/>
        </w:rPr>
        <w:separator/>
      </w:r>
      <w:r>
        <w:rPr>
          <w:szCs w:val="21"/>
        </w:rPr>
        <w:t xml:space="preserve"> </w:t>
      </w:r>
    </w:p>
  </w:footnote>
  <w:footnote w:type="continuationSeparator" w:id="0">
    <w:p w:rsidR="007C555E" w:rsidRDefault="00421B21">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55E" w:rsidRDefault="00421B21">
    <w:pPr>
      <w:pStyle w:val="a8"/>
      <w:pBdr>
        <w:between w:val="single" w:sz="4" w:space="1" w:color="4F81BD"/>
      </w:pBdr>
      <w:spacing w:line="276" w:lineRule="auto"/>
      <w:jc w:val="right"/>
    </w:pPr>
    <w:r>
      <w:rPr>
        <w:rFonts w:ascii="宋体" w:hAnsi="宋体" w:hint="eastAsia"/>
        <w:bCs/>
      </w:rPr>
      <w:t>摩根全球多元配置证券投资基金(QDII-FOF)2025年第1季度报告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55E" w:rsidRDefault="007C555E">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70D4EB84"/>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624" w:hanging="624"/>
      </w:pPr>
      <w:rPr>
        <w:rFonts w:ascii="宋体" w:eastAsia="宋体" w:hAnsi="宋体"/>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5361"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B21"/>
    <w:rsid w:val="00421B21"/>
    <w:rsid w:val="007C555E"/>
    <w:rsid w:val="00EB1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DF7AA0A4-FE9F-4DA3-892E-28E18CA5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标题 1 字符"/>
    <w:basedOn w:val="a0"/>
    <w:uiPriority w:val="9"/>
    <w:rPr>
      <w:b/>
      <w:bCs/>
      <w:kern w:val="44"/>
      <w:sz w:val="44"/>
      <w:szCs w:val="44"/>
    </w:rPr>
  </w:style>
  <w:style w:type="character" w:customStyle="1" w:styleId="20">
    <w:name w:val="标题 2 字符"/>
    <w:basedOn w:val="a0"/>
    <w:uiPriority w:val="9"/>
    <w:rPr>
      <w:rFonts w:asciiTheme="majorHAnsi" w:eastAsiaTheme="majorEastAsia" w:hAnsiTheme="majorHAnsi" w:cstheme="majorBidi"/>
      <w:b/>
      <w:bCs/>
      <w:kern w:val="2"/>
      <w:sz w:val="32"/>
      <w:szCs w:val="32"/>
    </w:rPr>
  </w:style>
  <w:style w:type="character" w:customStyle="1" w:styleId="30">
    <w:name w:val="标题 3 字符"/>
    <w:basedOn w:val="a0"/>
    <w:uiPriority w:val="9"/>
    <w:rPr>
      <w:b/>
      <w:bCs/>
      <w:kern w:val="2"/>
      <w:sz w:val="32"/>
      <w:szCs w:val="32"/>
    </w:rPr>
  </w:style>
  <w:style w:type="character" w:customStyle="1" w:styleId="40">
    <w:name w:val="标题 4 字符"/>
    <w:basedOn w:val="a0"/>
    <w:rPr>
      <w:rFonts w:asciiTheme="majorHAnsi" w:eastAsiaTheme="majorEastAsia" w:hAnsiTheme="majorHAnsi" w:cstheme="majorBidi"/>
      <w:b/>
      <w:bCs/>
      <w:kern w:val="2"/>
      <w:sz w:val="28"/>
      <w:szCs w:val="28"/>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qFormat/>
    <w:pPr>
      <w:snapToGrid w:val="0"/>
      <w:jc w:val="left"/>
    </w:pPr>
    <w:rPr>
      <w:sz w:val="18"/>
      <w:szCs w:val="18"/>
    </w:rPr>
  </w:style>
  <w:style w:type="character" w:customStyle="1" w:styleId="a7">
    <w:name w:val="脚注文本 字符"/>
    <w:basedOn w:val="a0"/>
    <w:rPr>
      <w:kern w:val="2"/>
      <w:sz w:val="18"/>
      <w:szCs w:val="18"/>
    </w:rPr>
  </w:style>
  <w:style w:type="paragraph" w:styleId="a8">
    <w:name w:val="header"/>
    <w:basedOn w:val="a"/>
    <w:link w:val="14"/>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rPr>
      <w:kern w:val="2"/>
      <w:sz w:val="18"/>
      <w:szCs w:val="18"/>
    </w:rPr>
  </w:style>
  <w:style w:type="paragraph" w:styleId="aa">
    <w:name w:val="footer"/>
    <w:basedOn w:val="a"/>
    <w:link w:val="15"/>
    <w:uiPriority w:val="99"/>
    <w:pPr>
      <w:tabs>
        <w:tab w:val="center" w:pos="4153"/>
        <w:tab w:val="right" w:pos="8306"/>
      </w:tabs>
      <w:snapToGrid w:val="0"/>
      <w:jc w:val="left"/>
    </w:pPr>
    <w:rPr>
      <w:sz w:val="18"/>
      <w:szCs w:val="18"/>
    </w:rPr>
  </w:style>
  <w:style w:type="character" w:customStyle="1" w:styleId="ab">
    <w:name w:val="页脚 字符"/>
    <w:basedOn w:val="a0"/>
    <w:uiPriority w:val="99"/>
    <w:rPr>
      <w:kern w:val="2"/>
      <w:sz w:val="18"/>
      <w:szCs w:val="18"/>
    </w:rPr>
  </w:style>
  <w:style w:type="paragraph" w:styleId="ac">
    <w:name w:val="Title"/>
    <w:basedOn w:val="1"/>
    <w:next w:val="2"/>
    <w:link w:val="16"/>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rPr>
      <w:rFonts w:asciiTheme="majorHAnsi" w:eastAsiaTheme="majorEastAsia" w:hAnsiTheme="majorHAnsi" w:cstheme="majorBidi"/>
      <w:b/>
      <w:bCs/>
      <w:kern w:val="2"/>
      <w:sz w:val="32"/>
      <w:szCs w:val="32"/>
    </w:rPr>
  </w:style>
  <w:style w:type="paragraph" w:styleId="ae">
    <w:name w:val="Subtitle"/>
    <w:basedOn w:val="2"/>
    <w:next w:val="3"/>
    <w:link w:val="17"/>
    <w:qFormat/>
    <w:pPr>
      <w:spacing w:before="240" w:after="60" w:line="312" w:lineRule="auto"/>
      <w:jc w:val="left"/>
    </w:pPr>
    <w:rPr>
      <w:rFonts w:cs="Times New Roman"/>
      <w:bCs w:val="0"/>
      <w:kern w:val="28"/>
      <w:sz w:val="24"/>
    </w:rPr>
  </w:style>
  <w:style w:type="character" w:customStyle="1" w:styleId="af">
    <w:name w:val="副标题 字符"/>
    <w:basedOn w:val="a0"/>
    <w:rPr>
      <w:rFonts w:asciiTheme="minorHAnsi" w:eastAsiaTheme="minorEastAsia" w:hAnsiTheme="minorHAnsi" w:cstheme="minorBidi"/>
      <w:b/>
      <w:bCs/>
      <w:kern w:val="28"/>
      <w:sz w:val="32"/>
      <w:szCs w:val="32"/>
    </w:rPr>
  </w:style>
  <w:style w:type="paragraph" w:styleId="af0">
    <w:name w:val="Date"/>
    <w:basedOn w:val="a"/>
    <w:next w:val="a"/>
    <w:link w:val="18"/>
    <w:rPr>
      <w:rFonts w:ascii="宋体" w:hAnsi="宋体"/>
      <w:sz w:val="32"/>
      <w:lang w:val="x-none" w:eastAsia="x-none"/>
    </w:rPr>
  </w:style>
  <w:style w:type="character" w:customStyle="1" w:styleId="af1">
    <w:name w:val="日期 字符"/>
    <w:basedOn w:val="a0"/>
    <w:rPr>
      <w:kern w:val="2"/>
      <w:sz w:val="21"/>
    </w:rPr>
  </w:style>
  <w:style w:type="paragraph" w:styleId="af2">
    <w:name w:val="Document Map"/>
    <w:basedOn w:val="a"/>
    <w:link w:val="19"/>
    <w:pPr>
      <w:shd w:val="clear" w:color="auto" w:fill="000080"/>
    </w:pPr>
  </w:style>
  <w:style w:type="character" w:customStyle="1" w:styleId="af3">
    <w:name w:val="文档结构图 字符"/>
    <w:basedOn w:val="a0"/>
    <w:rPr>
      <w:rFonts w:ascii="Microsoft YaHei UI" w:eastAsia="Microsoft YaHei UI"/>
      <w:kern w:val="2"/>
      <w:sz w:val="18"/>
      <w:szCs w:val="18"/>
    </w:rPr>
  </w:style>
  <w:style w:type="paragraph" w:styleId="af4">
    <w:name w:val="Balloon Text"/>
    <w:basedOn w:val="a"/>
    <w:link w:val="1a"/>
    <w:uiPriority w:val="99"/>
    <w:semiHidden/>
    <w:unhideWhenUsed/>
    <w:rPr>
      <w:sz w:val="18"/>
      <w:szCs w:val="18"/>
    </w:rPr>
  </w:style>
  <w:style w:type="character" w:customStyle="1" w:styleId="af5">
    <w:name w:val="批注框文本 字符"/>
    <w:basedOn w:val="a0"/>
    <w:uiPriority w:val="99"/>
    <w:semiHidden/>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autoRedefine/>
    <w:qFormat/>
    <w:pPr>
      <w:keepNext w:val="0"/>
      <w:keepLines w:val="0"/>
      <w:numPr>
        <w:numId w:val="2"/>
      </w:numPr>
      <w:spacing w:beforeLines="50" w:before="0" w:after="0" w:line="360" w:lineRule="auto"/>
      <w:ind w:left="850"/>
      <w:jc w:val="center"/>
    </w:pPr>
    <w:rPr>
      <w:rFonts w:ascii="宋体" w:hAnsi="宋体"/>
      <w:sz w:val="28"/>
    </w:rPr>
  </w:style>
  <w:style w:type="paragraph" w:customStyle="1" w:styleId="XBRLTitle2">
    <w:name w:val="XBRLTitle2"/>
    <w:basedOn w:val="ae"/>
    <w:next w:val="4"/>
    <w:autoRedefine/>
    <w:qFormat/>
    <w:pPr>
      <w:keepNext w:val="0"/>
      <w:keepLines w:val="0"/>
      <w:numPr>
        <w:ilvl w:val="1"/>
        <w:numId w:val="2"/>
      </w:numPr>
      <w:spacing w:beforeLines="50" w:before="0" w:after="0" w:line="240" w:lineRule="auto"/>
      <w:ind w:left="908"/>
    </w:pPr>
    <w:rPr>
      <w:rFonts w:ascii="宋体" w:eastAsia="Cambria" w:hAns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rFonts w:ascii="宋体" w:eastAsia="Cambria" w:hAnsi="宋体"/>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宋体"/>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240" w:lineRule="auto"/>
      <w:ind w:left="1248"/>
      <w:outlineLvl w:val="9"/>
    </w:pPr>
    <w:rPr>
      <w:rFonts w:ascii="宋体"/>
      <w:bCs/>
    </w:rPr>
  </w:style>
  <w:style w:type="character" w:styleId="af7">
    <w:name w:val="footnote reference"/>
    <w:qFormat/>
    <w:rPr>
      <w:vertAlign w:val="superscript"/>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14">
    <w:name w:val="页眉 字符1"/>
    <w:basedOn w:val="a0"/>
    <w:link w:val="a8"/>
    <w:uiPriority w:val="99"/>
    <w:locked/>
    <w:rPr>
      <w:kern w:val="2"/>
      <w:sz w:val="18"/>
      <w:szCs w:val="18"/>
    </w:rPr>
  </w:style>
  <w:style w:type="character" w:customStyle="1" w:styleId="15">
    <w:name w:val="页脚 字符1"/>
    <w:basedOn w:val="a0"/>
    <w:link w:val="aa"/>
    <w:uiPriority w:val="99"/>
    <w:locked/>
    <w:rPr>
      <w:kern w:val="2"/>
      <w:sz w:val="18"/>
      <w:szCs w:val="18"/>
    </w:rPr>
  </w:style>
  <w:style w:type="character" w:customStyle="1" w:styleId="16">
    <w:name w:val="标题 字符1"/>
    <w:link w:val="ac"/>
    <w:uiPriority w:val="10"/>
    <w:locked/>
    <w:rPr>
      <w:rFonts w:ascii="Cambria" w:hAnsi="Cambria" w:cs="Times New Roman" w:hint="default"/>
      <w:b/>
      <w:bCs/>
      <w:sz w:val="32"/>
      <w:szCs w:val="32"/>
    </w:rPr>
  </w:style>
  <w:style w:type="character" w:customStyle="1" w:styleId="17">
    <w:name w:val="副标题 字符1"/>
    <w:link w:val="ae"/>
    <w:locked/>
    <w:rPr>
      <w:rFonts w:ascii="Cambria" w:eastAsia="宋体" w:hAnsi="Cambria" w:cs="Times New Roman" w:hint="default"/>
      <w:b/>
      <w:bCs w:val="0"/>
      <w:kern w:val="28"/>
      <w:sz w:val="24"/>
      <w:szCs w:val="32"/>
    </w:rPr>
  </w:style>
  <w:style w:type="character" w:customStyle="1" w:styleId="18">
    <w:name w:val="日期 字符1"/>
    <w:link w:val="af0"/>
    <w:locked/>
    <w:rPr>
      <w:rFonts w:ascii="宋体" w:eastAsia="宋体" w:hAnsi="宋体" w:hint="eastAsia"/>
      <w:kern w:val="2"/>
      <w:sz w:val="32"/>
    </w:rPr>
  </w:style>
  <w:style w:type="character" w:customStyle="1" w:styleId="19">
    <w:name w:val="文档结构图 字符1"/>
    <w:basedOn w:val="a0"/>
    <w:link w:val="af2"/>
    <w:locked/>
    <w:rPr>
      <w:rFonts w:ascii="宋体" w:eastAsia="宋体" w:hAnsi="宋体" w:hint="eastAsia"/>
      <w:kern w:val="2"/>
      <w:sz w:val="18"/>
      <w:szCs w:val="18"/>
    </w:rPr>
  </w:style>
  <w:style w:type="character" w:customStyle="1" w:styleId="1a">
    <w:name w:val="批注框文本 字符1"/>
    <w:basedOn w:val="a0"/>
    <w:link w:val="af4"/>
    <w:uiPriority w:val="99"/>
    <w:semiHidden/>
    <w:locked/>
    <w:rPr>
      <w:kern w:val="2"/>
      <w:sz w:val="18"/>
      <w:szCs w:val="18"/>
    </w:rPr>
  </w:style>
  <w:style w:type="character" w:customStyle="1" w:styleId="Char1">
    <w:name w:val="脚注文本 Char1"/>
    <w:basedOn w:val="a0"/>
    <w:uiPriority w:val="99"/>
    <w:semiHidden/>
    <w:qFormat/>
    <w:rPr>
      <w:sz w:val="18"/>
      <w:szCs w:val="18"/>
    </w:rPr>
  </w:style>
  <w:style w:type="table" w:styleId="af8">
    <w:name w:val="Table Grid"/>
    <w:basedOn w:val="a1"/>
    <w:uiPriority w:val="59"/>
    <w:semiHidden/>
    <w:unhideWhenUse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0">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styleId="af9">
    <w:name w:val="page number"/>
    <w:basedOn w:val="a0"/>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3944">
      <w:marLeft w:val="0"/>
      <w:marRight w:val="0"/>
      <w:marTop w:val="0"/>
      <w:marBottom w:val="0"/>
      <w:divBdr>
        <w:top w:val="none" w:sz="0" w:space="0" w:color="auto"/>
        <w:left w:val="none" w:sz="0" w:space="0" w:color="auto"/>
        <w:bottom w:val="none" w:sz="0" w:space="0" w:color="auto"/>
        <w:right w:val="none" w:sz="0" w:space="0" w:color="auto"/>
      </w:divBdr>
    </w:div>
    <w:div w:id="62223484">
      <w:marLeft w:val="0"/>
      <w:marRight w:val="0"/>
      <w:marTop w:val="0"/>
      <w:marBottom w:val="0"/>
      <w:divBdr>
        <w:top w:val="none" w:sz="0" w:space="0" w:color="auto"/>
        <w:left w:val="none" w:sz="0" w:space="0" w:color="auto"/>
        <w:bottom w:val="none" w:sz="0" w:space="0" w:color="auto"/>
        <w:right w:val="none" w:sz="0" w:space="0" w:color="auto"/>
      </w:divBdr>
    </w:div>
    <w:div w:id="129979190">
      <w:marLeft w:val="0"/>
      <w:marRight w:val="0"/>
      <w:marTop w:val="0"/>
      <w:marBottom w:val="0"/>
      <w:divBdr>
        <w:top w:val="none" w:sz="0" w:space="0" w:color="auto"/>
        <w:left w:val="none" w:sz="0" w:space="0" w:color="auto"/>
        <w:bottom w:val="none" w:sz="0" w:space="0" w:color="auto"/>
        <w:right w:val="none" w:sz="0" w:space="0" w:color="auto"/>
      </w:divBdr>
      <w:divsChild>
        <w:div w:id="2000620131">
          <w:marLeft w:val="0"/>
          <w:marRight w:val="0"/>
          <w:marTop w:val="0"/>
          <w:marBottom w:val="0"/>
          <w:divBdr>
            <w:top w:val="none" w:sz="0" w:space="0" w:color="auto"/>
            <w:left w:val="none" w:sz="0" w:space="0" w:color="auto"/>
            <w:bottom w:val="none" w:sz="0" w:space="0" w:color="auto"/>
            <w:right w:val="none" w:sz="0" w:space="0" w:color="auto"/>
          </w:divBdr>
          <w:divsChild>
            <w:div w:id="160792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5373">
      <w:marLeft w:val="0"/>
      <w:marRight w:val="0"/>
      <w:marTop w:val="0"/>
      <w:marBottom w:val="0"/>
      <w:divBdr>
        <w:top w:val="none" w:sz="0" w:space="0" w:color="auto"/>
        <w:left w:val="none" w:sz="0" w:space="0" w:color="auto"/>
        <w:bottom w:val="none" w:sz="0" w:space="0" w:color="auto"/>
        <w:right w:val="none" w:sz="0" w:space="0" w:color="auto"/>
      </w:divBdr>
    </w:div>
    <w:div w:id="302388395">
      <w:marLeft w:val="0"/>
      <w:marRight w:val="0"/>
      <w:marTop w:val="0"/>
      <w:marBottom w:val="0"/>
      <w:divBdr>
        <w:top w:val="none" w:sz="0" w:space="0" w:color="auto"/>
        <w:left w:val="none" w:sz="0" w:space="0" w:color="auto"/>
        <w:bottom w:val="none" w:sz="0" w:space="0" w:color="auto"/>
        <w:right w:val="none" w:sz="0" w:space="0" w:color="auto"/>
      </w:divBdr>
    </w:div>
    <w:div w:id="595401217">
      <w:marLeft w:val="0"/>
      <w:marRight w:val="0"/>
      <w:marTop w:val="0"/>
      <w:marBottom w:val="0"/>
      <w:divBdr>
        <w:top w:val="none" w:sz="0" w:space="0" w:color="auto"/>
        <w:left w:val="none" w:sz="0" w:space="0" w:color="auto"/>
        <w:bottom w:val="none" w:sz="0" w:space="0" w:color="auto"/>
        <w:right w:val="none" w:sz="0" w:space="0" w:color="auto"/>
      </w:divBdr>
      <w:divsChild>
        <w:div w:id="439837457">
          <w:marLeft w:val="0"/>
          <w:marRight w:val="0"/>
          <w:marTop w:val="0"/>
          <w:marBottom w:val="0"/>
          <w:divBdr>
            <w:top w:val="none" w:sz="0" w:space="0" w:color="auto"/>
            <w:left w:val="none" w:sz="0" w:space="0" w:color="auto"/>
            <w:bottom w:val="none" w:sz="0" w:space="0" w:color="auto"/>
            <w:right w:val="none" w:sz="0" w:space="0" w:color="auto"/>
          </w:divBdr>
        </w:div>
      </w:divsChild>
    </w:div>
    <w:div w:id="634221322">
      <w:marLeft w:val="0"/>
      <w:marRight w:val="0"/>
      <w:marTop w:val="0"/>
      <w:marBottom w:val="0"/>
      <w:divBdr>
        <w:top w:val="none" w:sz="0" w:space="0" w:color="auto"/>
        <w:left w:val="none" w:sz="0" w:space="0" w:color="auto"/>
        <w:bottom w:val="none" w:sz="0" w:space="0" w:color="auto"/>
        <w:right w:val="none" w:sz="0" w:space="0" w:color="auto"/>
      </w:divBdr>
    </w:div>
    <w:div w:id="885331931">
      <w:marLeft w:val="0"/>
      <w:marRight w:val="0"/>
      <w:marTop w:val="0"/>
      <w:marBottom w:val="0"/>
      <w:divBdr>
        <w:top w:val="none" w:sz="0" w:space="0" w:color="auto"/>
        <w:left w:val="none" w:sz="0" w:space="0" w:color="auto"/>
        <w:bottom w:val="none" w:sz="0" w:space="0" w:color="auto"/>
        <w:right w:val="none" w:sz="0" w:space="0" w:color="auto"/>
      </w:divBdr>
    </w:div>
    <w:div w:id="902300006">
      <w:marLeft w:val="0"/>
      <w:marRight w:val="0"/>
      <w:marTop w:val="0"/>
      <w:marBottom w:val="0"/>
      <w:divBdr>
        <w:top w:val="none" w:sz="0" w:space="0" w:color="auto"/>
        <w:left w:val="none" w:sz="0" w:space="0" w:color="auto"/>
        <w:bottom w:val="none" w:sz="0" w:space="0" w:color="auto"/>
        <w:right w:val="none" w:sz="0" w:space="0" w:color="auto"/>
      </w:divBdr>
    </w:div>
    <w:div w:id="924993848">
      <w:marLeft w:val="0"/>
      <w:marRight w:val="0"/>
      <w:marTop w:val="0"/>
      <w:marBottom w:val="0"/>
      <w:divBdr>
        <w:top w:val="none" w:sz="0" w:space="0" w:color="auto"/>
        <w:left w:val="none" w:sz="0" w:space="0" w:color="auto"/>
        <w:bottom w:val="none" w:sz="0" w:space="0" w:color="auto"/>
        <w:right w:val="none" w:sz="0" w:space="0" w:color="auto"/>
      </w:divBdr>
    </w:div>
    <w:div w:id="1058240933">
      <w:marLeft w:val="0"/>
      <w:marRight w:val="0"/>
      <w:marTop w:val="0"/>
      <w:marBottom w:val="0"/>
      <w:divBdr>
        <w:top w:val="none" w:sz="0" w:space="0" w:color="auto"/>
        <w:left w:val="none" w:sz="0" w:space="0" w:color="auto"/>
        <w:bottom w:val="none" w:sz="0" w:space="0" w:color="auto"/>
        <w:right w:val="none" w:sz="0" w:space="0" w:color="auto"/>
      </w:divBdr>
    </w:div>
    <w:div w:id="1187213773">
      <w:marLeft w:val="0"/>
      <w:marRight w:val="0"/>
      <w:marTop w:val="0"/>
      <w:marBottom w:val="0"/>
      <w:divBdr>
        <w:top w:val="none" w:sz="0" w:space="0" w:color="auto"/>
        <w:left w:val="none" w:sz="0" w:space="0" w:color="auto"/>
        <w:bottom w:val="none" w:sz="0" w:space="0" w:color="auto"/>
        <w:right w:val="none" w:sz="0" w:space="0" w:color="auto"/>
      </w:divBdr>
    </w:div>
    <w:div w:id="1447656979">
      <w:marLeft w:val="0"/>
      <w:marRight w:val="0"/>
      <w:marTop w:val="0"/>
      <w:marBottom w:val="0"/>
      <w:divBdr>
        <w:top w:val="none" w:sz="0" w:space="0" w:color="auto"/>
        <w:left w:val="none" w:sz="0" w:space="0" w:color="auto"/>
        <w:bottom w:val="none" w:sz="0" w:space="0" w:color="auto"/>
        <w:right w:val="none" w:sz="0" w:space="0" w:color="auto"/>
      </w:divBdr>
    </w:div>
    <w:div w:id="1486320019">
      <w:marLeft w:val="0"/>
      <w:marRight w:val="0"/>
      <w:marTop w:val="0"/>
      <w:marBottom w:val="0"/>
      <w:divBdr>
        <w:top w:val="none" w:sz="0" w:space="0" w:color="auto"/>
        <w:left w:val="none" w:sz="0" w:space="0" w:color="auto"/>
        <w:bottom w:val="none" w:sz="0" w:space="0" w:color="auto"/>
        <w:right w:val="none" w:sz="0" w:space="0" w:color="auto"/>
      </w:divBdr>
    </w:div>
    <w:div w:id="1602059887">
      <w:marLeft w:val="0"/>
      <w:marRight w:val="0"/>
      <w:marTop w:val="0"/>
      <w:marBottom w:val="0"/>
      <w:divBdr>
        <w:top w:val="none" w:sz="0" w:space="0" w:color="auto"/>
        <w:left w:val="none" w:sz="0" w:space="0" w:color="auto"/>
        <w:bottom w:val="none" w:sz="0" w:space="0" w:color="auto"/>
        <w:right w:val="none" w:sz="0" w:space="0" w:color="auto"/>
      </w:divBdr>
    </w:div>
    <w:div w:id="1763260096">
      <w:marLeft w:val="0"/>
      <w:marRight w:val="0"/>
      <w:marTop w:val="0"/>
      <w:marBottom w:val="0"/>
      <w:divBdr>
        <w:top w:val="none" w:sz="0" w:space="0" w:color="auto"/>
        <w:left w:val="none" w:sz="0" w:space="0" w:color="auto"/>
        <w:bottom w:val="none" w:sz="0" w:space="0" w:color="auto"/>
        <w:right w:val="none" w:sz="0" w:space="0" w:color="auto"/>
      </w:divBdr>
    </w:div>
    <w:div w:id="1851336964">
      <w:marLeft w:val="0"/>
      <w:marRight w:val="0"/>
      <w:marTop w:val="0"/>
      <w:marBottom w:val="0"/>
      <w:divBdr>
        <w:top w:val="none" w:sz="0" w:space="0" w:color="auto"/>
        <w:left w:val="none" w:sz="0" w:space="0" w:color="auto"/>
        <w:bottom w:val="none" w:sz="0" w:space="0" w:color="auto"/>
        <w:right w:val="none" w:sz="0" w:space="0" w:color="auto"/>
      </w:divBdr>
    </w:div>
    <w:div w:id="2103915733">
      <w:marLeft w:val="0"/>
      <w:marRight w:val="0"/>
      <w:marTop w:val="0"/>
      <w:marBottom w:val="0"/>
      <w:divBdr>
        <w:top w:val="none" w:sz="0" w:space="0" w:color="auto"/>
        <w:left w:val="none" w:sz="0" w:space="0" w:color="auto"/>
        <w:bottom w:val="none" w:sz="0" w:space="0" w:color="auto"/>
        <w:right w:val="none" w:sz="0" w:space="0" w:color="auto"/>
      </w:divBdr>
    </w:div>
    <w:div w:id="21080357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763D4-C423-47DB-8021-00D63804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6214</Words>
  <Characters>2889</Characters>
  <Application>Microsoft Office Word</Application>
  <DocSecurity>0</DocSecurity>
  <Lines>24</Lines>
  <Paragraphs>18</Paragraphs>
  <ScaleCrop>false</ScaleCrop>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QD季报</dc:title>
  <dc:subject/>
  <dc:creator>yss</dc:creator>
  <cp:keywords/>
  <dc:description/>
  <cp:lastModifiedBy>Alex.Huang@FA</cp:lastModifiedBy>
  <cp:revision>3</cp:revision>
  <dcterms:created xsi:type="dcterms:W3CDTF">2025-04-15T12:24:00Z</dcterms:created>
  <dcterms:modified xsi:type="dcterms:W3CDTF">2025-04-21T07:47:00Z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