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上投摩根安裕回报混合型证券投资基金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C664FC" w:rsidRDefault="00CF157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C664FC" w:rsidRDefault="00CF157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C664FC" w:rsidRDefault="00CF157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664FC" w:rsidRDefault="00CF157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C664FC" w:rsidRDefault="00CF157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上投摩根安裕回报混合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004823</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13</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823,608,251.11</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以追求稳健收益作为基金的投资目标，通过严格的风险控制，力争实现基金资产的稳健增值。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C664FC" w:rsidRDefault="00CF15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rsidR="00C664FC" w:rsidRDefault="00CF15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在大类资产配置上，本基金通过对宏观经济环境、财政政策、货币政策、</w:t>
            </w:r>
            <w:r>
              <w:rPr>
                <w:rFonts w:eastAsiaTheme="minorEastAsia"/>
                <w:color w:val="000000" w:themeColor="text1"/>
                <w:kern w:val="0"/>
                <w:szCs w:val="21"/>
              </w:rPr>
              <w:t xml:space="preserve"> </w:t>
            </w:r>
            <w:r>
              <w:rPr>
                <w:rFonts w:eastAsiaTheme="minorEastAsia"/>
                <w:color w:val="000000" w:themeColor="text1"/>
                <w:kern w:val="0"/>
                <w:szCs w:val="21"/>
              </w:rPr>
              <w:t>产业政策的分析和预测，判断宏观经济所处的经济周期及运行趋势，结合对资金</w:t>
            </w:r>
            <w:r>
              <w:rPr>
                <w:rFonts w:eastAsiaTheme="minorEastAsia"/>
                <w:color w:val="000000" w:themeColor="text1"/>
                <w:kern w:val="0"/>
                <w:szCs w:val="21"/>
              </w:rPr>
              <w:t xml:space="preserve"> </w:t>
            </w:r>
            <w:r>
              <w:rPr>
                <w:rFonts w:eastAsiaTheme="minorEastAsia"/>
                <w:color w:val="000000" w:themeColor="text1"/>
                <w:kern w:val="0"/>
                <w:szCs w:val="21"/>
              </w:rPr>
              <w:t>供求状况、股票债券市场的估值水平以及市场情绪的分析，评估各类别资产的风</w:t>
            </w:r>
            <w:r>
              <w:rPr>
                <w:rFonts w:eastAsiaTheme="minorEastAsia"/>
                <w:color w:val="000000" w:themeColor="text1"/>
                <w:kern w:val="0"/>
                <w:szCs w:val="21"/>
              </w:rPr>
              <w:t xml:space="preserve"> </w:t>
            </w:r>
            <w:r>
              <w:rPr>
                <w:rFonts w:eastAsiaTheme="minorEastAsia"/>
                <w:color w:val="000000" w:themeColor="text1"/>
                <w:kern w:val="0"/>
                <w:szCs w:val="21"/>
              </w:rPr>
              <w:t>险收益特征，并加以分析比较，形成对不同类别资产表现的预测，确定基金资产在股票、债券及货币市</w:t>
            </w:r>
            <w:r>
              <w:rPr>
                <w:rFonts w:eastAsiaTheme="minorEastAsia"/>
                <w:color w:val="000000" w:themeColor="text1"/>
                <w:kern w:val="0"/>
                <w:szCs w:val="21"/>
              </w:rPr>
              <w:lastRenderedPageBreak/>
              <w:t>场工具等类别资产间的配置比例。本基金密切关注市场风险的变化以及各类别资产的风险收益的相对变化趋势，动态调整各大类资产之间的比例，在严格控制基金下行风险的前提下，力争提高基金收益。</w:t>
            </w:r>
            <w:r>
              <w:rPr>
                <w:rFonts w:eastAsiaTheme="minorEastAsia"/>
                <w:color w:val="000000" w:themeColor="text1"/>
                <w:kern w:val="0"/>
                <w:szCs w:val="21"/>
              </w:rPr>
              <w:t xml:space="preserve"> </w:t>
            </w:r>
          </w:p>
          <w:p w:rsidR="00C664FC" w:rsidRDefault="00CF15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、债券投资策略</w:t>
            </w:r>
          </w:p>
          <w:p w:rsidR="00C664FC" w:rsidRDefault="00CF15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本基金在控制市场风险与流动性风险的前提下，根据对财政政策、货币政策的深入分析以及对宏观经济的持续跟踪，结合不同债券品种的到期收益率、流</w:t>
            </w:r>
            <w:r>
              <w:rPr>
                <w:rFonts w:eastAsiaTheme="minorEastAsia"/>
                <w:color w:val="000000" w:themeColor="text1"/>
                <w:kern w:val="0"/>
                <w:szCs w:val="21"/>
              </w:rPr>
              <w:t xml:space="preserve"> </w:t>
            </w:r>
            <w:r>
              <w:rPr>
                <w:rFonts w:eastAsiaTheme="minorEastAsia"/>
                <w:color w:val="000000" w:themeColor="text1"/>
                <w:kern w:val="0"/>
                <w:szCs w:val="21"/>
              </w:rPr>
              <w:t>动性、市场规模等情况，灵活运用久期策略、期限结构配置策略、信用债策略、</w:t>
            </w:r>
            <w:r>
              <w:rPr>
                <w:rFonts w:eastAsiaTheme="minorEastAsia"/>
                <w:color w:val="000000" w:themeColor="text1"/>
                <w:kern w:val="0"/>
                <w:szCs w:val="21"/>
              </w:rPr>
              <w:t xml:space="preserve"> </w:t>
            </w:r>
            <w:r>
              <w:rPr>
                <w:rFonts w:eastAsiaTheme="minorEastAsia"/>
                <w:color w:val="000000" w:themeColor="text1"/>
                <w:kern w:val="0"/>
                <w:szCs w:val="21"/>
              </w:rPr>
              <w:t>可转债策略等多种投资策略，实施积极主动的组合管理，并根据对债券收益率曲线形态、息差变化的预测，对债券组合进行动态调整。</w:t>
            </w:r>
            <w:r>
              <w:rPr>
                <w:rFonts w:eastAsiaTheme="minorEastAsia"/>
                <w:color w:val="000000" w:themeColor="text1"/>
                <w:kern w:val="0"/>
                <w:szCs w:val="21"/>
              </w:rPr>
              <w:t xml:space="preserve"> </w:t>
            </w:r>
          </w:p>
          <w:p w:rsidR="00C664FC" w:rsidRDefault="00CF15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rsidR="00C664FC" w:rsidRDefault="00CF157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本基金采用自下而上的分析方法，根据上市公司财务分析、盈利预期、治理结构等因素，结合股票的价值评估，以及对公司经营有实质性影响的事件，精选个股，构建投资组合。</w:t>
            </w:r>
            <w:r>
              <w:rPr>
                <w:rFonts w:eastAsiaTheme="minorEastAsia"/>
                <w:color w:val="000000" w:themeColor="text1"/>
                <w:kern w:val="0"/>
                <w:szCs w:val="21"/>
              </w:rPr>
              <w:t xml:space="preserve"> </w:t>
            </w:r>
            <w:r>
              <w:rPr>
                <w:rFonts w:eastAsiaTheme="minorEastAsia"/>
                <w:color w:val="000000" w:themeColor="text1"/>
                <w:kern w:val="0"/>
                <w:szCs w:val="21"/>
              </w:rPr>
              <w:t>对于港股，本基金在分析宏观经济形势和行业发展基础上，精选港股市场中的优质上市企业，有针对性地根据不同指标选取具有成长性和投资价值的上市公司构建股票池。</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、其他投资策略：包括股指期货投资策略、股票期权投资策略、资产支持证券投资策略、存托凭证投资策略。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×30%+</w:t>
            </w:r>
            <w:r w:rsidRPr="00B27A29">
              <w:rPr>
                <w:rFonts w:eastAsiaTheme="minorEastAsia"/>
                <w:color w:val="000000" w:themeColor="text1"/>
                <w:kern w:val="0"/>
                <w:szCs w:val="21"/>
              </w:rPr>
              <w:t>中证综合债券指数收益率</w:t>
            </w:r>
            <w:r w:rsidRPr="00B27A29">
              <w:rPr>
                <w:rFonts w:eastAsiaTheme="minorEastAsia"/>
                <w:color w:val="000000" w:themeColor="text1"/>
                <w:kern w:val="0"/>
                <w:szCs w:val="21"/>
              </w:rPr>
              <w:t>×70%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上投摩根安裕回报混合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上投摩根安裕回报混合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004823</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004824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275,444,059.18</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548,164,191.93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上投摩根安裕回报混合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上投摩根安裕回报混合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4,652,266.40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5,659,895.28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-9,074,794.75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-19,460,129.08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-0.0291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-0.0372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382,809,430.61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746,046,869.84</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1.3898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1.3610</w:t>
            </w:r>
          </w:p>
        </w:tc>
      </w:tr>
    </w:tbl>
    <w:p w:rsidR="00C664FC" w:rsidRDefault="00CF157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上投摩根安裕回报混合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664FC">
        <w:tc>
          <w:tcPr>
            <w:tcW w:w="1290" w:type="dxa"/>
            <w:vAlign w:val="center"/>
          </w:tcPr>
          <w:p w:rsidR="00C664FC" w:rsidRDefault="00CF1577">
            <w:pPr>
              <w:jc w:val="left"/>
            </w:pPr>
            <w:r>
              <w:rPr>
                <w:rFonts w:eastAsiaTheme="minorEastAsia"/>
                <w:color w:val="000000" w:themeColor="text1"/>
                <w:szCs w:val="21"/>
              </w:rPr>
              <w:t>过去三个月</w:t>
            </w:r>
          </w:p>
        </w:tc>
        <w:tc>
          <w:tcPr>
            <w:tcW w:w="1291" w:type="dxa"/>
            <w:vAlign w:val="center"/>
          </w:tcPr>
          <w:p w:rsidR="00C664FC" w:rsidRDefault="00CF1577">
            <w:pPr>
              <w:jc w:val="right"/>
            </w:pPr>
            <w:r>
              <w:rPr>
                <w:rFonts w:eastAsiaTheme="minorEastAsia"/>
                <w:color w:val="000000" w:themeColor="text1"/>
                <w:szCs w:val="21"/>
              </w:rPr>
              <w:t>-2.32%</w:t>
            </w:r>
          </w:p>
        </w:tc>
        <w:tc>
          <w:tcPr>
            <w:tcW w:w="1291" w:type="dxa"/>
            <w:vAlign w:val="center"/>
          </w:tcPr>
          <w:p w:rsidR="00C664FC" w:rsidRDefault="00CF1577">
            <w:pPr>
              <w:jc w:val="right"/>
            </w:pPr>
            <w:r>
              <w:rPr>
                <w:rFonts w:eastAsiaTheme="minorEastAsia"/>
                <w:color w:val="000000" w:themeColor="text1"/>
                <w:szCs w:val="21"/>
              </w:rPr>
              <w:t>0.49%</w:t>
            </w:r>
          </w:p>
        </w:tc>
        <w:tc>
          <w:tcPr>
            <w:tcW w:w="1291" w:type="dxa"/>
            <w:vAlign w:val="center"/>
          </w:tcPr>
          <w:p w:rsidR="00C664FC" w:rsidRDefault="00CF1577">
            <w:pPr>
              <w:jc w:val="right"/>
            </w:pPr>
            <w:r>
              <w:rPr>
                <w:rFonts w:eastAsiaTheme="minorEastAsia"/>
                <w:color w:val="000000" w:themeColor="text1"/>
                <w:szCs w:val="21"/>
              </w:rPr>
              <w:t>-3.82%</w:t>
            </w:r>
          </w:p>
        </w:tc>
        <w:tc>
          <w:tcPr>
            <w:tcW w:w="1291" w:type="dxa"/>
            <w:vAlign w:val="center"/>
          </w:tcPr>
          <w:p w:rsidR="00C664FC" w:rsidRDefault="00CF1577">
            <w:pPr>
              <w:jc w:val="right"/>
            </w:pPr>
            <w:r>
              <w:rPr>
                <w:rFonts w:eastAsiaTheme="minorEastAsia"/>
                <w:color w:val="000000" w:themeColor="text1"/>
                <w:szCs w:val="21"/>
              </w:rPr>
              <w:t>0.44%</w:t>
            </w:r>
          </w:p>
        </w:tc>
        <w:tc>
          <w:tcPr>
            <w:tcW w:w="1291" w:type="dxa"/>
            <w:vAlign w:val="center"/>
          </w:tcPr>
          <w:p w:rsidR="00C664FC" w:rsidRDefault="00CF1577">
            <w:pPr>
              <w:jc w:val="right"/>
            </w:pPr>
            <w:r>
              <w:rPr>
                <w:rFonts w:eastAsiaTheme="minorEastAsia"/>
                <w:color w:val="000000" w:themeColor="text1"/>
                <w:szCs w:val="21"/>
              </w:rPr>
              <w:t>1.50%</w:t>
            </w:r>
          </w:p>
        </w:tc>
        <w:tc>
          <w:tcPr>
            <w:tcW w:w="1291" w:type="dxa"/>
            <w:vAlign w:val="center"/>
          </w:tcPr>
          <w:p w:rsidR="00C664FC" w:rsidRDefault="00CF1577">
            <w:pPr>
              <w:jc w:val="right"/>
            </w:pPr>
            <w:r>
              <w:rPr>
                <w:rFonts w:eastAsiaTheme="minorEastAsia"/>
                <w:color w:val="000000" w:themeColor="text1"/>
                <w:szCs w:val="21"/>
              </w:rPr>
              <w:t>0.05%</w:t>
            </w:r>
          </w:p>
        </w:tc>
      </w:tr>
      <w:tr w:rsidR="00C664FC">
        <w:tc>
          <w:tcPr>
            <w:tcW w:w="1290" w:type="dxa"/>
            <w:vAlign w:val="center"/>
          </w:tcPr>
          <w:p w:rsidR="00C664FC" w:rsidRDefault="00CF1577">
            <w:pPr>
              <w:jc w:val="left"/>
            </w:pPr>
            <w:r>
              <w:rPr>
                <w:rFonts w:eastAsiaTheme="minorEastAsia"/>
                <w:color w:val="000000" w:themeColor="text1"/>
                <w:szCs w:val="21"/>
              </w:rPr>
              <w:t>过去六个月</w:t>
            </w:r>
          </w:p>
        </w:tc>
        <w:tc>
          <w:tcPr>
            <w:tcW w:w="1291" w:type="dxa"/>
            <w:vAlign w:val="center"/>
          </w:tcPr>
          <w:p w:rsidR="00C664FC" w:rsidRDefault="00CF1577">
            <w:pPr>
              <w:jc w:val="right"/>
            </w:pPr>
            <w:r>
              <w:rPr>
                <w:rFonts w:eastAsiaTheme="minorEastAsia"/>
                <w:color w:val="000000" w:themeColor="text1"/>
                <w:szCs w:val="21"/>
              </w:rPr>
              <w:t>-1.12%</w:t>
            </w:r>
          </w:p>
        </w:tc>
        <w:tc>
          <w:tcPr>
            <w:tcW w:w="1291" w:type="dxa"/>
            <w:vAlign w:val="center"/>
          </w:tcPr>
          <w:p w:rsidR="00C664FC" w:rsidRDefault="00CF1577">
            <w:pPr>
              <w:jc w:val="right"/>
            </w:pPr>
            <w:r>
              <w:rPr>
                <w:rFonts w:eastAsiaTheme="minorEastAsia"/>
                <w:color w:val="000000" w:themeColor="text1"/>
                <w:szCs w:val="21"/>
              </w:rPr>
              <w:t>0.38%</w:t>
            </w:r>
          </w:p>
        </w:tc>
        <w:tc>
          <w:tcPr>
            <w:tcW w:w="1291" w:type="dxa"/>
            <w:vAlign w:val="center"/>
          </w:tcPr>
          <w:p w:rsidR="00C664FC" w:rsidRDefault="00CF1577">
            <w:pPr>
              <w:jc w:val="right"/>
            </w:pPr>
            <w:r>
              <w:rPr>
                <w:rFonts w:eastAsiaTheme="minorEastAsia"/>
                <w:color w:val="000000" w:themeColor="text1"/>
                <w:szCs w:val="21"/>
              </w:rPr>
              <w:t>-2.55%</w:t>
            </w:r>
          </w:p>
        </w:tc>
        <w:tc>
          <w:tcPr>
            <w:tcW w:w="1291" w:type="dxa"/>
            <w:vAlign w:val="center"/>
          </w:tcPr>
          <w:p w:rsidR="00C664FC" w:rsidRDefault="00CF1577">
            <w:pPr>
              <w:jc w:val="right"/>
            </w:pPr>
            <w:r>
              <w:rPr>
                <w:rFonts w:eastAsiaTheme="minorEastAsia"/>
                <w:color w:val="000000" w:themeColor="text1"/>
                <w:szCs w:val="21"/>
              </w:rPr>
              <w:t>0.35%</w:t>
            </w:r>
          </w:p>
        </w:tc>
        <w:tc>
          <w:tcPr>
            <w:tcW w:w="1291" w:type="dxa"/>
            <w:vAlign w:val="center"/>
          </w:tcPr>
          <w:p w:rsidR="00C664FC" w:rsidRDefault="00CF1577">
            <w:pPr>
              <w:jc w:val="right"/>
            </w:pPr>
            <w:r>
              <w:rPr>
                <w:rFonts w:eastAsiaTheme="minorEastAsia"/>
                <w:color w:val="000000" w:themeColor="text1"/>
                <w:szCs w:val="21"/>
              </w:rPr>
              <w:t>1.43%</w:t>
            </w:r>
          </w:p>
        </w:tc>
        <w:tc>
          <w:tcPr>
            <w:tcW w:w="1291" w:type="dxa"/>
            <w:vAlign w:val="center"/>
          </w:tcPr>
          <w:p w:rsidR="00C664FC" w:rsidRDefault="00CF1577">
            <w:pPr>
              <w:jc w:val="right"/>
            </w:pPr>
            <w:r>
              <w:rPr>
                <w:rFonts w:eastAsiaTheme="minorEastAsia"/>
                <w:color w:val="000000" w:themeColor="text1"/>
                <w:szCs w:val="21"/>
              </w:rPr>
              <w:t>0.03%</w:t>
            </w:r>
          </w:p>
        </w:tc>
      </w:tr>
      <w:tr w:rsidR="00C664FC">
        <w:tc>
          <w:tcPr>
            <w:tcW w:w="1290" w:type="dxa"/>
            <w:vAlign w:val="center"/>
          </w:tcPr>
          <w:p w:rsidR="00C664FC" w:rsidRDefault="00CF1577">
            <w:pPr>
              <w:jc w:val="left"/>
            </w:pPr>
            <w:r>
              <w:rPr>
                <w:rFonts w:eastAsiaTheme="minorEastAsia"/>
                <w:color w:val="000000" w:themeColor="text1"/>
                <w:szCs w:val="21"/>
              </w:rPr>
              <w:t>过去一年</w:t>
            </w:r>
          </w:p>
        </w:tc>
        <w:tc>
          <w:tcPr>
            <w:tcW w:w="1291" w:type="dxa"/>
            <w:vAlign w:val="center"/>
          </w:tcPr>
          <w:p w:rsidR="00C664FC" w:rsidRDefault="00CF1577">
            <w:pPr>
              <w:jc w:val="right"/>
            </w:pPr>
            <w:r>
              <w:rPr>
                <w:rFonts w:eastAsiaTheme="minorEastAsia"/>
                <w:color w:val="000000" w:themeColor="text1"/>
                <w:szCs w:val="21"/>
              </w:rPr>
              <w:t>1.05%</w:t>
            </w:r>
          </w:p>
        </w:tc>
        <w:tc>
          <w:tcPr>
            <w:tcW w:w="1291" w:type="dxa"/>
            <w:vAlign w:val="center"/>
          </w:tcPr>
          <w:p w:rsidR="00C664FC" w:rsidRDefault="00CF1577">
            <w:pPr>
              <w:jc w:val="right"/>
            </w:pPr>
            <w:r>
              <w:rPr>
                <w:rFonts w:eastAsiaTheme="minorEastAsia"/>
                <w:color w:val="000000" w:themeColor="text1"/>
                <w:szCs w:val="21"/>
              </w:rPr>
              <w:t>0.31%</w:t>
            </w:r>
          </w:p>
        </w:tc>
        <w:tc>
          <w:tcPr>
            <w:tcW w:w="1291" w:type="dxa"/>
            <w:vAlign w:val="center"/>
          </w:tcPr>
          <w:p w:rsidR="00C664FC" w:rsidRDefault="00CF1577">
            <w:pPr>
              <w:jc w:val="right"/>
            </w:pPr>
            <w:r>
              <w:rPr>
                <w:rFonts w:eastAsiaTheme="minorEastAsia"/>
                <w:color w:val="000000" w:themeColor="text1"/>
                <w:szCs w:val="21"/>
              </w:rPr>
              <w:t>-1.38%</w:t>
            </w:r>
          </w:p>
        </w:tc>
        <w:tc>
          <w:tcPr>
            <w:tcW w:w="1291" w:type="dxa"/>
            <w:vAlign w:val="center"/>
          </w:tcPr>
          <w:p w:rsidR="00C664FC" w:rsidRDefault="00CF1577">
            <w:pPr>
              <w:jc w:val="right"/>
            </w:pPr>
            <w:r>
              <w:rPr>
                <w:rFonts w:eastAsiaTheme="minorEastAsia"/>
                <w:color w:val="000000" w:themeColor="text1"/>
                <w:szCs w:val="21"/>
              </w:rPr>
              <w:t>0.34%</w:t>
            </w:r>
          </w:p>
        </w:tc>
        <w:tc>
          <w:tcPr>
            <w:tcW w:w="1291" w:type="dxa"/>
            <w:vAlign w:val="center"/>
          </w:tcPr>
          <w:p w:rsidR="00C664FC" w:rsidRDefault="00CF1577">
            <w:pPr>
              <w:jc w:val="right"/>
            </w:pPr>
            <w:r>
              <w:rPr>
                <w:rFonts w:eastAsiaTheme="minorEastAsia"/>
                <w:color w:val="000000" w:themeColor="text1"/>
                <w:szCs w:val="21"/>
              </w:rPr>
              <w:t>2.43%</w:t>
            </w:r>
          </w:p>
        </w:tc>
        <w:tc>
          <w:tcPr>
            <w:tcW w:w="1291" w:type="dxa"/>
            <w:vAlign w:val="center"/>
          </w:tcPr>
          <w:p w:rsidR="00C664FC" w:rsidRDefault="00CF1577">
            <w:pPr>
              <w:jc w:val="right"/>
            </w:pPr>
            <w:r>
              <w:rPr>
                <w:rFonts w:eastAsiaTheme="minorEastAsia"/>
                <w:color w:val="000000" w:themeColor="text1"/>
                <w:szCs w:val="21"/>
              </w:rPr>
              <w:t>-0.03%</w:t>
            </w:r>
          </w:p>
        </w:tc>
      </w:tr>
      <w:tr w:rsidR="00C664FC">
        <w:tc>
          <w:tcPr>
            <w:tcW w:w="1290" w:type="dxa"/>
            <w:vAlign w:val="center"/>
          </w:tcPr>
          <w:p w:rsidR="00C664FC" w:rsidRDefault="00CF1577">
            <w:pPr>
              <w:jc w:val="left"/>
            </w:pPr>
            <w:r>
              <w:rPr>
                <w:rFonts w:eastAsiaTheme="minorEastAsia"/>
                <w:color w:val="000000" w:themeColor="text1"/>
                <w:szCs w:val="21"/>
              </w:rPr>
              <w:t>过去三年</w:t>
            </w:r>
          </w:p>
        </w:tc>
        <w:tc>
          <w:tcPr>
            <w:tcW w:w="1291" w:type="dxa"/>
            <w:vAlign w:val="center"/>
          </w:tcPr>
          <w:p w:rsidR="00C664FC" w:rsidRDefault="00CF1577">
            <w:pPr>
              <w:jc w:val="right"/>
            </w:pPr>
            <w:r>
              <w:rPr>
                <w:rFonts w:eastAsiaTheme="minorEastAsia"/>
                <w:color w:val="000000" w:themeColor="text1"/>
                <w:szCs w:val="21"/>
              </w:rPr>
              <w:t>32.75%</w:t>
            </w:r>
          </w:p>
        </w:tc>
        <w:tc>
          <w:tcPr>
            <w:tcW w:w="1291" w:type="dxa"/>
            <w:vAlign w:val="center"/>
          </w:tcPr>
          <w:p w:rsidR="00C664FC" w:rsidRDefault="00CF1577">
            <w:pPr>
              <w:jc w:val="right"/>
            </w:pPr>
            <w:r>
              <w:rPr>
                <w:rFonts w:eastAsiaTheme="minorEastAsia"/>
                <w:color w:val="000000" w:themeColor="text1"/>
                <w:szCs w:val="21"/>
              </w:rPr>
              <w:t>0.35%</w:t>
            </w:r>
          </w:p>
        </w:tc>
        <w:tc>
          <w:tcPr>
            <w:tcW w:w="1291" w:type="dxa"/>
            <w:vAlign w:val="center"/>
          </w:tcPr>
          <w:p w:rsidR="00C664FC" w:rsidRDefault="00CF1577">
            <w:pPr>
              <w:jc w:val="right"/>
            </w:pPr>
            <w:r>
              <w:rPr>
                <w:rFonts w:eastAsiaTheme="minorEastAsia"/>
                <w:color w:val="000000" w:themeColor="text1"/>
                <w:szCs w:val="21"/>
              </w:rPr>
              <w:t>11.64%</w:t>
            </w:r>
          </w:p>
        </w:tc>
        <w:tc>
          <w:tcPr>
            <w:tcW w:w="1291" w:type="dxa"/>
            <w:vAlign w:val="center"/>
          </w:tcPr>
          <w:p w:rsidR="00C664FC" w:rsidRDefault="00CF1577">
            <w:pPr>
              <w:jc w:val="right"/>
            </w:pPr>
            <w:r>
              <w:rPr>
                <w:rFonts w:eastAsiaTheme="minorEastAsia"/>
                <w:color w:val="000000" w:themeColor="text1"/>
                <w:szCs w:val="21"/>
              </w:rPr>
              <w:t>0.38%</w:t>
            </w:r>
          </w:p>
        </w:tc>
        <w:tc>
          <w:tcPr>
            <w:tcW w:w="1291" w:type="dxa"/>
            <w:vAlign w:val="center"/>
          </w:tcPr>
          <w:p w:rsidR="00C664FC" w:rsidRDefault="00CF1577">
            <w:pPr>
              <w:jc w:val="right"/>
            </w:pPr>
            <w:r>
              <w:rPr>
                <w:rFonts w:eastAsiaTheme="minorEastAsia"/>
                <w:color w:val="000000" w:themeColor="text1"/>
                <w:szCs w:val="21"/>
              </w:rPr>
              <w:t>21.11%</w:t>
            </w:r>
          </w:p>
        </w:tc>
        <w:tc>
          <w:tcPr>
            <w:tcW w:w="1291" w:type="dxa"/>
            <w:vAlign w:val="center"/>
          </w:tcPr>
          <w:p w:rsidR="00C664FC" w:rsidRDefault="00CF1577">
            <w:pPr>
              <w:jc w:val="right"/>
            </w:pPr>
            <w:r>
              <w:rPr>
                <w:rFonts w:eastAsiaTheme="minorEastAsia"/>
                <w:color w:val="000000" w:themeColor="text1"/>
                <w:szCs w:val="21"/>
              </w:rPr>
              <w:t>-0.03%</w:t>
            </w:r>
          </w:p>
        </w:tc>
      </w:tr>
      <w:tr w:rsidR="00C664FC">
        <w:tc>
          <w:tcPr>
            <w:tcW w:w="1290" w:type="dxa"/>
            <w:vAlign w:val="center"/>
          </w:tcPr>
          <w:p w:rsidR="00C664FC" w:rsidRDefault="00CF1577">
            <w:pPr>
              <w:jc w:val="left"/>
            </w:pPr>
            <w:r>
              <w:rPr>
                <w:rFonts w:eastAsiaTheme="minorEastAsia"/>
                <w:color w:val="000000" w:themeColor="text1"/>
                <w:szCs w:val="21"/>
              </w:rPr>
              <w:t>过去五年</w:t>
            </w:r>
          </w:p>
        </w:tc>
        <w:tc>
          <w:tcPr>
            <w:tcW w:w="1291" w:type="dxa"/>
            <w:vAlign w:val="center"/>
          </w:tcPr>
          <w:p w:rsidR="00C664FC" w:rsidRDefault="00CF1577">
            <w:pPr>
              <w:jc w:val="right"/>
            </w:pPr>
            <w:r>
              <w:rPr>
                <w:rFonts w:eastAsiaTheme="minorEastAsia"/>
                <w:color w:val="000000" w:themeColor="text1"/>
                <w:szCs w:val="21"/>
              </w:rPr>
              <w:t>-</w:t>
            </w:r>
          </w:p>
        </w:tc>
        <w:tc>
          <w:tcPr>
            <w:tcW w:w="1291" w:type="dxa"/>
            <w:vAlign w:val="center"/>
          </w:tcPr>
          <w:p w:rsidR="00C664FC" w:rsidRDefault="00CF1577">
            <w:pPr>
              <w:jc w:val="right"/>
            </w:pPr>
            <w:r>
              <w:rPr>
                <w:rFonts w:eastAsiaTheme="minorEastAsia"/>
                <w:color w:val="000000" w:themeColor="text1"/>
                <w:szCs w:val="21"/>
              </w:rPr>
              <w:t>-</w:t>
            </w:r>
          </w:p>
        </w:tc>
        <w:tc>
          <w:tcPr>
            <w:tcW w:w="1291" w:type="dxa"/>
            <w:vAlign w:val="center"/>
          </w:tcPr>
          <w:p w:rsidR="00C664FC" w:rsidRDefault="00CF1577">
            <w:pPr>
              <w:jc w:val="right"/>
            </w:pPr>
            <w:r>
              <w:rPr>
                <w:rFonts w:eastAsiaTheme="minorEastAsia"/>
                <w:color w:val="000000" w:themeColor="text1"/>
                <w:szCs w:val="21"/>
              </w:rPr>
              <w:t>-</w:t>
            </w:r>
          </w:p>
        </w:tc>
        <w:tc>
          <w:tcPr>
            <w:tcW w:w="1291" w:type="dxa"/>
            <w:vAlign w:val="center"/>
          </w:tcPr>
          <w:p w:rsidR="00C664FC" w:rsidRDefault="00CF1577">
            <w:pPr>
              <w:jc w:val="right"/>
            </w:pPr>
            <w:r>
              <w:rPr>
                <w:rFonts w:eastAsiaTheme="minorEastAsia"/>
                <w:color w:val="000000" w:themeColor="text1"/>
                <w:szCs w:val="21"/>
              </w:rPr>
              <w:t>-</w:t>
            </w:r>
          </w:p>
        </w:tc>
        <w:tc>
          <w:tcPr>
            <w:tcW w:w="1291" w:type="dxa"/>
            <w:vAlign w:val="center"/>
          </w:tcPr>
          <w:p w:rsidR="00C664FC" w:rsidRDefault="00CF1577">
            <w:pPr>
              <w:jc w:val="right"/>
            </w:pPr>
            <w:r>
              <w:rPr>
                <w:rFonts w:eastAsiaTheme="minorEastAsia"/>
                <w:color w:val="000000" w:themeColor="text1"/>
                <w:szCs w:val="21"/>
              </w:rPr>
              <w:t>-</w:t>
            </w:r>
          </w:p>
        </w:tc>
        <w:tc>
          <w:tcPr>
            <w:tcW w:w="1291" w:type="dxa"/>
            <w:vAlign w:val="center"/>
          </w:tcPr>
          <w:p w:rsidR="00C664FC" w:rsidRDefault="00CF1577">
            <w:pPr>
              <w:jc w:val="right"/>
            </w:pPr>
            <w:r>
              <w:rPr>
                <w:rFonts w:eastAsiaTheme="minorEastAsia"/>
                <w:color w:val="000000" w:themeColor="text1"/>
                <w:szCs w:val="21"/>
              </w:rPr>
              <w:t>-</w:t>
            </w:r>
          </w:p>
        </w:tc>
      </w:tr>
      <w:tr w:rsidR="00C664FC">
        <w:tc>
          <w:tcPr>
            <w:tcW w:w="1290" w:type="dxa"/>
            <w:vAlign w:val="center"/>
          </w:tcPr>
          <w:p w:rsidR="00C664FC" w:rsidRDefault="00CF1577">
            <w:pPr>
              <w:jc w:val="left"/>
            </w:pPr>
            <w:r>
              <w:rPr>
                <w:rFonts w:eastAsiaTheme="minorEastAsia"/>
                <w:color w:val="000000" w:themeColor="text1"/>
                <w:szCs w:val="21"/>
              </w:rPr>
              <w:t>自基金合同生效起至今</w:t>
            </w:r>
          </w:p>
        </w:tc>
        <w:tc>
          <w:tcPr>
            <w:tcW w:w="1291" w:type="dxa"/>
            <w:vAlign w:val="center"/>
          </w:tcPr>
          <w:p w:rsidR="00C664FC" w:rsidRDefault="00CF1577">
            <w:pPr>
              <w:jc w:val="right"/>
            </w:pPr>
            <w:r>
              <w:rPr>
                <w:rFonts w:eastAsiaTheme="minorEastAsia"/>
                <w:color w:val="000000" w:themeColor="text1"/>
                <w:szCs w:val="21"/>
              </w:rPr>
              <w:t>38.98%</w:t>
            </w:r>
          </w:p>
        </w:tc>
        <w:tc>
          <w:tcPr>
            <w:tcW w:w="1291" w:type="dxa"/>
            <w:vAlign w:val="center"/>
          </w:tcPr>
          <w:p w:rsidR="00C664FC" w:rsidRDefault="00CF1577">
            <w:pPr>
              <w:jc w:val="right"/>
            </w:pPr>
            <w:r>
              <w:rPr>
                <w:rFonts w:eastAsiaTheme="minorEastAsia"/>
                <w:color w:val="000000" w:themeColor="text1"/>
                <w:szCs w:val="21"/>
              </w:rPr>
              <w:t>0.33%</w:t>
            </w:r>
          </w:p>
        </w:tc>
        <w:tc>
          <w:tcPr>
            <w:tcW w:w="1291" w:type="dxa"/>
            <w:vAlign w:val="center"/>
          </w:tcPr>
          <w:p w:rsidR="00C664FC" w:rsidRDefault="00CF1577">
            <w:pPr>
              <w:jc w:val="right"/>
            </w:pPr>
            <w:r>
              <w:rPr>
                <w:rFonts w:eastAsiaTheme="minorEastAsia"/>
                <w:color w:val="000000" w:themeColor="text1"/>
                <w:szCs w:val="21"/>
              </w:rPr>
              <w:t>21.90%</w:t>
            </w:r>
          </w:p>
        </w:tc>
        <w:tc>
          <w:tcPr>
            <w:tcW w:w="1291" w:type="dxa"/>
            <w:vAlign w:val="center"/>
          </w:tcPr>
          <w:p w:rsidR="00C664FC" w:rsidRDefault="00CF1577">
            <w:pPr>
              <w:jc w:val="right"/>
            </w:pPr>
            <w:r>
              <w:rPr>
                <w:rFonts w:eastAsiaTheme="minorEastAsia"/>
                <w:color w:val="000000" w:themeColor="text1"/>
                <w:szCs w:val="21"/>
              </w:rPr>
              <w:t>0.39%</w:t>
            </w:r>
          </w:p>
        </w:tc>
        <w:tc>
          <w:tcPr>
            <w:tcW w:w="1291" w:type="dxa"/>
            <w:vAlign w:val="center"/>
          </w:tcPr>
          <w:p w:rsidR="00C664FC" w:rsidRDefault="00CF1577">
            <w:pPr>
              <w:jc w:val="right"/>
            </w:pPr>
            <w:r>
              <w:rPr>
                <w:rFonts w:eastAsiaTheme="minorEastAsia"/>
                <w:color w:val="000000" w:themeColor="text1"/>
                <w:szCs w:val="21"/>
              </w:rPr>
              <w:t>17.08%</w:t>
            </w:r>
          </w:p>
        </w:tc>
        <w:tc>
          <w:tcPr>
            <w:tcW w:w="1291" w:type="dxa"/>
            <w:vAlign w:val="center"/>
          </w:tcPr>
          <w:p w:rsidR="00C664FC" w:rsidRDefault="00CF1577">
            <w:pPr>
              <w:jc w:val="right"/>
            </w:pPr>
            <w:r>
              <w:rPr>
                <w:rFonts w:eastAsiaTheme="minorEastAsia"/>
                <w:color w:val="000000" w:themeColor="text1"/>
                <w:szCs w:val="21"/>
              </w:rPr>
              <w:t>-0.06%</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上投摩根安裕回报混合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664FC">
        <w:tc>
          <w:tcPr>
            <w:tcW w:w="1290" w:type="dxa"/>
            <w:vAlign w:val="center"/>
          </w:tcPr>
          <w:p w:rsidR="00C664FC" w:rsidRDefault="00CF1577">
            <w:pPr>
              <w:jc w:val="left"/>
            </w:pPr>
            <w:r>
              <w:rPr>
                <w:rFonts w:eastAsiaTheme="minorEastAsia"/>
                <w:color w:val="000000" w:themeColor="text1"/>
                <w:szCs w:val="21"/>
              </w:rPr>
              <w:t>过去三个月</w:t>
            </w:r>
          </w:p>
        </w:tc>
        <w:tc>
          <w:tcPr>
            <w:tcW w:w="1291" w:type="dxa"/>
            <w:vAlign w:val="center"/>
          </w:tcPr>
          <w:p w:rsidR="00C664FC" w:rsidRDefault="00CF1577">
            <w:pPr>
              <w:jc w:val="right"/>
            </w:pPr>
            <w:r>
              <w:rPr>
                <w:rFonts w:eastAsiaTheme="minorEastAsia"/>
                <w:color w:val="000000" w:themeColor="text1"/>
                <w:szCs w:val="21"/>
              </w:rPr>
              <w:t>-2.44%</w:t>
            </w:r>
          </w:p>
        </w:tc>
        <w:tc>
          <w:tcPr>
            <w:tcW w:w="1291" w:type="dxa"/>
            <w:vAlign w:val="center"/>
          </w:tcPr>
          <w:p w:rsidR="00C664FC" w:rsidRDefault="00CF1577">
            <w:pPr>
              <w:jc w:val="right"/>
            </w:pPr>
            <w:r>
              <w:rPr>
                <w:rFonts w:eastAsiaTheme="minorEastAsia"/>
                <w:color w:val="000000" w:themeColor="text1"/>
                <w:szCs w:val="21"/>
              </w:rPr>
              <w:t>0.49%</w:t>
            </w:r>
          </w:p>
        </w:tc>
        <w:tc>
          <w:tcPr>
            <w:tcW w:w="1291" w:type="dxa"/>
            <w:vAlign w:val="center"/>
          </w:tcPr>
          <w:p w:rsidR="00C664FC" w:rsidRDefault="00CF1577">
            <w:pPr>
              <w:jc w:val="right"/>
            </w:pPr>
            <w:r>
              <w:rPr>
                <w:rFonts w:eastAsiaTheme="minorEastAsia"/>
                <w:color w:val="000000" w:themeColor="text1"/>
                <w:szCs w:val="21"/>
              </w:rPr>
              <w:t>-3.82%</w:t>
            </w:r>
          </w:p>
        </w:tc>
        <w:tc>
          <w:tcPr>
            <w:tcW w:w="1291" w:type="dxa"/>
            <w:vAlign w:val="center"/>
          </w:tcPr>
          <w:p w:rsidR="00C664FC" w:rsidRDefault="00CF1577">
            <w:pPr>
              <w:jc w:val="right"/>
            </w:pPr>
            <w:r>
              <w:rPr>
                <w:rFonts w:eastAsiaTheme="minorEastAsia"/>
                <w:color w:val="000000" w:themeColor="text1"/>
                <w:szCs w:val="21"/>
              </w:rPr>
              <w:t>0.44%</w:t>
            </w:r>
          </w:p>
        </w:tc>
        <w:tc>
          <w:tcPr>
            <w:tcW w:w="1291" w:type="dxa"/>
            <w:vAlign w:val="center"/>
          </w:tcPr>
          <w:p w:rsidR="00C664FC" w:rsidRDefault="00CF1577">
            <w:pPr>
              <w:jc w:val="right"/>
            </w:pPr>
            <w:r>
              <w:rPr>
                <w:rFonts w:eastAsiaTheme="minorEastAsia"/>
                <w:color w:val="000000" w:themeColor="text1"/>
                <w:szCs w:val="21"/>
              </w:rPr>
              <w:t>1.38%</w:t>
            </w:r>
          </w:p>
        </w:tc>
        <w:tc>
          <w:tcPr>
            <w:tcW w:w="1291" w:type="dxa"/>
            <w:vAlign w:val="center"/>
          </w:tcPr>
          <w:p w:rsidR="00C664FC" w:rsidRDefault="00CF1577">
            <w:pPr>
              <w:jc w:val="right"/>
            </w:pPr>
            <w:r>
              <w:rPr>
                <w:rFonts w:eastAsiaTheme="minorEastAsia"/>
                <w:color w:val="000000" w:themeColor="text1"/>
                <w:szCs w:val="21"/>
              </w:rPr>
              <w:t>0.05%</w:t>
            </w:r>
          </w:p>
        </w:tc>
      </w:tr>
      <w:tr w:rsidR="00C664FC">
        <w:tc>
          <w:tcPr>
            <w:tcW w:w="1290" w:type="dxa"/>
            <w:vAlign w:val="center"/>
          </w:tcPr>
          <w:p w:rsidR="00C664FC" w:rsidRDefault="00CF1577">
            <w:pPr>
              <w:jc w:val="left"/>
            </w:pPr>
            <w:r>
              <w:rPr>
                <w:rFonts w:eastAsiaTheme="minorEastAsia"/>
                <w:color w:val="000000" w:themeColor="text1"/>
                <w:szCs w:val="21"/>
              </w:rPr>
              <w:t>过去六个月</w:t>
            </w:r>
          </w:p>
        </w:tc>
        <w:tc>
          <w:tcPr>
            <w:tcW w:w="1291" w:type="dxa"/>
            <w:vAlign w:val="center"/>
          </w:tcPr>
          <w:p w:rsidR="00C664FC" w:rsidRDefault="00CF1577">
            <w:pPr>
              <w:jc w:val="right"/>
            </w:pPr>
            <w:r>
              <w:rPr>
                <w:rFonts w:eastAsiaTheme="minorEastAsia"/>
                <w:color w:val="000000" w:themeColor="text1"/>
                <w:szCs w:val="21"/>
              </w:rPr>
              <w:t>-1.36%</w:t>
            </w:r>
          </w:p>
        </w:tc>
        <w:tc>
          <w:tcPr>
            <w:tcW w:w="1291" w:type="dxa"/>
            <w:vAlign w:val="center"/>
          </w:tcPr>
          <w:p w:rsidR="00C664FC" w:rsidRDefault="00CF1577">
            <w:pPr>
              <w:jc w:val="right"/>
            </w:pPr>
            <w:r>
              <w:rPr>
                <w:rFonts w:eastAsiaTheme="minorEastAsia"/>
                <w:color w:val="000000" w:themeColor="text1"/>
                <w:szCs w:val="21"/>
              </w:rPr>
              <w:t>0.38%</w:t>
            </w:r>
          </w:p>
        </w:tc>
        <w:tc>
          <w:tcPr>
            <w:tcW w:w="1291" w:type="dxa"/>
            <w:vAlign w:val="center"/>
          </w:tcPr>
          <w:p w:rsidR="00C664FC" w:rsidRDefault="00CF1577">
            <w:pPr>
              <w:jc w:val="right"/>
            </w:pPr>
            <w:r>
              <w:rPr>
                <w:rFonts w:eastAsiaTheme="minorEastAsia"/>
                <w:color w:val="000000" w:themeColor="text1"/>
                <w:szCs w:val="21"/>
              </w:rPr>
              <w:t>-2.55%</w:t>
            </w:r>
          </w:p>
        </w:tc>
        <w:tc>
          <w:tcPr>
            <w:tcW w:w="1291" w:type="dxa"/>
            <w:vAlign w:val="center"/>
          </w:tcPr>
          <w:p w:rsidR="00C664FC" w:rsidRDefault="00CF1577">
            <w:pPr>
              <w:jc w:val="right"/>
            </w:pPr>
            <w:r>
              <w:rPr>
                <w:rFonts w:eastAsiaTheme="minorEastAsia"/>
                <w:color w:val="000000" w:themeColor="text1"/>
                <w:szCs w:val="21"/>
              </w:rPr>
              <w:t>0.35%</w:t>
            </w:r>
          </w:p>
        </w:tc>
        <w:tc>
          <w:tcPr>
            <w:tcW w:w="1291" w:type="dxa"/>
            <w:vAlign w:val="center"/>
          </w:tcPr>
          <w:p w:rsidR="00C664FC" w:rsidRDefault="00CF1577">
            <w:pPr>
              <w:jc w:val="right"/>
            </w:pPr>
            <w:r>
              <w:rPr>
                <w:rFonts w:eastAsiaTheme="minorEastAsia"/>
                <w:color w:val="000000" w:themeColor="text1"/>
                <w:szCs w:val="21"/>
              </w:rPr>
              <w:t>1.19%</w:t>
            </w:r>
          </w:p>
        </w:tc>
        <w:tc>
          <w:tcPr>
            <w:tcW w:w="1291" w:type="dxa"/>
            <w:vAlign w:val="center"/>
          </w:tcPr>
          <w:p w:rsidR="00C664FC" w:rsidRDefault="00CF1577">
            <w:pPr>
              <w:jc w:val="right"/>
            </w:pPr>
            <w:r>
              <w:rPr>
                <w:rFonts w:eastAsiaTheme="minorEastAsia"/>
                <w:color w:val="000000" w:themeColor="text1"/>
                <w:szCs w:val="21"/>
              </w:rPr>
              <w:t>0.03%</w:t>
            </w:r>
          </w:p>
        </w:tc>
      </w:tr>
      <w:tr w:rsidR="00C664FC">
        <w:tc>
          <w:tcPr>
            <w:tcW w:w="1290" w:type="dxa"/>
            <w:vAlign w:val="center"/>
          </w:tcPr>
          <w:p w:rsidR="00C664FC" w:rsidRDefault="00CF1577">
            <w:pPr>
              <w:jc w:val="left"/>
            </w:pPr>
            <w:r>
              <w:rPr>
                <w:rFonts w:eastAsiaTheme="minorEastAsia"/>
                <w:color w:val="000000" w:themeColor="text1"/>
                <w:szCs w:val="21"/>
              </w:rPr>
              <w:t>过去一年</w:t>
            </w:r>
          </w:p>
        </w:tc>
        <w:tc>
          <w:tcPr>
            <w:tcW w:w="1291" w:type="dxa"/>
            <w:vAlign w:val="center"/>
          </w:tcPr>
          <w:p w:rsidR="00C664FC" w:rsidRDefault="00CF1577">
            <w:pPr>
              <w:jc w:val="right"/>
            </w:pPr>
            <w:r>
              <w:rPr>
                <w:rFonts w:eastAsiaTheme="minorEastAsia"/>
                <w:color w:val="000000" w:themeColor="text1"/>
                <w:szCs w:val="21"/>
              </w:rPr>
              <w:t>0.55%</w:t>
            </w:r>
          </w:p>
        </w:tc>
        <w:tc>
          <w:tcPr>
            <w:tcW w:w="1291" w:type="dxa"/>
            <w:vAlign w:val="center"/>
          </w:tcPr>
          <w:p w:rsidR="00C664FC" w:rsidRDefault="00CF1577">
            <w:pPr>
              <w:jc w:val="right"/>
            </w:pPr>
            <w:r>
              <w:rPr>
                <w:rFonts w:eastAsiaTheme="minorEastAsia"/>
                <w:color w:val="000000" w:themeColor="text1"/>
                <w:szCs w:val="21"/>
              </w:rPr>
              <w:t>0.31%</w:t>
            </w:r>
          </w:p>
        </w:tc>
        <w:tc>
          <w:tcPr>
            <w:tcW w:w="1291" w:type="dxa"/>
            <w:vAlign w:val="center"/>
          </w:tcPr>
          <w:p w:rsidR="00C664FC" w:rsidRDefault="00CF1577">
            <w:pPr>
              <w:jc w:val="right"/>
            </w:pPr>
            <w:r>
              <w:rPr>
                <w:rFonts w:eastAsiaTheme="minorEastAsia"/>
                <w:color w:val="000000" w:themeColor="text1"/>
                <w:szCs w:val="21"/>
              </w:rPr>
              <w:t>-1.38%</w:t>
            </w:r>
          </w:p>
        </w:tc>
        <w:tc>
          <w:tcPr>
            <w:tcW w:w="1291" w:type="dxa"/>
            <w:vAlign w:val="center"/>
          </w:tcPr>
          <w:p w:rsidR="00C664FC" w:rsidRDefault="00CF1577">
            <w:pPr>
              <w:jc w:val="right"/>
            </w:pPr>
            <w:r>
              <w:rPr>
                <w:rFonts w:eastAsiaTheme="minorEastAsia"/>
                <w:color w:val="000000" w:themeColor="text1"/>
                <w:szCs w:val="21"/>
              </w:rPr>
              <w:t>0.34%</w:t>
            </w:r>
          </w:p>
        </w:tc>
        <w:tc>
          <w:tcPr>
            <w:tcW w:w="1291" w:type="dxa"/>
            <w:vAlign w:val="center"/>
          </w:tcPr>
          <w:p w:rsidR="00C664FC" w:rsidRDefault="00CF1577">
            <w:pPr>
              <w:jc w:val="right"/>
            </w:pPr>
            <w:r>
              <w:rPr>
                <w:rFonts w:eastAsiaTheme="minorEastAsia"/>
                <w:color w:val="000000" w:themeColor="text1"/>
                <w:szCs w:val="21"/>
              </w:rPr>
              <w:t>1.93%</w:t>
            </w:r>
          </w:p>
        </w:tc>
        <w:tc>
          <w:tcPr>
            <w:tcW w:w="1291" w:type="dxa"/>
            <w:vAlign w:val="center"/>
          </w:tcPr>
          <w:p w:rsidR="00C664FC" w:rsidRDefault="00CF1577">
            <w:pPr>
              <w:jc w:val="right"/>
            </w:pPr>
            <w:r>
              <w:rPr>
                <w:rFonts w:eastAsiaTheme="minorEastAsia"/>
                <w:color w:val="000000" w:themeColor="text1"/>
                <w:szCs w:val="21"/>
              </w:rPr>
              <w:t>-0.03%</w:t>
            </w:r>
          </w:p>
        </w:tc>
      </w:tr>
      <w:tr w:rsidR="00C664FC">
        <w:tc>
          <w:tcPr>
            <w:tcW w:w="1290" w:type="dxa"/>
            <w:vAlign w:val="center"/>
          </w:tcPr>
          <w:p w:rsidR="00C664FC" w:rsidRDefault="00CF1577">
            <w:pPr>
              <w:jc w:val="left"/>
            </w:pPr>
            <w:r>
              <w:rPr>
                <w:rFonts w:eastAsiaTheme="minorEastAsia"/>
                <w:color w:val="000000" w:themeColor="text1"/>
                <w:szCs w:val="21"/>
              </w:rPr>
              <w:t>过去三年</w:t>
            </w:r>
          </w:p>
        </w:tc>
        <w:tc>
          <w:tcPr>
            <w:tcW w:w="1291" w:type="dxa"/>
            <w:vAlign w:val="center"/>
          </w:tcPr>
          <w:p w:rsidR="00C664FC" w:rsidRDefault="00CF1577">
            <w:pPr>
              <w:jc w:val="right"/>
            </w:pPr>
            <w:r>
              <w:rPr>
                <w:rFonts w:eastAsiaTheme="minorEastAsia"/>
                <w:color w:val="000000" w:themeColor="text1"/>
                <w:szCs w:val="21"/>
              </w:rPr>
              <w:t>30.60%</w:t>
            </w:r>
          </w:p>
        </w:tc>
        <w:tc>
          <w:tcPr>
            <w:tcW w:w="1291" w:type="dxa"/>
            <w:vAlign w:val="center"/>
          </w:tcPr>
          <w:p w:rsidR="00C664FC" w:rsidRDefault="00CF1577">
            <w:pPr>
              <w:jc w:val="right"/>
            </w:pPr>
            <w:r>
              <w:rPr>
                <w:rFonts w:eastAsiaTheme="minorEastAsia"/>
                <w:color w:val="000000" w:themeColor="text1"/>
                <w:szCs w:val="21"/>
              </w:rPr>
              <w:t>0.35%</w:t>
            </w:r>
          </w:p>
        </w:tc>
        <w:tc>
          <w:tcPr>
            <w:tcW w:w="1291" w:type="dxa"/>
            <w:vAlign w:val="center"/>
          </w:tcPr>
          <w:p w:rsidR="00C664FC" w:rsidRDefault="00CF1577">
            <w:pPr>
              <w:jc w:val="right"/>
            </w:pPr>
            <w:r>
              <w:rPr>
                <w:rFonts w:eastAsiaTheme="minorEastAsia"/>
                <w:color w:val="000000" w:themeColor="text1"/>
                <w:szCs w:val="21"/>
              </w:rPr>
              <w:t>11.64%</w:t>
            </w:r>
          </w:p>
        </w:tc>
        <w:tc>
          <w:tcPr>
            <w:tcW w:w="1291" w:type="dxa"/>
            <w:vAlign w:val="center"/>
          </w:tcPr>
          <w:p w:rsidR="00C664FC" w:rsidRDefault="00CF1577">
            <w:pPr>
              <w:jc w:val="right"/>
            </w:pPr>
            <w:r>
              <w:rPr>
                <w:rFonts w:eastAsiaTheme="minorEastAsia"/>
                <w:color w:val="000000" w:themeColor="text1"/>
                <w:szCs w:val="21"/>
              </w:rPr>
              <w:t>0.38%</w:t>
            </w:r>
          </w:p>
        </w:tc>
        <w:tc>
          <w:tcPr>
            <w:tcW w:w="1291" w:type="dxa"/>
            <w:vAlign w:val="center"/>
          </w:tcPr>
          <w:p w:rsidR="00C664FC" w:rsidRDefault="00CF1577">
            <w:pPr>
              <w:jc w:val="right"/>
            </w:pPr>
            <w:r>
              <w:rPr>
                <w:rFonts w:eastAsiaTheme="minorEastAsia"/>
                <w:color w:val="000000" w:themeColor="text1"/>
                <w:szCs w:val="21"/>
              </w:rPr>
              <w:t>18.96%</w:t>
            </w:r>
          </w:p>
        </w:tc>
        <w:tc>
          <w:tcPr>
            <w:tcW w:w="1291" w:type="dxa"/>
            <w:vAlign w:val="center"/>
          </w:tcPr>
          <w:p w:rsidR="00C664FC" w:rsidRDefault="00CF1577">
            <w:pPr>
              <w:jc w:val="right"/>
            </w:pPr>
            <w:r>
              <w:rPr>
                <w:rFonts w:eastAsiaTheme="minorEastAsia"/>
                <w:color w:val="000000" w:themeColor="text1"/>
                <w:szCs w:val="21"/>
              </w:rPr>
              <w:t>-0.03%</w:t>
            </w:r>
          </w:p>
        </w:tc>
      </w:tr>
      <w:tr w:rsidR="00C664FC">
        <w:tc>
          <w:tcPr>
            <w:tcW w:w="1290" w:type="dxa"/>
            <w:vAlign w:val="center"/>
          </w:tcPr>
          <w:p w:rsidR="00C664FC" w:rsidRDefault="00CF1577">
            <w:pPr>
              <w:jc w:val="left"/>
            </w:pPr>
            <w:r>
              <w:rPr>
                <w:rFonts w:eastAsiaTheme="minorEastAsia"/>
                <w:color w:val="000000" w:themeColor="text1"/>
                <w:szCs w:val="21"/>
              </w:rPr>
              <w:t>过去五年</w:t>
            </w:r>
          </w:p>
        </w:tc>
        <w:tc>
          <w:tcPr>
            <w:tcW w:w="1291" w:type="dxa"/>
            <w:vAlign w:val="center"/>
          </w:tcPr>
          <w:p w:rsidR="00C664FC" w:rsidRDefault="00CF1577">
            <w:pPr>
              <w:jc w:val="right"/>
            </w:pPr>
            <w:r>
              <w:rPr>
                <w:rFonts w:eastAsiaTheme="minorEastAsia"/>
                <w:color w:val="000000" w:themeColor="text1"/>
                <w:szCs w:val="21"/>
              </w:rPr>
              <w:t>-</w:t>
            </w:r>
          </w:p>
        </w:tc>
        <w:tc>
          <w:tcPr>
            <w:tcW w:w="1291" w:type="dxa"/>
            <w:vAlign w:val="center"/>
          </w:tcPr>
          <w:p w:rsidR="00C664FC" w:rsidRDefault="00CF1577">
            <w:pPr>
              <w:jc w:val="right"/>
            </w:pPr>
            <w:r>
              <w:rPr>
                <w:rFonts w:eastAsiaTheme="minorEastAsia"/>
                <w:color w:val="000000" w:themeColor="text1"/>
                <w:szCs w:val="21"/>
              </w:rPr>
              <w:t>-</w:t>
            </w:r>
          </w:p>
        </w:tc>
        <w:tc>
          <w:tcPr>
            <w:tcW w:w="1291" w:type="dxa"/>
            <w:vAlign w:val="center"/>
          </w:tcPr>
          <w:p w:rsidR="00C664FC" w:rsidRDefault="00CF1577">
            <w:pPr>
              <w:jc w:val="right"/>
            </w:pPr>
            <w:r>
              <w:rPr>
                <w:rFonts w:eastAsiaTheme="minorEastAsia"/>
                <w:color w:val="000000" w:themeColor="text1"/>
                <w:szCs w:val="21"/>
              </w:rPr>
              <w:t>-</w:t>
            </w:r>
          </w:p>
        </w:tc>
        <w:tc>
          <w:tcPr>
            <w:tcW w:w="1291" w:type="dxa"/>
            <w:vAlign w:val="center"/>
          </w:tcPr>
          <w:p w:rsidR="00C664FC" w:rsidRDefault="00CF1577">
            <w:pPr>
              <w:jc w:val="right"/>
            </w:pPr>
            <w:r>
              <w:rPr>
                <w:rFonts w:eastAsiaTheme="minorEastAsia"/>
                <w:color w:val="000000" w:themeColor="text1"/>
                <w:szCs w:val="21"/>
              </w:rPr>
              <w:t>-</w:t>
            </w:r>
          </w:p>
        </w:tc>
        <w:tc>
          <w:tcPr>
            <w:tcW w:w="1291" w:type="dxa"/>
            <w:vAlign w:val="center"/>
          </w:tcPr>
          <w:p w:rsidR="00C664FC" w:rsidRDefault="00CF1577">
            <w:pPr>
              <w:jc w:val="right"/>
            </w:pPr>
            <w:r>
              <w:rPr>
                <w:rFonts w:eastAsiaTheme="minorEastAsia"/>
                <w:color w:val="000000" w:themeColor="text1"/>
                <w:szCs w:val="21"/>
              </w:rPr>
              <w:t>-</w:t>
            </w:r>
          </w:p>
        </w:tc>
        <w:tc>
          <w:tcPr>
            <w:tcW w:w="1291" w:type="dxa"/>
            <w:vAlign w:val="center"/>
          </w:tcPr>
          <w:p w:rsidR="00C664FC" w:rsidRDefault="00CF1577">
            <w:pPr>
              <w:jc w:val="right"/>
            </w:pPr>
            <w:r>
              <w:rPr>
                <w:rFonts w:eastAsiaTheme="minorEastAsia"/>
                <w:color w:val="000000" w:themeColor="text1"/>
                <w:szCs w:val="21"/>
              </w:rPr>
              <w:t>-</w:t>
            </w:r>
          </w:p>
        </w:tc>
      </w:tr>
      <w:tr w:rsidR="00C664FC">
        <w:tc>
          <w:tcPr>
            <w:tcW w:w="1290" w:type="dxa"/>
            <w:vAlign w:val="center"/>
          </w:tcPr>
          <w:p w:rsidR="00C664FC" w:rsidRDefault="00CF1577">
            <w:pPr>
              <w:jc w:val="left"/>
            </w:pPr>
            <w:r>
              <w:rPr>
                <w:rFonts w:eastAsiaTheme="minorEastAsia"/>
                <w:color w:val="000000" w:themeColor="text1"/>
                <w:szCs w:val="21"/>
              </w:rPr>
              <w:t>自基金合同生效起至今</w:t>
            </w:r>
          </w:p>
        </w:tc>
        <w:tc>
          <w:tcPr>
            <w:tcW w:w="1291" w:type="dxa"/>
            <w:vAlign w:val="center"/>
          </w:tcPr>
          <w:p w:rsidR="00C664FC" w:rsidRDefault="00CF1577">
            <w:pPr>
              <w:jc w:val="right"/>
            </w:pPr>
            <w:r>
              <w:rPr>
                <w:rFonts w:eastAsiaTheme="minorEastAsia"/>
                <w:color w:val="000000" w:themeColor="text1"/>
                <w:szCs w:val="21"/>
              </w:rPr>
              <w:t>36.10%</w:t>
            </w:r>
          </w:p>
        </w:tc>
        <w:tc>
          <w:tcPr>
            <w:tcW w:w="1291" w:type="dxa"/>
            <w:vAlign w:val="center"/>
          </w:tcPr>
          <w:p w:rsidR="00C664FC" w:rsidRDefault="00CF1577">
            <w:pPr>
              <w:jc w:val="right"/>
            </w:pPr>
            <w:r>
              <w:rPr>
                <w:rFonts w:eastAsiaTheme="minorEastAsia"/>
                <w:color w:val="000000" w:themeColor="text1"/>
                <w:szCs w:val="21"/>
              </w:rPr>
              <w:t>0.33%</w:t>
            </w:r>
          </w:p>
        </w:tc>
        <w:tc>
          <w:tcPr>
            <w:tcW w:w="1291" w:type="dxa"/>
            <w:vAlign w:val="center"/>
          </w:tcPr>
          <w:p w:rsidR="00C664FC" w:rsidRDefault="00CF1577">
            <w:pPr>
              <w:jc w:val="right"/>
            </w:pPr>
            <w:r>
              <w:rPr>
                <w:rFonts w:eastAsiaTheme="minorEastAsia"/>
                <w:color w:val="000000" w:themeColor="text1"/>
                <w:szCs w:val="21"/>
              </w:rPr>
              <w:t>21.90%</w:t>
            </w:r>
          </w:p>
        </w:tc>
        <w:tc>
          <w:tcPr>
            <w:tcW w:w="1291" w:type="dxa"/>
            <w:vAlign w:val="center"/>
          </w:tcPr>
          <w:p w:rsidR="00C664FC" w:rsidRDefault="00CF1577">
            <w:pPr>
              <w:jc w:val="right"/>
            </w:pPr>
            <w:r>
              <w:rPr>
                <w:rFonts w:eastAsiaTheme="minorEastAsia"/>
                <w:color w:val="000000" w:themeColor="text1"/>
                <w:szCs w:val="21"/>
              </w:rPr>
              <w:t>0.39%</w:t>
            </w:r>
          </w:p>
        </w:tc>
        <w:tc>
          <w:tcPr>
            <w:tcW w:w="1291" w:type="dxa"/>
            <w:vAlign w:val="center"/>
          </w:tcPr>
          <w:p w:rsidR="00C664FC" w:rsidRDefault="00CF1577">
            <w:pPr>
              <w:jc w:val="right"/>
            </w:pPr>
            <w:r>
              <w:rPr>
                <w:rFonts w:eastAsiaTheme="minorEastAsia"/>
                <w:color w:val="000000" w:themeColor="text1"/>
                <w:szCs w:val="21"/>
              </w:rPr>
              <w:t>14.20%</w:t>
            </w:r>
          </w:p>
        </w:tc>
        <w:tc>
          <w:tcPr>
            <w:tcW w:w="1291" w:type="dxa"/>
            <w:vAlign w:val="center"/>
          </w:tcPr>
          <w:p w:rsidR="00C664FC" w:rsidRDefault="00CF1577">
            <w:pPr>
              <w:jc w:val="right"/>
            </w:pPr>
            <w:r>
              <w:rPr>
                <w:rFonts w:eastAsiaTheme="minorEastAsia"/>
                <w:color w:val="000000" w:themeColor="text1"/>
                <w:szCs w:val="21"/>
              </w:rPr>
              <w:t>-0.06%</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上投摩根安裕回报混合型证券投资基金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．上投摩根安裕回报混合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664FC" w:rsidRDefault="00CF157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．上投摩根安裕回报混合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664FC" w:rsidRDefault="00CF157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664FC">
        <w:tc>
          <w:tcPr>
            <w:tcW w:w="952" w:type="dxa"/>
            <w:vAlign w:val="center"/>
          </w:tcPr>
          <w:p w:rsidR="00C664FC" w:rsidRDefault="00CF1577">
            <w:pPr>
              <w:jc w:val="center"/>
            </w:pPr>
            <w:r>
              <w:rPr>
                <w:rFonts w:eastAsiaTheme="minorEastAsia"/>
                <w:color w:val="000000" w:themeColor="text1"/>
                <w:szCs w:val="21"/>
              </w:rPr>
              <w:t>唐瑭</w:t>
            </w:r>
          </w:p>
        </w:tc>
        <w:tc>
          <w:tcPr>
            <w:tcW w:w="930" w:type="dxa"/>
            <w:vAlign w:val="center"/>
          </w:tcPr>
          <w:p w:rsidR="00C664FC" w:rsidRDefault="00CF1577">
            <w:pPr>
              <w:jc w:val="center"/>
            </w:pPr>
            <w:r>
              <w:rPr>
                <w:rFonts w:eastAsiaTheme="minorEastAsia"/>
                <w:color w:val="000000" w:themeColor="text1"/>
                <w:szCs w:val="21"/>
              </w:rPr>
              <w:t>本基金基金经理</w:t>
            </w:r>
          </w:p>
        </w:tc>
        <w:tc>
          <w:tcPr>
            <w:tcW w:w="1210" w:type="dxa"/>
            <w:vAlign w:val="center"/>
          </w:tcPr>
          <w:p w:rsidR="00C664FC" w:rsidRDefault="00CF1577">
            <w:pPr>
              <w:jc w:val="center"/>
            </w:pPr>
            <w:r>
              <w:rPr>
                <w:rFonts w:eastAsiaTheme="minorEastAsia"/>
                <w:color w:val="000000" w:themeColor="text1"/>
                <w:szCs w:val="21"/>
              </w:rPr>
              <w:t>2021-04-16</w:t>
            </w:r>
          </w:p>
        </w:tc>
        <w:tc>
          <w:tcPr>
            <w:tcW w:w="1309" w:type="dxa"/>
            <w:vAlign w:val="center"/>
          </w:tcPr>
          <w:p w:rsidR="00C664FC" w:rsidRDefault="00CF1577">
            <w:pPr>
              <w:jc w:val="center"/>
            </w:pPr>
            <w:r>
              <w:rPr>
                <w:rFonts w:eastAsiaTheme="minorEastAsia"/>
                <w:color w:val="000000" w:themeColor="text1"/>
                <w:szCs w:val="21"/>
              </w:rPr>
              <w:t>-</w:t>
            </w:r>
          </w:p>
        </w:tc>
        <w:tc>
          <w:tcPr>
            <w:tcW w:w="1254" w:type="dxa"/>
            <w:vAlign w:val="center"/>
          </w:tcPr>
          <w:p w:rsidR="00C664FC" w:rsidRDefault="00CF1577">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C664FC" w:rsidRDefault="00CF1577">
            <w:r>
              <w:rPr>
                <w:rFonts w:eastAsiaTheme="minorEastAsia"/>
                <w:color w:val="000000" w:themeColor="text1"/>
                <w:szCs w:val="21"/>
              </w:rPr>
              <w:t>唐瑭女士，英国爱丁堡大学硕士，</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月任</w:t>
            </w:r>
            <w:r>
              <w:rPr>
                <w:rFonts w:eastAsiaTheme="minorEastAsia"/>
                <w:color w:val="000000" w:themeColor="text1"/>
                <w:szCs w:val="21"/>
              </w:rPr>
              <w:t>JPMorgan(EMEA)</w:t>
            </w:r>
            <w:r>
              <w:rPr>
                <w:rFonts w:eastAsiaTheme="minorEastAsia"/>
                <w:color w:val="000000" w:themeColor="text1"/>
                <w:szCs w:val="21"/>
              </w:rPr>
              <w:t>分析师。</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月加入上投摩根基金管理有限公司，先后担任研究员、基金经理助理、基金经理，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月担任上投摩根岁岁盈定期开放债券型证券投资基金基金经理，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月担任上投摩根强化回报债券型证券投资基金基金经理，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月同时担任上投摩根轮动添利债券型证券投资基金基金经理，自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月担任上投摩根双债增利债券型证券投资基金基金经理，自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月担任上投摩根分红添利债券型证券投资基金基金经理，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月担任上投摩根纯债添利债券型证券投资基金基金经理，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月同时担任上投摩根安丰回报混合型证券投资基金基金经理，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月同时担任上投摩根安泽回报混合型证券投资基金基金经理，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月同时担任上投摩根安隆回报混合型证券投资基金基金经理，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7</w:t>
            </w:r>
            <w:r>
              <w:rPr>
                <w:rFonts w:eastAsiaTheme="minorEastAsia"/>
                <w:color w:val="000000" w:themeColor="text1"/>
                <w:szCs w:val="21"/>
              </w:rPr>
              <w:t>月同时担任上投摩根安腾回报混合型证券投资基金基金经理，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月同时担任上投摩根优信增利债券型证券投资基金基金经理，自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月同时担任上投摩根安鑫回报混合型证券投资基金基金经理，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月同时担任上投摩根瑞利纯债债券型证券投资基金基金经理，自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月起同时担任上投摩根安裕回报混合型证券投资基金、上投摩根安隆回报混合型证券投资基金、上投摩根强化回报债券型证券投资基金和上投摩根安享回报一年持有期债券型证券投资基金基金经理，自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月起同时担任上投摩根双债增利债券型证券投资基金基金经理，自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月起同时担任上投摩根安荣回报混合型证券投资基金基金经理。</w:t>
            </w:r>
          </w:p>
        </w:tc>
      </w:tr>
      <w:tr w:rsidR="00C664FC">
        <w:tc>
          <w:tcPr>
            <w:tcW w:w="952" w:type="dxa"/>
            <w:vAlign w:val="center"/>
          </w:tcPr>
          <w:p w:rsidR="00C664FC" w:rsidRDefault="00CF1577">
            <w:pPr>
              <w:jc w:val="center"/>
            </w:pPr>
            <w:r>
              <w:rPr>
                <w:rFonts w:eastAsiaTheme="minorEastAsia"/>
                <w:color w:val="000000" w:themeColor="text1"/>
                <w:szCs w:val="21"/>
              </w:rPr>
              <w:t>陈圆明</w:t>
            </w:r>
          </w:p>
        </w:tc>
        <w:tc>
          <w:tcPr>
            <w:tcW w:w="930" w:type="dxa"/>
            <w:vAlign w:val="center"/>
          </w:tcPr>
          <w:p w:rsidR="00C664FC" w:rsidRDefault="00CF1577">
            <w:pPr>
              <w:jc w:val="center"/>
            </w:pPr>
            <w:r>
              <w:rPr>
                <w:rFonts w:eastAsiaTheme="minorEastAsia"/>
                <w:color w:val="000000" w:themeColor="text1"/>
                <w:szCs w:val="21"/>
              </w:rPr>
              <w:t>本基金基金经理、绝对收益投资部总监</w:t>
            </w:r>
          </w:p>
        </w:tc>
        <w:tc>
          <w:tcPr>
            <w:tcW w:w="1210" w:type="dxa"/>
            <w:vAlign w:val="center"/>
          </w:tcPr>
          <w:p w:rsidR="00C664FC" w:rsidRDefault="00CF1577">
            <w:pPr>
              <w:jc w:val="center"/>
            </w:pPr>
            <w:r>
              <w:rPr>
                <w:rFonts w:eastAsiaTheme="minorEastAsia"/>
                <w:color w:val="000000" w:themeColor="text1"/>
                <w:szCs w:val="21"/>
              </w:rPr>
              <w:t>2019-04-12</w:t>
            </w:r>
          </w:p>
        </w:tc>
        <w:tc>
          <w:tcPr>
            <w:tcW w:w="1309" w:type="dxa"/>
            <w:vAlign w:val="center"/>
          </w:tcPr>
          <w:p w:rsidR="00C664FC" w:rsidRDefault="00CF1577">
            <w:pPr>
              <w:jc w:val="center"/>
            </w:pPr>
            <w:r>
              <w:rPr>
                <w:rFonts w:eastAsiaTheme="minorEastAsia"/>
                <w:color w:val="000000" w:themeColor="text1"/>
                <w:szCs w:val="21"/>
              </w:rPr>
              <w:t>-</w:t>
            </w:r>
          </w:p>
        </w:tc>
        <w:tc>
          <w:tcPr>
            <w:tcW w:w="1254" w:type="dxa"/>
            <w:vAlign w:val="center"/>
          </w:tcPr>
          <w:p w:rsidR="00C664FC" w:rsidRDefault="00CF1577">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C664FC" w:rsidRDefault="00CF1577">
            <w:r>
              <w:rPr>
                <w:rFonts w:eastAsiaTheme="minorEastAsia"/>
                <w:color w:val="000000" w:themeColor="text1"/>
                <w:szCs w:val="21"/>
              </w:rPr>
              <w:t>陈圆明先生，自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月在东海证券有限责任公司任研究员；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月在国联安基金管理有限公司任研究员；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月在国投瑞银基金管理有限公司任研究员、投资经理；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月在鹏华基金管理有限公司任投资经理、绝对收益副总监；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月起加入上投摩根基金管理有限公司，现担任绝对收益投资部总监兼基金经理；自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月起担任上投摩根安裕回报混合型证券投资基金和上投摩根安隆回报混合型证券投资基金基金经理，自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月起同时担任上投摩根强化回报债券型证券投资基金基金经理，自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月起同时担任上投摩根安享回报一年持有期债券型证券投资基金基金经理，自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月起同时担任上投摩根安荣回报混合型证券投资基金基金经理，自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月起同时担任上投摩根双债增利债券型证券投资基金基金经理。</w:t>
            </w:r>
          </w:p>
        </w:tc>
      </w:tr>
    </w:tbl>
    <w:p w:rsidR="00C664FC" w:rsidRDefault="00CF157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安裕回报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C664FC" w:rsidRDefault="00CF157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664FC" w:rsidRDefault="00CF157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C664FC" w:rsidRDefault="00CF157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C664FC" w:rsidRDefault="00CF1577">
      <w:pPr>
        <w:spacing w:line="360" w:lineRule="auto"/>
        <w:ind w:firstLineChars="200" w:firstLine="420"/>
        <w:rPr>
          <w:rFonts w:eastAsiaTheme="minorEastAsia"/>
          <w:color w:val="000000" w:themeColor="text1"/>
          <w:szCs w:val="21"/>
        </w:rPr>
      </w:pPr>
      <w:r>
        <w:rPr>
          <w:rFonts w:eastAsiaTheme="minorEastAsia"/>
          <w:color w:val="000000" w:themeColor="text1"/>
          <w:szCs w:val="21"/>
        </w:rPr>
        <w:t>一季度国内外宏观局势较为复杂，一方面受疫情冲击，国内经济复产节奏相对缓慢，另一方面受俄乌冲突影响，本来脆弱的商品供求关系更显现结构性紧张，资源品价格快速上行，通胀压力增大。货币政策方面掣肘增加，外围市场进入加息周期，通胀预期使得降准降息都较为克制。信用扩张方面，专项债加速，基建推动力度加大，财政支出进度可观，各地地产政策陆续放宽，但宽信用政策的发力传导较为缓慢。在此背景下，债券市场表现较为纠结，收益率先下后上，全季走平。权益市场表现较弱，能源相关板块表现出较为明显的超赢。随着权益资产性价比的提升，本基金在一季度逐渐提高了权益资产的配置，股票选择上以新能源中游制造业、电力、能源上涨受益品种、供给侧受限的建材行业龙头为主。债券部分维持中短久期配置。</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二季度，本轮疫情政策发力更早、站位更高，随着抗疫效果的逐步显现，疫情冲击的影响将逐步减弱，疫情平复后的补偿性增长将会得到释放；政府将继续加大财政政策的发力力度来刺激总需求，并通过积极的行业监管来改善市场预期，宽信用政策对于稳增长的效应也将有所体现。因此我们将重点关注国内财政发力的</w:t>
      </w:r>
      <w:r w:rsidRPr="00B27A29">
        <w:rPr>
          <w:rFonts w:eastAsiaTheme="minorEastAsia"/>
          <w:color w:val="000000" w:themeColor="text1"/>
          <w:szCs w:val="21"/>
        </w:rPr>
        <w:t>“</w:t>
      </w:r>
      <w:r w:rsidRPr="00B27A29">
        <w:rPr>
          <w:rFonts w:eastAsiaTheme="minorEastAsia"/>
          <w:color w:val="000000" w:themeColor="text1"/>
          <w:szCs w:val="21"/>
        </w:rPr>
        <w:t>新、旧基建</w:t>
      </w:r>
      <w:r w:rsidRPr="00B27A29">
        <w:rPr>
          <w:rFonts w:eastAsiaTheme="minorEastAsia"/>
          <w:color w:val="000000" w:themeColor="text1"/>
          <w:szCs w:val="21"/>
        </w:rPr>
        <w:t>”</w:t>
      </w:r>
      <w:r w:rsidRPr="00B27A29">
        <w:rPr>
          <w:rFonts w:eastAsiaTheme="minorEastAsia"/>
          <w:color w:val="000000" w:themeColor="text1"/>
          <w:szCs w:val="21"/>
        </w:rPr>
        <w:t>受益方向，看好受益于基建和新能源建设拉动的相关细分工业金属行业，未来几年</w:t>
      </w:r>
      <w:r w:rsidRPr="00B27A29">
        <w:rPr>
          <w:rFonts w:eastAsiaTheme="minorEastAsia"/>
          <w:color w:val="000000" w:themeColor="text1"/>
          <w:szCs w:val="21"/>
        </w:rPr>
        <w:t>“</w:t>
      </w:r>
      <w:r w:rsidRPr="00B27A29">
        <w:rPr>
          <w:rFonts w:eastAsiaTheme="minorEastAsia"/>
          <w:color w:val="000000" w:themeColor="text1"/>
          <w:szCs w:val="21"/>
        </w:rPr>
        <w:t>量增</w:t>
      </w:r>
      <w:r w:rsidRPr="00B27A29">
        <w:rPr>
          <w:rFonts w:eastAsiaTheme="minorEastAsia"/>
          <w:color w:val="000000" w:themeColor="text1"/>
          <w:szCs w:val="21"/>
        </w:rPr>
        <w:t>”</w:t>
      </w:r>
      <w:r w:rsidRPr="00B27A29">
        <w:rPr>
          <w:rFonts w:eastAsiaTheme="minorEastAsia"/>
          <w:color w:val="000000" w:themeColor="text1"/>
          <w:szCs w:val="21"/>
        </w:rPr>
        <w:t>确定性高的成长性行业，储备受益于周期品下行的标的。中长期维度，我国产业升级需求迫切，长期关注高端制造业投资机会。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C664FC" w:rsidRDefault="00CF157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本报告期上投摩根安裕回报混合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:-2.32%</w:t>
      </w:r>
      <w:r>
        <w:rPr>
          <w:rFonts w:eastAsiaTheme="minorEastAsia"/>
          <w:color w:val="000000" w:themeColor="text1"/>
          <w:szCs w:val="21"/>
        </w:rPr>
        <w:t>，同期业绩比较基准收益率为</w:t>
      </w:r>
      <w:r>
        <w:rPr>
          <w:rFonts w:eastAsiaTheme="minorEastAsia"/>
          <w:color w:val="000000" w:themeColor="text1"/>
          <w:szCs w:val="21"/>
        </w:rPr>
        <w:t>:-3.82%,</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上投摩根安裕回报混合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:-2.44%</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:-3.82%</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339,963,790.41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29.43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339,963,790.41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29.43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786,344,180.09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68.08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786,344,180.09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68.08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26,293,337.57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2,376,114.52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1,154,977,422.59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11,622,880.50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1.03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3,350,645.52</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0.30</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154,241,970.85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13.66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30,748,659.03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16,703.06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7,603.20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5,640,939.86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29,370,130.49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22,555,337.20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257,554,869.71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22.82</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C664FC">
        <w:trPr>
          <w:jc w:val="center"/>
        </w:trPr>
        <w:tc>
          <w:tcPr>
            <w:tcW w:w="2397" w:type="dxa"/>
            <w:vAlign w:val="center"/>
          </w:tcPr>
          <w:p w:rsidR="00C664FC" w:rsidRDefault="00CF1577">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C664FC" w:rsidRDefault="00CF1577">
            <w:pPr>
              <w:jc w:val="center"/>
            </w:pPr>
            <w:r>
              <w:rPr>
                <w:rFonts w:eastAsiaTheme="minorEastAsia"/>
                <w:color w:val="000000" w:themeColor="text1"/>
                <w:szCs w:val="21"/>
              </w:rPr>
              <w:t>5,373,590.06</w:t>
            </w:r>
          </w:p>
        </w:tc>
        <w:tc>
          <w:tcPr>
            <w:tcW w:w="3118" w:type="dxa"/>
            <w:vAlign w:val="center"/>
          </w:tcPr>
          <w:p w:rsidR="00C664FC" w:rsidRDefault="00CF1577">
            <w:pPr>
              <w:jc w:val="center"/>
            </w:pPr>
            <w:r>
              <w:rPr>
                <w:rFonts w:eastAsiaTheme="minorEastAsia"/>
                <w:color w:val="000000" w:themeColor="text1"/>
                <w:szCs w:val="21"/>
              </w:rPr>
              <w:t>0.48</w:t>
            </w:r>
          </w:p>
        </w:tc>
      </w:tr>
      <w:tr w:rsidR="00C664FC">
        <w:trPr>
          <w:jc w:val="center"/>
        </w:trPr>
        <w:tc>
          <w:tcPr>
            <w:tcW w:w="2397" w:type="dxa"/>
            <w:vAlign w:val="center"/>
          </w:tcPr>
          <w:p w:rsidR="00C664FC" w:rsidRDefault="00CF1577">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C664FC" w:rsidRDefault="00CF1577">
            <w:pPr>
              <w:jc w:val="center"/>
            </w:pPr>
            <w:r>
              <w:rPr>
                <w:rFonts w:eastAsiaTheme="minorEastAsia"/>
                <w:color w:val="000000" w:themeColor="text1"/>
                <w:szCs w:val="21"/>
              </w:rPr>
              <w:t>2,911,587.54</w:t>
            </w:r>
          </w:p>
        </w:tc>
        <w:tc>
          <w:tcPr>
            <w:tcW w:w="3118" w:type="dxa"/>
            <w:vAlign w:val="center"/>
          </w:tcPr>
          <w:p w:rsidR="00C664FC" w:rsidRDefault="00CF1577">
            <w:pPr>
              <w:jc w:val="center"/>
            </w:pPr>
            <w:r>
              <w:rPr>
                <w:rFonts w:eastAsiaTheme="minorEastAsia"/>
                <w:color w:val="000000" w:themeColor="text1"/>
                <w:szCs w:val="21"/>
              </w:rPr>
              <w:t>0.26</w:t>
            </w:r>
          </w:p>
        </w:tc>
      </w:tr>
      <w:tr w:rsidR="00C664FC">
        <w:trPr>
          <w:jc w:val="center"/>
        </w:trPr>
        <w:tc>
          <w:tcPr>
            <w:tcW w:w="2397" w:type="dxa"/>
            <w:vAlign w:val="center"/>
          </w:tcPr>
          <w:p w:rsidR="00C664FC" w:rsidRDefault="00CF1577">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C664FC" w:rsidRDefault="00CF1577">
            <w:pPr>
              <w:jc w:val="center"/>
            </w:pPr>
            <w:r>
              <w:rPr>
                <w:rFonts w:eastAsiaTheme="minorEastAsia"/>
                <w:color w:val="000000" w:themeColor="text1"/>
                <w:szCs w:val="21"/>
              </w:rPr>
              <w:t>-</w:t>
            </w:r>
          </w:p>
        </w:tc>
        <w:tc>
          <w:tcPr>
            <w:tcW w:w="3118" w:type="dxa"/>
            <w:vAlign w:val="center"/>
          </w:tcPr>
          <w:p w:rsidR="00C664FC" w:rsidRDefault="00CF1577">
            <w:pPr>
              <w:jc w:val="center"/>
            </w:pPr>
            <w:r>
              <w:rPr>
                <w:rFonts w:eastAsiaTheme="minorEastAsia"/>
                <w:color w:val="000000" w:themeColor="text1"/>
                <w:szCs w:val="21"/>
              </w:rPr>
              <w:t>-</w:t>
            </w:r>
          </w:p>
        </w:tc>
      </w:tr>
      <w:tr w:rsidR="00C664FC">
        <w:trPr>
          <w:jc w:val="center"/>
        </w:trPr>
        <w:tc>
          <w:tcPr>
            <w:tcW w:w="2397" w:type="dxa"/>
            <w:vAlign w:val="center"/>
          </w:tcPr>
          <w:p w:rsidR="00C664FC" w:rsidRDefault="00CF1577">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C664FC" w:rsidRDefault="00CF1577">
            <w:pPr>
              <w:jc w:val="center"/>
            </w:pPr>
            <w:r>
              <w:rPr>
                <w:rFonts w:eastAsiaTheme="minorEastAsia"/>
                <w:color w:val="000000" w:themeColor="text1"/>
                <w:szCs w:val="21"/>
              </w:rPr>
              <w:t>16,044,275.71</w:t>
            </w:r>
          </w:p>
        </w:tc>
        <w:tc>
          <w:tcPr>
            <w:tcW w:w="3118" w:type="dxa"/>
            <w:vAlign w:val="center"/>
          </w:tcPr>
          <w:p w:rsidR="00C664FC" w:rsidRDefault="00CF1577">
            <w:pPr>
              <w:jc w:val="center"/>
            </w:pPr>
            <w:r>
              <w:rPr>
                <w:rFonts w:eastAsiaTheme="minorEastAsia"/>
                <w:color w:val="000000" w:themeColor="text1"/>
                <w:szCs w:val="21"/>
              </w:rPr>
              <w:t>1.42</w:t>
            </w:r>
          </w:p>
        </w:tc>
      </w:tr>
      <w:tr w:rsidR="00C664FC">
        <w:trPr>
          <w:jc w:val="center"/>
        </w:trPr>
        <w:tc>
          <w:tcPr>
            <w:tcW w:w="2397" w:type="dxa"/>
            <w:vAlign w:val="center"/>
          </w:tcPr>
          <w:p w:rsidR="00C664FC" w:rsidRDefault="00CF1577">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C664FC" w:rsidRDefault="00CF1577">
            <w:pPr>
              <w:jc w:val="center"/>
            </w:pPr>
            <w:r>
              <w:rPr>
                <w:rFonts w:eastAsiaTheme="minorEastAsia"/>
                <w:color w:val="000000" w:themeColor="text1"/>
                <w:szCs w:val="21"/>
              </w:rPr>
              <w:t>-</w:t>
            </w:r>
          </w:p>
        </w:tc>
        <w:tc>
          <w:tcPr>
            <w:tcW w:w="3118" w:type="dxa"/>
            <w:vAlign w:val="center"/>
          </w:tcPr>
          <w:p w:rsidR="00C664FC" w:rsidRDefault="00CF1577">
            <w:pPr>
              <w:jc w:val="center"/>
            </w:pPr>
            <w:r>
              <w:rPr>
                <w:rFonts w:eastAsiaTheme="minorEastAsia"/>
                <w:color w:val="000000" w:themeColor="text1"/>
                <w:szCs w:val="21"/>
              </w:rPr>
              <w:t>-</w:t>
            </w:r>
          </w:p>
        </w:tc>
      </w:tr>
      <w:tr w:rsidR="00C664FC">
        <w:trPr>
          <w:jc w:val="center"/>
        </w:trPr>
        <w:tc>
          <w:tcPr>
            <w:tcW w:w="2397" w:type="dxa"/>
            <w:vAlign w:val="center"/>
          </w:tcPr>
          <w:p w:rsidR="00C664FC" w:rsidRDefault="00CF1577">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C664FC" w:rsidRDefault="00CF1577">
            <w:pPr>
              <w:jc w:val="center"/>
            </w:pPr>
            <w:r>
              <w:rPr>
                <w:rFonts w:eastAsiaTheme="minorEastAsia"/>
                <w:color w:val="000000" w:themeColor="text1"/>
                <w:szCs w:val="21"/>
              </w:rPr>
              <w:t>-</w:t>
            </w:r>
          </w:p>
        </w:tc>
        <w:tc>
          <w:tcPr>
            <w:tcW w:w="3118" w:type="dxa"/>
            <w:vAlign w:val="center"/>
          </w:tcPr>
          <w:p w:rsidR="00C664FC" w:rsidRDefault="00CF1577">
            <w:pPr>
              <w:jc w:val="center"/>
            </w:pPr>
            <w:r>
              <w:rPr>
                <w:rFonts w:eastAsiaTheme="minorEastAsia"/>
                <w:color w:val="000000" w:themeColor="text1"/>
                <w:szCs w:val="21"/>
              </w:rPr>
              <w:t>-</w:t>
            </w:r>
          </w:p>
        </w:tc>
      </w:tr>
      <w:tr w:rsidR="00C664FC">
        <w:trPr>
          <w:jc w:val="center"/>
        </w:trPr>
        <w:tc>
          <w:tcPr>
            <w:tcW w:w="2397" w:type="dxa"/>
            <w:vAlign w:val="center"/>
          </w:tcPr>
          <w:p w:rsidR="00C664FC" w:rsidRDefault="00CF1577">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C664FC" w:rsidRDefault="00CF1577">
            <w:pPr>
              <w:jc w:val="center"/>
            </w:pPr>
            <w:r>
              <w:rPr>
                <w:rFonts w:eastAsiaTheme="minorEastAsia"/>
                <w:color w:val="000000" w:themeColor="text1"/>
                <w:szCs w:val="21"/>
              </w:rPr>
              <w:t>-</w:t>
            </w:r>
          </w:p>
        </w:tc>
        <w:tc>
          <w:tcPr>
            <w:tcW w:w="3118" w:type="dxa"/>
            <w:vAlign w:val="center"/>
          </w:tcPr>
          <w:p w:rsidR="00C664FC" w:rsidRDefault="00CF1577">
            <w:pPr>
              <w:jc w:val="center"/>
            </w:pPr>
            <w:r>
              <w:rPr>
                <w:rFonts w:eastAsiaTheme="minorEastAsia"/>
                <w:color w:val="000000" w:themeColor="text1"/>
                <w:szCs w:val="21"/>
              </w:rPr>
              <w:t>-</w:t>
            </w:r>
          </w:p>
        </w:tc>
      </w:tr>
      <w:tr w:rsidR="00C664FC">
        <w:trPr>
          <w:jc w:val="center"/>
        </w:trPr>
        <w:tc>
          <w:tcPr>
            <w:tcW w:w="2397" w:type="dxa"/>
            <w:vAlign w:val="center"/>
          </w:tcPr>
          <w:p w:rsidR="00C664FC" w:rsidRDefault="00CF1577">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C664FC" w:rsidRDefault="00CF1577">
            <w:pPr>
              <w:jc w:val="center"/>
            </w:pPr>
            <w:r>
              <w:rPr>
                <w:rFonts w:eastAsiaTheme="minorEastAsia"/>
                <w:color w:val="000000" w:themeColor="text1"/>
                <w:szCs w:val="21"/>
              </w:rPr>
              <w:t>-</w:t>
            </w:r>
          </w:p>
        </w:tc>
        <w:tc>
          <w:tcPr>
            <w:tcW w:w="3118" w:type="dxa"/>
            <w:vAlign w:val="center"/>
          </w:tcPr>
          <w:p w:rsidR="00C664FC" w:rsidRDefault="00CF1577">
            <w:pPr>
              <w:jc w:val="center"/>
            </w:pPr>
            <w:r>
              <w:rPr>
                <w:rFonts w:eastAsiaTheme="minorEastAsia"/>
                <w:color w:val="000000" w:themeColor="text1"/>
                <w:szCs w:val="21"/>
              </w:rPr>
              <w:t>-</w:t>
            </w:r>
          </w:p>
        </w:tc>
      </w:tr>
      <w:tr w:rsidR="00C664FC">
        <w:trPr>
          <w:jc w:val="center"/>
        </w:trPr>
        <w:tc>
          <w:tcPr>
            <w:tcW w:w="2397" w:type="dxa"/>
            <w:vAlign w:val="center"/>
          </w:tcPr>
          <w:p w:rsidR="00C664FC" w:rsidRDefault="00CF1577">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C664FC" w:rsidRDefault="00CF1577">
            <w:pPr>
              <w:jc w:val="center"/>
            </w:pPr>
            <w:r>
              <w:rPr>
                <w:rFonts w:eastAsiaTheme="minorEastAsia"/>
                <w:color w:val="000000" w:themeColor="text1"/>
                <w:szCs w:val="21"/>
              </w:rPr>
              <w:t>18,967,496.38</w:t>
            </w:r>
          </w:p>
        </w:tc>
        <w:tc>
          <w:tcPr>
            <w:tcW w:w="3118" w:type="dxa"/>
            <w:vAlign w:val="center"/>
          </w:tcPr>
          <w:p w:rsidR="00C664FC" w:rsidRDefault="00CF1577">
            <w:pPr>
              <w:jc w:val="center"/>
            </w:pPr>
            <w:r>
              <w:rPr>
                <w:rFonts w:eastAsiaTheme="minorEastAsia"/>
                <w:color w:val="000000" w:themeColor="text1"/>
                <w:szCs w:val="21"/>
              </w:rPr>
              <w:t>1.68</w:t>
            </w:r>
          </w:p>
        </w:tc>
      </w:tr>
      <w:tr w:rsidR="00C664FC">
        <w:trPr>
          <w:jc w:val="center"/>
        </w:trPr>
        <w:tc>
          <w:tcPr>
            <w:tcW w:w="2397" w:type="dxa"/>
            <w:vAlign w:val="center"/>
          </w:tcPr>
          <w:p w:rsidR="00C664FC" w:rsidRDefault="00CF1577">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C664FC" w:rsidRDefault="00CF1577">
            <w:pPr>
              <w:jc w:val="center"/>
            </w:pPr>
            <w:r>
              <w:rPr>
                <w:rFonts w:eastAsiaTheme="minorEastAsia"/>
                <w:color w:val="000000" w:themeColor="text1"/>
                <w:szCs w:val="21"/>
              </w:rPr>
              <w:t>39,111,971.01</w:t>
            </w:r>
          </w:p>
        </w:tc>
        <w:tc>
          <w:tcPr>
            <w:tcW w:w="3118" w:type="dxa"/>
            <w:vAlign w:val="center"/>
          </w:tcPr>
          <w:p w:rsidR="00C664FC" w:rsidRDefault="00CF1577">
            <w:pPr>
              <w:jc w:val="center"/>
            </w:pPr>
            <w:r>
              <w:rPr>
                <w:rFonts w:eastAsiaTheme="minorEastAsia"/>
                <w:color w:val="000000" w:themeColor="text1"/>
                <w:szCs w:val="21"/>
              </w:rPr>
              <w:t>3.46</w:t>
            </w:r>
          </w:p>
        </w:tc>
      </w:tr>
      <w:tr w:rsidR="00C664FC">
        <w:trPr>
          <w:jc w:val="center"/>
        </w:trPr>
        <w:tc>
          <w:tcPr>
            <w:tcW w:w="2397" w:type="dxa"/>
            <w:vAlign w:val="center"/>
          </w:tcPr>
          <w:p w:rsidR="00C664FC" w:rsidRDefault="00CF1577">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C664FC" w:rsidRDefault="00CF1577">
            <w:pPr>
              <w:jc w:val="center"/>
            </w:pPr>
            <w:r>
              <w:rPr>
                <w:rFonts w:eastAsiaTheme="minorEastAsia"/>
                <w:color w:val="000000" w:themeColor="text1"/>
                <w:szCs w:val="21"/>
              </w:rPr>
              <w:t>-</w:t>
            </w:r>
          </w:p>
        </w:tc>
        <w:tc>
          <w:tcPr>
            <w:tcW w:w="3118" w:type="dxa"/>
            <w:vAlign w:val="center"/>
          </w:tcPr>
          <w:p w:rsidR="00C664FC" w:rsidRDefault="00CF1577">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82,408,920.70</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7.30</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C664FC">
        <w:tc>
          <w:tcPr>
            <w:tcW w:w="817" w:type="dxa"/>
            <w:vAlign w:val="center"/>
          </w:tcPr>
          <w:p w:rsidR="00C664FC" w:rsidRDefault="00CF1577">
            <w:pPr>
              <w:jc w:val="center"/>
            </w:pPr>
            <w:r>
              <w:rPr>
                <w:rFonts w:eastAsiaTheme="minorEastAsia"/>
                <w:kern w:val="0"/>
                <w:szCs w:val="21"/>
              </w:rPr>
              <w:t>1</w:t>
            </w:r>
          </w:p>
        </w:tc>
        <w:tc>
          <w:tcPr>
            <w:tcW w:w="1276" w:type="dxa"/>
            <w:vAlign w:val="center"/>
          </w:tcPr>
          <w:p w:rsidR="00C664FC" w:rsidRDefault="00CF1577">
            <w:pPr>
              <w:jc w:val="center"/>
            </w:pPr>
            <w:r>
              <w:rPr>
                <w:rFonts w:eastAsiaTheme="minorEastAsia"/>
                <w:kern w:val="0"/>
                <w:szCs w:val="21"/>
              </w:rPr>
              <w:t>01816</w:t>
            </w:r>
          </w:p>
        </w:tc>
        <w:tc>
          <w:tcPr>
            <w:tcW w:w="1701" w:type="dxa"/>
            <w:vAlign w:val="center"/>
          </w:tcPr>
          <w:p w:rsidR="00C664FC" w:rsidRDefault="00CF1577">
            <w:pPr>
              <w:jc w:val="center"/>
            </w:pPr>
            <w:r>
              <w:rPr>
                <w:rFonts w:eastAsiaTheme="minorEastAsia"/>
                <w:kern w:val="0"/>
                <w:szCs w:val="21"/>
              </w:rPr>
              <w:t xml:space="preserve">中广核电力　　　</w:t>
            </w:r>
          </w:p>
        </w:tc>
        <w:tc>
          <w:tcPr>
            <w:tcW w:w="1276" w:type="dxa"/>
            <w:vAlign w:val="center"/>
          </w:tcPr>
          <w:p w:rsidR="00C664FC" w:rsidRDefault="00CF1577">
            <w:pPr>
              <w:jc w:val="right"/>
            </w:pPr>
            <w:r>
              <w:rPr>
                <w:rFonts w:eastAsiaTheme="minorEastAsia"/>
                <w:kern w:val="0"/>
                <w:szCs w:val="21"/>
              </w:rPr>
              <w:t>23,525,000.00</w:t>
            </w:r>
          </w:p>
        </w:tc>
        <w:tc>
          <w:tcPr>
            <w:tcW w:w="1842" w:type="dxa"/>
            <w:vAlign w:val="center"/>
          </w:tcPr>
          <w:p w:rsidR="00C664FC" w:rsidRDefault="00CF1577">
            <w:pPr>
              <w:jc w:val="right"/>
            </w:pPr>
            <w:r>
              <w:rPr>
                <w:rFonts w:eastAsiaTheme="minorEastAsia"/>
                <w:kern w:val="0"/>
                <w:szCs w:val="21"/>
              </w:rPr>
              <w:t>39,111,971.01</w:t>
            </w:r>
          </w:p>
        </w:tc>
        <w:tc>
          <w:tcPr>
            <w:tcW w:w="1616" w:type="dxa"/>
            <w:vAlign w:val="center"/>
          </w:tcPr>
          <w:p w:rsidR="00C664FC" w:rsidRDefault="00CF1577">
            <w:pPr>
              <w:jc w:val="right"/>
            </w:pPr>
            <w:r>
              <w:rPr>
                <w:rFonts w:eastAsiaTheme="minorEastAsia"/>
                <w:kern w:val="0"/>
                <w:szCs w:val="21"/>
              </w:rPr>
              <w:t>3.46</w:t>
            </w:r>
          </w:p>
        </w:tc>
      </w:tr>
      <w:tr w:rsidR="00C664FC">
        <w:tc>
          <w:tcPr>
            <w:tcW w:w="817" w:type="dxa"/>
            <w:vAlign w:val="center"/>
          </w:tcPr>
          <w:p w:rsidR="00C664FC" w:rsidRDefault="00CF1577">
            <w:pPr>
              <w:jc w:val="center"/>
            </w:pPr>
            <w:r>
              <w:rPr>
                <w:rFonts w:eastAsiaTheme="minorEastAsia"/>
                <w:kern w:val="0"/>
                <w:szCs w:val="21"/>
              </w:rPr>
              <w:t>2</w:t>
            </w:r>
          </w:p>
        </w:tc>
        <w:tc>
          <w:tcPr>
            <w:tcW w:w="1276" w:type="dxa"/>
            <w:vAlign w:val="center"/>
          </w:tcPr>
          <w:p w:rsidR="00C664FC" w:rsidRDefault="00CF1577">
            <w:pPr>
              <w:jc w:val="center"/>
            </w:pPr>
            <w:r>
              <w:rPr>
                <w:rFonts w:eastAsiaTheme="minorEastAsia"/>
                <w:kern w:val="0"/>
                <w:szCs w:val="21"/>
              </w:rPr>
              <w:t>603588</w:t>
            </w:r>
          </w:p>
        </w:tc>
        <w:tc>
          <w:tcPr>
            <w:tcW w:w="1701" w:type="dxa"/>
            <w:vAlign w:val="center"/>
          </w:tcPr>
          <w:p w:rsidR="00C664FC" w:rsidRDefault="00CF1577">
            <w:pPr>
              <w:jc w:val="center"/>
            </w:pPr>
            <w:r>
              <w:rPr>
                <w:rFonts w:eastAsiaTheme="minorEastAsia"/>
                <w:kern w:val="0"/>
                <w:szCs w:val="21"/>
              </w:rPr>
              <w:t>高能环境</w:t>
            </w:r>
          </w:p>
        </w:tc>
        <w:tc>
          <w:tcPr>
            <w:tcW w:w="1276" w:type="dxa"/>
            <w:vAlign w:val="center"/>
          </w:tcPr>
          <w:p w:rsidR="00C664FC" w:rsidRDefault="00CF1577">
            <w:pPr>
              <w:jc w:val="right"/>
            </w:pPr>
            <w:r>
              <w:rPr>
                <w:rFonts w:eastAsiaTheme="minorEastAsia"/>
                <w:kern w:val="0"/>
                <w:szCs w:val="21"/>
              </w:rPr>
              <w:t>1,450,504.00</w:t>
            </w:r>
          </w:p>
        </w:tc>
        <w:tc>
          <w:tcPr>
            <w:tcW w:w="1842" w:type="dxa"/>
            <w:vAlign w:val="center"/>
          </w:tcPr>
          <w:p w:rsidR="00C664FC" w:rsidRDefault="00CF1577">
            <w:pPr>
              <w:jc w:val="right"/>
            </w:pPr>
            <w:r>
              <w:rPr>
                <w:rFonts w:eastAsiaTheme="minorEastAsia"/>
                <w:kern w:val="0"/>
                <w:szCs w:val="21"/>
              </w:rPr>
              <w:t>22,555,337.20</w:t>
            </w:r>
          </w:p>
        </w:tc>
        <w:tc>
          <w:tcPr>
            <w:tcW w:w="1616" w:type="dxa"/>
            <w:vAlign w:val="center"/>
          </w:tcPr>
          <w:p w:rsidR="00C664FC" w:rsidRDefault="00CF1577">
            <w:pPr>
              <w:jc w:val="right"/>
            </w:pPr>
            <w:r>
              <w:rPr>
                <w:rFonts w:eastAsiaTheme="minorEastAsia"/>
                <w:kern w:val="0"/>
                <w:szCs w:val="21"/>
              </w:rPr>
              <w:t>2.00</w:t>
            </w:r>
          </w:p>
        </w:tc>
      </w:tr>
      <w:tr w:rsidR="00C664FC">
        <w:tc>
          <w:tcPr>
            <w:tcW w:w="817" w:type="dxa"/>
            <w:vAlign w:val="center"/>
          </w:tcPr>
          <w:p w:rsidR="00C664FC" w:rsidRDefault="00CF1577">
            <w:pPr>
              <w:jc w:val="center"/>
            </w:pPr>
            <w:r>
              <w:rPr>
                <w:rFonts w:eastAsiaTheme="minorEastAsia"/>
                <w:kern w:val="0"/>
                <w:szCs w:val="21"/>
              </w:rPr>
              <w:t>3</w:t>
            </w:r>
          </w:p>
        </w:tc>
        <w:tc>
          <w:tcPr>
            <w:tcW w:w="1276" w:type="dxa"/>
            <w:vAlign w:val="center"/>
          </w:tcPr>
          <w:p w:rsidR="00C664FC" w:rsidRDefault="00CF1577">
            <w:pPr>
              <w:jc w:val="center"/>
            </w:pPr>
            <w:r>
              <w:rPr>
                <w:rFonts w:eastAsiaTheme="minorEastAsia"/>
                <w:kern w:val="0"/>
                <w:szCs w:val="21"/>
              </w:rPr>
              <w:t>601318</w:t>
            </w:r>
          </w:p>
        </w:tc>
        <w:tc>
          <w:tcPr>
            <w:tcW w:w="1701" w:type="dxa"/>
            <w:vAlign w:val="center"/>
          </w:tcPr>
          <w:p w:rsidR="00C664FC" w:rsidRDefault="00CF1577">
            <w:pPr>
              <w:jc w:val="center"/>
            </w:pPr>
            <w:r>
              <w:rPr>
                <w:rFonts w:eastAsiaTheme="minorEastAsia"/>
                <w:kern w:val="0"/>
                <w:szCs w:val="21"/>
              </w:rPr>
              <w:t>中国平安</w:t>
            </w:r>
          </w:p>
        </w:tc>
        <w:tc>
          <w:tcPr>
            <w:tcW w:w="1276" w:type="dxa"/>
            <w:vAlign w:val="center"/>
          </w:tcPr>
          <w:p w:rsidR="00C664FC" w:rsidRDefault="00CF1577">
            <w:pPr>
              <w:jc w:val="right"/>
            </w:pPr>
            <w:r>
              <w:rPr>
                <w:rFonts w:eastAsiaTheme="minorEastAsia"/>
                <w:kern w:val="0"/>
                <w:szCs w:val="21"/>
              </w:rPr>
              <w:t>442,167.00</w:t>
            </w:r>
          </w:p>
        </w:tc>
        <w:tc>
          <w:tcPr>
            <w:tcW w:w="1842" w:type="dxa"/>
            <w:vAlign w:val="center"/>
          </w:tcPr>
          <w:p w:rsidR="00C664FC" w:rsidRDefault="00CF1577">
            <w:pPr>
              <w:jc w:val="right"/>
            </w:pPr>
            <w:r>
              <w:rPr>
                <w:rFonts w:eastAsiaTheme="minorEastAsia"/>
                <w:kern w:val="0"/>
                <w:szCs w:val="21"/>
              </w:rPr>
              <w:t>21,422,991.15</w:t>
            </w:r>
          </w:p>
        </w:tc>
        <w:tc>
          <w:tcPr>
            <w:tcW w:w="1616" w:type="dxa"/>
            <w:vAlign w:val="center"/>
          </w:tcPr>
          <w:p w:rsidR="00C664FC" w:rsidRDefault="00CF1577">
            <w:pPr>
              <w:jc w:val="right"/>
            </w:pPr>
            <w:r>
              <w:rPr>
                <w:rFonts w:eastAsiaTheme="minorEastAsia"/>
                <w:kern w:val="0"/>
                <w:szCs w:val="21"/>
              </w:rPr>
              <w:t>1.90</w:t>
            </w:r>
          </w:p>
        </w:tc>
      </w:tr>
      <w:tr w:rsidR="00C664FC">
        <w:tc>
          <w:tcPr>
            <w:tcW w:w="817" w:type="dxa"/>
            <w:vAlign w:val="center"/>
          </w:tcPr>
          <w:p w:rsidR="00C664FC" w:rsidRDefault="00CF1577">
            <w:pPr>
              <w:jc w:val="center"/>
            </w:pPr>
            <w:r>
              <w:rPr>
                <w:rFonts w:eastAsiaTheme="minorEastAsia"/>
                <w:kern w:val="0"/>
                <w:szCs w:val="21"/>
              </w:rPr>
              <w:t>4</w:t>
            </w:r>
          </w:p>
        </w:tc>
        <w:tc>
          <w:tcPr>
            <w:tcW w:w="1276" w:type="dxa"/>
            <w:vAlign w:val="center"/>
          </w:tcPr>
          <w:p w:rsidR="00C664FC" w:rsidRDefault="00CF1577">
            <w:pPr>
              <w:jc w:val="center"/>
            </w:pPr>
            <w:r>
              <w:rPr>
                <w:rFonts w:eastAsiaTheme="minorEastAsia"/>
                <w:kern w:val="0"/>
                <w:szCs w:val="21"/>
              </w:rPr>
              <w:t>00700</w:t>
            </w:r>
          </w:p>
        </w:tc>
        <w:tc>
          <w:tcPr>
            <w:tcW w:w="1701" w:type="dxa"/>
            <w:vAlign w:val="center"/>
          </w:tcPr>
          <w:p w:rsidR="00C664FC" w:rsidRDefault="00CF1577">
            <w:pPr>
              <w:jc w:val="center"/>
            </w:pPr>
            <w:r>
              <w:rPr>
                <w:rFonts w:eastAsiaTheme="minorEastAsia"/>
                <w:kern w:val="0"/>
                <w:szCs w:val="21"/>
              </w:rPr>
              <w:t xml:space="preserve">腾讯控股　　　　</w:t>
            </w:r>
          </w:p>
        </w:tc>
        <w:tc>
          <w:tcPr>
            <w:tcW w:w="1276" w:type="dxa"/>
            <w:vAlign w:val="center"/>
          </w:tcPr>
          <w:p w:rsidR="00C664FC" w:rsidRDefault="00CF1577">
            <w:pPr>
              <w:jc w:val="right"/>
            </w:pPr>
            <w:r>
              <w:rPr>
                <w:rFonts w:eastAsiaTheme="minorEastAsia"/>
                <w:kern w:val="0"/>
                <w:szCs w:val="21"/>
              </w:rPr>
              <w:t>62,500.00</w:t>
            </w:r>
          </w:p>
        </w:tc>
        <w:tc>
          <w:tcPr>
            <w:tcW w:w="1842" w:type="dxa"/>
            <w:vAlign w:val="center"/>
          </w:tcPr>
          <w:p w:rsidR="00C664FC" w:rsidRDefault="00CF1577">
            <w:pPr>
              <w:jc w:val="right"/>
            </w:pPr>
            <w:r>
              <w:rPr>
                <w:rFonts w:eastAsiaTheme="minorEastAsia"/>
                <w:kern w:val="0"/>
                <w:szCs w:val="21"/>
              </w:rPr>
              <w:t>18,967,496.38</w:t>
            </w:r>
          </w:p>
        </w:tc>
        <w:tc>
          <w:tcPr>
            <w:tcW w:w="1616" w:type="dxa"/>
            <w:vAlign w:val="center"/>
          </w:tcPr>
          <w:p w:rsidR="00C664FC" w:rsidRDefault="00CF1577">
            <w:pPr>
              <w:jc w:val="right"/>
            </w:pPr>
            <w:r>
              <w:rPr>
                <w:rFonts w:eastAsiaTheme="minorEastAsia"/>
                <w:kern w:val="0"/>
                <w:szCs w:val="21"/>
              </w:rPr>
              <w:t>1.68</w:t>
            </w:r>
          </w:p>
        </w:tc>
      </w:tr>
      <w:tr w:rsidR="00C664FC">
        <w:tc>
          <w:tcPr>
            <w:tcW w:w="817" w:type="dxa"/>
            <w:vAlign w:val="center"/>
          </w:tcPr>
          <w:p w:rsidR="00C664FC" w:rsidRDefault="00CF1577">
            <w:pPr>
              <w:jc w:val="center"/>
            </w:pPr>
            <w:r>
              <w:rPr>
                <w:rFonts w:eastAsiaTheme="minorEastAsia"/>
                <w:kern w:val="0"/>
                <w:szCs w:val="21"/>
              </w:rPr>
              <w:t>5</w:t>
            </w:r>
          </w:p>
        </w:tc>
        <w:tc>
          <w:tcPr>
            <w:tcW w:w="1276" w:type="dxa"/>
            <w:vAlign w:val="center"/>
          </w:tcPr>
          <w:p w:rsidR="00C664FC" w:rsidRDefault="00CF1577">
            <w:pPr>
              <w:jc w:val="center"/>
            </w:pPr>
            <w:r>
              <w:rPr>
                <w:rFonts w:eastAsiaTheme="minorEastAsia"/>
                <w:kern w:val="0"/>
                <w:szCs w:val="21"/>
              </w:rPr>
              <w:t>601677</w:t>
            </w:r>
          </w:p>
        </w:tc>
        <w:tc>
          <w:tcPr>
            <w:tcW w:w="1701" w:type="dxa"/>
            <w:vAlign w:val="center"/>
          </w:tcPr>
          <w:p w:rsidR="00C664FC" w:rsidRDefault="00CF1577">
            <w:pPr>
              <w:jc w:val="center"/>
            </w:pPr>
            <w:r>
              <w:rPr>
                <w:rFonts w:eastAsiaTheme="minorEastAsia"/>
                <w:kern w:val="0"/>
                <w:szCs w:val="21"/>
              </w:rPr>
              <w:t>明泰铝业</w:t>
            </w:r>
          </w:p>
        </w:tc>
        <w:tc>
          <w:tcPr>
            <w:tcW w:w="1276" w:type="dxa"/>
            <w:vAlign w:val="center"/>
          </w:tcPr>
          <w:p w:rsidR="00C664FC" w:rsidRDefault="00CF1577">
            <w:pPr>
              <w:jc w:val="right"/>
            </w:pPr>
            <w:r>
              <w:rPr>
                <w:rFonts w:eastAsiaTheme="minorEastAsia"/>
                <w:kern w:val="0"/>
                <w:szCs w:val="21"/>
              </w:rPr>
              <w:t>429,384.00</w:t>
            </w:r>
          </w:p>
        </w:tc>
        <w:tc>
          <w:tcPr>
            <w:tcW w:w="1842" w:type="dxa"/>
            <w:vAlign w:val="center"/>
          </w:tcPr>
          <w:p w:rsidR="00C664FC" w:rsidRDefault="00CF1577">
            <w:pPr>
              <w:jc w:val="right"/>
            </w:pPr>
            <w:r>
              <w:rPr>
                <w:rFonts w:eastAsiaTheme="minorEastAsia"/>
                <w:kern w:val="0"/>
                <w:szCs w:val="21"/>
              </w:rPr>
              <w:t>17,733,559.20</w:t>
            </w:r>
          </w:p>
        </w:tc>
        <w:tc>
          <w:tcPr>
            <w:tcW w:w="1616" w:type="dxa"/>
            <w:vAlign w:val="center"/>
          </w:tcPr>
          <w:p w:rsidR="00C664FC" w:rsidRDefault="00CF1577">
            <w:pPr>
              <w:jc w:val="right"/>
            </w:pPr>
            <w:r>
              <w:rPr>
                <w:rFonts w:eastAsiaTheme="minorEastAsia"/>
                <w:kern w:val="0"/>
                <w:szCs w:val="21"/>
              </w:rPr>
              <w:t>1.57</w:t>
            </w:r>
          </w:p>
        </w:tc>
      </w:tr>
      <w:tr w:rsidR="00C664FC">
        <w:tc>
          <w:tcPr>
            <w:tcW w:w="817" w:type="dxa"/>
            <w:vAlign w:val="center"/>
          </w:tcPr>
          <w:p w:rsidR="00C664FC" w:rsidRDefault="00CF1577">
            <w:pPr>
              <w:jc w:val="center"/>
            </w:pPr>
            <w:r>
              <w:rPr>
                <w:rFonts w:eastAsiaTheme="minorEastAsia"/>
                <w:kern w:val="0"/>
                <w:szCs w:val="21"/>
              </w:rPr>
              <w:t>6</w:t>
            </w:r>
          </w:p>
        </w:tc>
        <w:tc>
          <w:tcPr>
            <w:tcW w:w="1276" w:type="dxa"/>
            <w:vAlign w:val="center"/>
          </w:tcPr>
          <w:p w:rsidR="00C664FC" w:rsidRDefault="00CF1577">
            <w:pPr>
              <w:jc w:val="center"/>
            </w:pPr>
            <w:r>
              <w:rPr>
                <w:rFonts w:eastAsiaTheme="minorEastAsia"/>
                <w:kern w:val="0"/>
                <w:szCs w:val="21"/>
              </w:rPr>
              <w:t>000933</w:t>
            </w:r>
          </w:p>
        </w:tc>
        <w:tc>
          <w:tcPr>
            <w:tcW w:w="1701" w:type="dxa"/>
            <w:vAlign w:val="center"/>
          </w:tcPr>
          <w:p w:rsidR="00C664FC" w:rsidRDefault="00CF1577">
            <w:pPr>
              <w:jc w:val="center"/>
            </w:pPr>
            <w:r>
              <w:rPr>
                <w:rFonts w:eastAsiaTheme="minorEastAsia"/>
                <w:kern w:val="0"/>
                <w:szCs w:val="21"/>
              </w:rPr>
              <w:t>神火股份</w:t>
            </w:r>
          </w:p>
        </w:tc>
        <w:tc>
          <w:tcPr>
            <w:tcW w:w="1276" w:type="dxa"/>
            <w:vAlign w:val="center"/>
          </w:tcPr>
          <w:p w:rsidR="00C664FC" w:rsidRDefault="00CF1577">
            <w:pPr>
              <w:jc w:val="right"/>
            </w:pPr>
            <w:r>
              <w:rPr>
                <w:rFonts w:eastAsiaTheme="minorEastAsia"/>
                <w:kern w:val="0"/>
                <w:szCs w:val="21"/>
              </w:rPr>
              <w:t>1,193,200.00</w:t>
            </w:r>
          </w:p>
        </w:tc>
        <w:tc>
          <w:tcPr>
            <w:tcW w:w="1842" w:type="dxa"/>
            <w:vAlign w:val="center"/>
          </w:tcPr>
          <w:p w:rsidR="00C664FC" w:rsidRDefault="00CF1577">
            <w:pPr>
              <w:jc w:val="right"/>
            </w:pPr>
            <w:r>
              <w:rPr>
                <w:rFonts w:eastAsiaTheme="minorEastAsia"/>
                <w:kern w:val="0"/>
                <w:szCs w:val="21"/>
              </w:rPr>
              <w:t>16,740,596.00</w:t>
            </w:r>
          </w:p>
        </w:tc>
        <w:tc>
          <w:tcPr>
            <w:tcW w:w="1616" w:type="dxa"/>
            <w:vAlign w:val="center"/>
          </w:tcPr>
          <w:p w:rsidR="00C664FC" w:rsidRDefault="00CF1577">
            <w:pPr>
              <w:jc w:val="right"/>
            </w:pPr>
            <w:r>
              <w:rPr>
                <w:rFonts w:eastAsiaTheme="minorEastAsia"/>
                <w:kern w:val="0"/>
                <w:szCs w:val="21"/>
              </w:rPr>
              <w:t>1.48</w:t>
            </w:r>
          </w:p>
        </w:tc>
      </w:tr>
      <w:tr w:rsidR="00C664FC">
        <w:tc>
          <w:tcPr>
            <w:tcW w:w="817" w:type="dxa"/>
            <w:vAlign w:val="center"/>
          </w:tcPr>
          <w:p w:rsidR="00C664FC" w:rsidRDefault="00CF1577">
            <w:pPr>
              <w:jc w:val="center"/>
            </w:pPr>
            <w:r>
              <w:rPr>
                <w:rFonts w:eastAsiaTheme="minorEastAsia"/>
                <w:kern w:val="0"/>
                <w:szCs w:val="21"/>
              </w:rPr>
              <w:t>7</w:t>
            </w:r>
          </w:p>
        </w:tc>
        <w:tc>
          <w:tcPr>
            <w:tcW w:w="1276" w:type="dxa"/>
            <w:vAlign w:val="center"/>
          </w:tcPr>
          <w:p w:rsidR="00C664FC" w:rsidRDefault="00CF1577">
            <w:pPr>
              <w:jc w:val="center"/>
            </w:pPr>
            <w:r>
              <w:rPr>
                <w:rFonts w:eastAsiaTheme="minorEastAsia"/>
                <w:kern w:val="0"/>
                <w:szCs w:val="21"/>
              </w:rPr>
              <w:t>00883</w:t>
            </w:r>
          </w:p>
        </w:tc>
        <w:tc>
          <w:tcPr>
            <w:tcW w:w="1701" w:type="dxa"/>
            <w:vAlign w:val="center"/>
          </w:tcPr>
          <w:p w:rsidR="00C664FC" w:rsidRDefault="00CF1577">
            <w:pPr>
              <w:jc w:val="center"/>
            </w:pPr>
            <w:r>
              <w:rPr>
                <w:rFonts w:eastAsiaTheme="minorEastAsia"/>
                <w:kern w:val="0"/>
                <w:szCs w:val="21"/>
              </w:rPr>
              <w:t xml:space="preserve">中国海洋石油　　</w:t>
            </w:r>
          </w:p>
        </w:tc>
        <w:tc>
          <w:tcPr>
            <w:tcW w:w="1276" w:type="dxa"/>
            <w:vAlign w:val="center"/>
          </w:tcPr>
          <w:p w:rsidR="00C664FC" w:rsidRDefault="00CF1577">
            <w:pPr>
              <w:jc w:val="right"/>
            </w:pPr>
            <w:r>
              <w:rPr>
                <w:rFonts w:eastAsiaTheme="minorEastAsia"/>
                <w:kern w:val="0"/>
                <w:szCs w:val="21"/>
              </w:rPr>
              <w:t>1,842,000.00</w:t>
            </w:r>
          </w:p>
        </w:tc>
        <w:tc>
          <w:tcPr>
            <w:tcW w:w="1842" w:type="dxa"/>
            <w:vAlign w:val="center"/>
          </w:tcPr>
          <w:p w:rsidR="00C664FC" w:rsidRDefault="00CF1577">
            <w:pPr>
              <w:jc w:val="right"/>
            </w:pPr>
            <w:r>
              <w:rPr>
                <w:rFonts w:eastAsiaTheme="minorEastAsia"/>
                <w:kern w:val="0"/>
                <w:szCs w:val="21"/>
              </w:rPr>
              <w:t>16,044,275.71</w:t>
            </w:r>
          </w:p>
        </w:tc>
        <w:tc>
          <w:tcPr>
            <w:tcW w:w="1616" w:type="dxa"/>
            <w:vAlign w:val="center"/>
          </w:tcPr>
          <w:p w:rsidR="00C664FC" w:rsidRDefault="00CF1577">
            <w:pPr>
              <w:jc w:val="right"/>
            </w:pPr>
            <w:r>
              <w:rPr>
                <w:rFonts w:eastAsiaTheme="minorEastAsia"/>
                <w:kern w:val="0"/>
                <w:szCs w:val="21"/>
              </w:rPr>
              <w:t>1.42</w:t>
            </w:r>
          </w:p>
        </w:tc>
      </w:tr>
      <w:tr w:rsidR="00C664FC">
        <w:tc>
          <w:tcPr>
            <w:tcW w:w="817" w:type="dxa"/>
            <w:vAlign w:val="center"/>
          </w:tcPr>
          <w:p w:rsidR="00C664FC" w:rsidRDefault="00CF1577">
            <w:pPr>
              <w:jc w:val="center"/>
            </w:pPr>
            <w:r>
              <w:rPr>
                <w:rFonts w:eastAsiaTheme="minorEastAsia"/>
                <w:kern w:val="0"/>
                <w:szCs w:val="21"/>
              </w:rPr>
              <w:t>8</w:t>
            </w:r>
          </w:p>
        </w:tc>
        <w:tc>
          <w:tcPr>
            <w:tcW w:w="1276" w:type="dxa"/>
            <w:vAlign w:val="center"/>
          </w:tcPr>
          <w:p w:rsidR="00C664FC" w:rsidRDefault="00CF1577">
            <w:pPr>
              <w:jc w:val="center"/>
            </w:pPr>
            <w:r>
              <w:rPr>
                <w:rFonts w:eastAsiaTheme="minorEastAsia"/>
                <w:kern w:val="0"/>
                <w:szCs w:val="21"/>
              </w:rPr>
              <w:t>003816</w:t>
            </w:r>
          </w:p>
        </w:tc>
        <w:tc>
          <w:tcPr>
            <w:tcW w:w="1701" w:type="dxa"/>
            <w:vAlign w:val="center"/>
          </w:tcPr>
          <w:p w:rsidR="00C664FC" w:rsidRDefault="00CF1577">
            <w:pPr>
              <w:jc w:val="center"/>
            </w:pPr>
            <w:r>
              <w:rPr>
                <w:rFonts w:eastAsiaTheme="minorEastAsia"/>
                <w:kern w:val="0"/>
                <w:szCs w:val="21"/>
              </w:rPr>
              <w:t>中国广核</w:t>
            </w:r>
          </w:p>
        </w:tc>
        <w:tc>
          <w:tcPr>
            <w:tcW w:w="1276" w:type="dxa"/>
            <w:vAlign w:val="center"/>
          </w:tcPr>
          <w:p w:rsidR="00C664FC" w:rsidRDefault="00CF1577">
            <w:pPr>
              <w:jc w:val="right"/>
            </w:pPr>
            <w:r>
              <w:rPr>
                <w:rFonts w:eastAsiaTheme="minorEastAsia"/>
                <w:kern w:val="0"/>
                <w:szCs w:val="21"/>
              </w:rPr>
              <w:t>5,777,257.00</w:t>
            </w:r>
          </w:p>
        </w:tc>
        <w:tc>
          <w:tcPr>
            <w:tcW w:w="1842" w:type="dxa"/>
            <w:vAlign w:val="center"/>
          </w:tcPr>
          <w:p w:rsidR="00C664FC" w:rsidRDefault="00CF1577">
            <w:pPr>
              <w:jc w:val="right"/>
            </w:pPr>
            <w:r>
              <w:rPr>
                <w:rFonts w:eastAsiaTheme="minorEastAsia"/>
                <w:kern w:val="0"/>
                <w:szCs w:val="21"/>
              </w:rPr>
              <w:t>15,771,911.61</w:t>
            </w:r>
          </w:p>
        </w:tc>
        <w:tc>
          <w:tcPr>
            <w:tcW w:w="1616" w:type="dxa"/>
            <w:vAlign w:val="center"/>
          </w:tcPr>
          <w:p w:rsidR="00C664FC" w:rsidRDefault="00CF1577">
            <w:pPr>
              <w:jc w:val="right"/>
            </w:pPr>
            <w:r>
              <w:rPr>
                <w:rFonts w:eastAsiaTheme="minorEastAsia"/>
                <w:kern w:val="0"/>
                <w:szCs w:val="21"/>
              </w:rPr>
              <w:t>1.40</w:t>
            </w:r>
          </w:p>
        </w:tc>
      </w:tr>
      <w:tr w:rsidR="00C664FC">
        <w:tc>
          <w:tcPr>
            <w:tcW w:w="817" w:type="dxa"/>
            <w:vAlign w:val="center"/>
          </w:tcPr>
          <w:p w:rsidR="00C664FC" w:rsidRDefault="00CF1577">
            <w:pPr>
              <w:jc w:val="center"/>
            </w:pPr>
            <w:r>
              <w:rPr>
                <w:rFonts w:eastAsiaTheme="minorEastAsia"/>
                <w:kern w:val="0"/>
                <w:szCs w:val="21"/>
              </w:rPr>
              <w:t>9</w:t>
            </w:r>
          </w:p>
        </w:tc>
        <w:tc>
          <w:tcPr>
            <w:tcW w:w="1276" w:type="dxa"/>
            <w:vAlign w:val="center"/>
          </w:tcPr>
          <w:p w:rsidR="00C664FC" w:rsidRDefault="00CF1577">
            <w:pPr>
              <w:jc w:val="center"/>
            </w:pPr>
            <w:r>
              <w:rPr>
                <w:rFonts w:eastAsiaTheme="minorEastAsia"/>
                <w:kern w:val="0"/>
                <w:szCs w:val="21"/>
              </w:rPr>
              <w:t>000725</w:t>
            </w:r>
          </w:p>
        </w:tc>
        <w:tc>
          <w:tcPr>
            <w:tcW w:w="1701" w:type="dxa"/>
            <w:vAlign w:val="center"/>
          </w:tcPr>
          <w:p w:rsidR="00C664FC" w:rsidRDefault="00CF1577">
            <w:pPr>
              <w:jc w:val="center"/>
            </w:pPr>
            <w:r>
              <w:rPr>
                <w:rFonts w:eastAsiaTheme="minorEastAsia"/>
                <w:kern w:val="0"/>
                <w:szCs w:val="21"/>
              </w:rPr>
              <w:t>京东方</w:t>
            </w:r>
            <w:r>
              <w:rPr>
                <w:rFonts w:eastAsiaTheme="minorEastAsia"/>
                <w:kern w:val="0"/>
                <w:szCs w:val="21"/>
              </w:rPr>
              <w:t>A</w:t>
            </w:r>
          </w:p>
        </w:tc>
        <w:tc>
          <w:tcPr>
            <w:tcW w:w="1276" w:type="dxa"/>
            <w:vAlign w:val="center"/>
          </w:tcPr>
          <w:p w:rsidR="00C664FC" w:rsidRDefault="00CF1577">
            <w:pPr>
              <w:jc w:val="right"/>
            </w:pPr>
            <w:r>
              <w:rPr>
                <w:rFonts w:eastAsiaTheme="minorEastAsia"/>
                <w:kern w:val="0"/>
                <w:szCs w:val="21"/>
              </w:rPr>
              <w:t>3,475,372.00</w:t>
            </w:r>
          </w:p>
        </w:tc>
        <w:tc>
          <w:tcPr>
            <w:tcW w:w="1842" w:type="dxa"/>
            <w:vAlign w:val="center"/>
          </w:tcPr>
          <w:p w:rsidR="00C664FC" w:rsidRDefault="00CF1577">
            <w:pPr>
              <w:jc w:val="right"/>
            </w:pPr>
            <w:r>
              <w:rPr>
                <w:rFonts w:eastAsiaTheme="minorEastAsia"/>
                <w:kern w:val="0"/>
                <w:szCs w:val="21"/>
              </w:rPr>
              <w:t>14,978,853.32</w:t>
            </w:r>
          </w:p>
        </w:tc>
        <w:tc>
          <w:tcPr>
            <w:tcW w:w="1616" w:type="dxa"/>
            <w:vAlign w:val="center"/>
          </w:tcPr>
          <w:p w:rsidR="00C664FC" w:rsidRDefault="00CF1577">
            <w:pPr>
              <w:jc w:val="right"/>
            </w:pPr>
            <w:r>
              <w:rPr>
                <w:rFonts w:eastAsiaTheme="minorEastAsia"/>
                <w:kern w:val="0"/>
                <w:szCs w:val="21"/>
              </w:rPr>
              <w:t>1.33</w:t>
            </w:r>
          </w:p>
        </w:tc>
      </w:tr>
      <w:tr w:rsidR="00C664FC">
        <w:tc>
          <w:tcPr>
            <w:tcW w:w="817" w:type="dxa"/>
            <w:vAlign w:val="center"/>
          </w:tcPr>
          <w:p w:rsidR="00C664FC" w:rsidRDefault="00CF1577">
            <w:pPr>
              <w:jc w:val="center"/>
            </w:pPr>
            <w:r>
              <w:rPr>
                <w:rFonts w:eastAsiaTheme="minorEastAsia"/>
                <w:kern w:val="0"/>
                <w:szCs w:val="21"/>
              </w:rPr>
              <w:t>10</w:t>
            </w:r>
          </w:p>
        </w:tc>
        <w:tc>
          <w:tcPr>
            <w:tcW w:w="1276" w:type="dxa"/>
            <w:vAlign w:val="center"/>
          </w:tcPr>
          <w:p w:rsidR="00C664FC" w:rsidRDefault="00CF1577">
            <w:pPr>
              <w:jc w:val="center"/>
            </w:pPr>
            <w:r>
              <w:rPr>
                <w:rFonts w:eastAsiaTheme="minorEastAsia"/>
                <w:kern w:val="0"/>
                <w:szCs w:val="21"/>
              </w:rPr>
              <w:t>600674</w:t>
            </w:r>
          </w:p>
        </w:tc>
        <w:tc>
          <w:tcPr>
            <w:tcW w:w="1701" w:type="dxa"/>
            <w:vAlign w:val="center"/>
          </w:tcPr>
          <w:p w:rsidR="00C664FC" w:rsidRDefault="00CF1577">
            <w:pPr>
              <w:jc w:val="center"/>
            </w:pPr>
            <w:r>
              <w:rPr>
                <w:rFonts w:eastAsiaTheme="minorEastAsia"/>
                <w:kern w:val="0"/>
                <w:szCs w:val="21"/>
              </w:rPr>
              <w:t>川投能源</w:t>
            </w:r>
          </w:p>
        </w:tc>
        <w:tc>
          <w:tcPr>
            <w:tcW w:w="1276" w:type="dxa"/>
            <w:vAlign w:val="center"/>
          </w:tcPr>
          <w:p w:rsidR="00C664FC" w:rsidRDefault="00CF1577">
            <w:pPr>
              <w:jc w:val="right"/>
            </w:pPr>
            <w:r>
              <w:rPr>
                <w:rFonts w:eastAsiaTheme="minorEastAsia"/>
                <w:kern w:val="0"/>
                <w:szCs w:val="21"/>
              </w:rPr>
              <w:t>1,394,483.00</w:t>
            </w:r>
          </w:p>
        </w:tc>
        <w:tc>
          <w:tcPr>
            <w:tcW w:w="1842" w:type="dxa"/>
            <w:vAlign w:val="center"/>
          </w:tcPr>
          <w:p w:rsidR="00C664FC" w:rsidRDefault="00CF1577">
            <w:pPr>
              <w:jc w:val="right"/>
            </w:pPr>
            <w:r>
              <w:rPr>
                <w:rFonts w:eastAsiaTheme="minorEastAsia"/>
                <w:kern w:val="0"/>
                <w:szCs w:val="21"/>
              </w:rPr>
              <w:t>14,976,747.42</w:t>
            </w:r>
          </w:p>
        </w:tc>
        <w:tc>
          <w:tcPr>
            <w:tcW w:w="1616" w:type="dxa"/>
            <w:vAlign w:val="center"/>
          </w:tcPr>
          <w:p w:rsidR="00C664FC" w:rsidRDefault="00CF1577">
            <w:pPr>
              <w:jc w:val="right"/>
            </w:pPr>
            <w:r>
              <w:rPr>
                <w:rFonts w:eastAsiaTheme="minorEastAsia"/>
                <w:kern w:val="0"/>
                <w:szCs w:val="21"/>
              </w:rPr>
              <w:t>1.33</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277,205,770.81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24.56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71,562,073.97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6.34</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51,139,953.42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37,333,576.66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10,082,490.41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50,987,882.74</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4.52</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133,847,716.18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205,324,669.32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18.19</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786,344,180.09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69.66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C664FC">
        <w:tc>
          <w:tcPr>
            <w:tcW w:w="1504" w:type="dxa"/>
            <w:vAlign w:val="center"/>
          </w:tcPr>
          <w:p w:rsidR="00C664FC" w:rsidRDefault="00CF1577">
            <w:pPr>
              <w:jc w:val="center"/>
            </w:pPr>
            <w:r>
              <w:rPr>
                <w:rFonts w:eastAsiaTheme="minorEastAsia"/>
                <w:color w:val="000000" w:themeColor="text1"/>
                <w:szCs w:val="21"/>
              </w:rPr>
              <w:t>1</w:t>
            </w:r>
          </w:p>
        </w:tc>
        <w:tc>
          <w:tcPr>
            <w:tcW w:w="1504" w:type="dxa"/>
            <w:vAlign w:val="center"/>
          </w:tcPr>
          <w:p w:rsidR="00C664FC" w:rsidRDefault="00CF1577">
            <w:pPr>
              <w:jc w:val="center"/>
            </w:pPr>
            <w:r>
              <w:rPr>
                <w:rFonts w:eastAsiaTheme="minorEastAsia"/>
                <w:color w:val="000000" w:themeColor="text1"/>
                <w:szCs w:val="21"/>
              </w:rPr>
              <w:t>210004</w:t>
            </w:r>
          </w:p>
        </w:tc>
        <w:tc>
          <w:tcPr>
            <w:tcW w:w="1504" w:type="dxa"/>
            <w:vAlign w:val="center"/>
          </w:tcPr>
          <w:p w:rsidR="00C664FC" w:rsidRDefault="00CF1577">
            <w:pPr>
              <w:jc w:val="center"/>
            </w:pPr>
            <w:r>
              <w:rPr>
                <w:rFonts w:eastAsiaTheme="minorEastAsia"/>
                <w:color w:val="000000" w:themeColor="text1"/>
                <w:szCs w:val="21"/>
              </w:rPr>
              <w:t>21</w:t>
            </w:r>
            <w:r>
              <w:rPr>
                <w:rFonts w:eastAsiaTheme="minorEastAsia"/>
                <w:color w:val="000000" w:themeColor="text1"/>
                <w:szCs w:val="21"/>
              </w:rPr>
              <w:t>附息国债</w:t>
            </w:r>
            <w:r>
              <w:rPr>
                <w:rFonts w:eastAsiaTheme="minorEastAsia"/>
                <w:color w:val="000000" w:themeColor="text1"/>
                <w:szCs w:val="21"/>
              </w:rPr>
              <w:t>04</w:t>
            </w:r>
          </w:p>
        </w:tc>
        <w:tc>
          <w:tcPr>
            <w:tcW w:w="1503" w:type="dxa"/>
            <w:vAlign w:val="center"/>
          </w:tcPr>
          <w:p w:rsidR="00C664FC" w:rsidRDefault="00CF1577">
            <w:pPr>
              <w:jc w:val="right"/>
            </w:pPr>
            <w:r>
              <w:rPr>
                <w:rFonts w:eastAsiaTheme="minorEastAsia"/>
                <w:color w:val="000000" w:themeColor="text1"/>
                <w:szCs w:val="21"/>
              </w:rPr>
              <w:t>1,030,000</w:t>
            </w:r>
          </w:p>
        </w:tc>
        <w:tc>
          <w:tcPr>
            <w:tcW w:w="1503" w:type="dxa"/>
            <w:vAlign w:val="center"/>
          </w:tcPr>
          <w:p w:rsidR="00C664FC" w:rsidRDefault="00CF1577">
            <w:pPr>
              <w:jc w:val="right"/>
            </w:pPr>
            <w:r>
              <w:rPr>
                <w:rFonts w:eastAsiaTheme="minorEastAsia"/>
                <w:color w:val="000000" w:themeColor="text1"/>
                <w:szCs w:val="21"/>
              </w:rPr>
              <w:t>106,930,000.27</w:t>
            </w:r>
          </w:p>
        </w:tc>
        <w:tc>
          <w:tcPr>
            <w:tcW w:w="1503" w:type="dxa"/>
            <w:vAlign w:val="center"/>
          </w:tcPr>
          <w:p w:rsidR="00C664FC" w:rsidRDefault="00CF1577">
            <w:pPr>
              <w:jc w:val="right"/>
            </w:pPr>
            <w:r>
              <w:rPr>
                <w:rFonts w:eastAsiaTheme="minorEastAsia"/>
                <w:color w:val="000000" w:themeColor="text1"/>
                <w:szCs w:val="21"/>
              </w:rPr>
              <w:t>9.47</w:t>
            </w:r>
          </w:p>
        </w:tc>
      </w:tr>
      <w:tr w:rsidR="00C664FC">
        <w:tc>
          <w:tcPr>
            <w:tcW w:w="1504" w:type="dxa"/>
            <w:vAlign w:val="center"/>
          </w:tcPr>
          <w:p w:rsidR="00C664FC" w:rsidRDefault="00CF1577">
            <w:pPr>
              <w:jc w:val="center"/>
            </w:pPr>
            <w:r>
              <w:rPr>
                <w:rFonts w:eastAsiaTheme="minorEastAsia"/>
                <w:color w:val="000000" w:themeColor="text1"/>
                <w:szCs w:val="21"/>
              </w:rPr>
              <w:t>2</w:t>
            </w:r>
          </w:p>
        </w:tc>
        <w:tc>
          <w:tcPr>
            <w:tcW w:w="1504" w:type="dxa"/>
            <w:vAlign w:val="center"/>
          </w:tcPr>
          <w:p w:rsidR="00C664FC" w:rsidRDefault="00CF1577">
            <w:pPr>
              <w:jc w:val="center"/>
            </w:pPr>
            <w:r>
              <w:rPr>
                <w:rFonts w:eastAsiaTheme="minorEastAsia"/>
                <w:color w:val="000000" w:themeColor="text1"/>
                <w:szCs w:val="21"/>
              </w:rPr>
              <w:t>200014</w:t>
            </w:r>
          </w:p>
        </w:tc>
        <w:tc>
          <w:tcPr>
            <w:tcW w:w="1504" w:type="dxa"/>
            <w:vAlign w:val="center"/>
          </w:tcPr>
          <w:p w:rsidR="00C664FC" w:rsidRDefault="00CF1577">
            <w:pPr>
              <w:jc w:val="center"/>
            </w:pPr>
            <w:r>
              <w:rPr>
                <w:rFonts w:eastAsiaTheme="minorEastAsia"/>
                <w:color w:val="000000" w:themeColor="text1"/>
                <w:szCs w:val="21"/>
              </w:rPr>
              <w:t>20</w:t>
            </w:r>
            <w:r>
              <w:rPr>
                <w:rFonts w:eastAsiaTheme="minorEastAsia"/>
                <w:color w:val="000000" w:themeColor="text1"/>
                <w:szCs w:val="21"/>
              </w:rPr>
              <w:t>附息国债</w:t>
            </w:r>
            <w:r>
              <w:rPr>
                <w:rFonts w:eastAsiaTheme="minorEastAsia"/>
                <w:color w:val="000000" w:themeColor="text1"/>
                <w:szCs w:val="21"/>
              </w:rPr>
              <w:t>14</w:t>
            </w:r>
          </w:p>
        </w:tc>
        <w:tc>
          <w:tcPr>
            <w:tcW w:w="1503" w:type="dxa"/>
            <w:vAlign w:val="center"/>
          </w:tcPr>
          <w:p w:rsidR="00C664FC" w:rsidRDefault="00CF1577">
            <w:pPr>
              <w:jc w:val="right"/>
            </w:pPr>
            <w:r>
              <w:rPr>
                <w:rFonts w:eastAsiaTheme="minorEastAsia"/>
                <w:color w:val="000000" w:themeColor="text1"/>
                <w:szCs w:val="21"/>
              </w:rPr>
              <w:t>1,010,000</w:t>
            </w:r>
          </w:p>
        </w:tc>
        <w:tc>
          <w:tcPr>
            <w:tcW w:w="1503" w:type="dxa"/>
            <w:vAlign w:val="center"/>
          </w:tcPr>
          <w:p w:rsidR="00C664FC" w:rsidRDefault="00CF1577">
            <w:pPr>
              <w:jc w:val="right"/>
            </w:pPr>
            <w:r>
              <w:rPr>
                <w:rFonts w:eastAsiaTheme="minorEastAsia"/>
                <w:color w:val="000000" w:themeColor="text1"/>
                <w:szCs w:val="21"/>
              </w:rPr>
              <w:t>103,050,189.32</w:t>
            </w:r>
          </w:p>
        </w:tc>
        <w:tc>
          <w:tcPr>
            <w:tcW w:w="1503" w:type="dxa"/>
            <w:vAlign w:val="center"/>
          </w:tcPr>
          <w:p w:rsidR="00C664FC" w:rsidRDefault="00CF1577">
            <w:pPr>
              <w:jc w:val="right"/>
            </w:pPr>
            <w:r>
              <w:rPr>
                <w:rFonts w:eastAsiaTheme="minorEastAsia"/>
                <w:color w:val="000000" w:themeColor="text1"/>
                <w:szCs w:val="21"/>
              </w:rPr>
              <w:t>9.13</w:t>
            </w:r>
          </w:p>
        </w:tc>
      </w:tr>
      <w:tr w:rsidR="00C664FC">
        <w:tc>
          <w:tcPr>
            <w:tcW w:w="1504" w:type="dxa"/>
            <w:vAlign w:val="center"/>
          </w:tcPr>
          <w:p w:rsidR="00C664FC" w:rsidRDefault="00CF1577">
            <w:pPr>
              <w:jc w:val="center"/>
            </w:pPr>
            <w:r>
              <w:rPr>
                <w:rFonts w:eastAsiaTheme="minorEastAsia"/>
                <w:color w:val="000000" w:themeColor="text1"/>
                <w:szCs w:val="21"/>
              </w:rPr>
              <w:t>3</w:t>
            </w:r>
          </w:p>
        </w:tc>
        <w:tc>
          <w:tcPr>
            <w:tcW w:w="1504" w:type="dxa"/>
            <w:vAlign w:val="center"/>
          </w:tcPr>
          <w:p w:rsidR="00C664FC" w:rsidRDefault="00CF1577">
            <w:pPr>
              <w:jc w:val="center"/>
            </w:pPr>
            <w:r>
              <w:rPr>
                <w:rFonts w:eastAsiaTheme="minorEastAsia"/>
                <w:color w:val="000000" w:themeColor="text1"/>
                <w:szCs w:val="21"/>
              </w:rPr>
              <w:t>132009</w:t>
            </w:r>
          </w:p>
        </w:tc>
        <w:tc>
          <w:tcPr>
            <w:tcW w:w="1504" w:type="dxa"/>
            <w:vAlign w:val="center"/>
          </w:tcPr>
          <w:p w:rsidR="00C664FC" w:rsidRDefault="00CF1577">
            <w:pPr>
              <w:jc w:val="center"/>
            </w:pPr>
            <w:r>
              <w:rPr>
                <w:rFonts w:eastAsiaTheme="minorEastAsia"/>
                <w:color w:val="000000" w:themeColor="text1"/>
                <w:szCs w:val="21"/>
              </w:rPr>
              <w:t>17</w:t>
            </w:r>
            <w:r>
              <w:rPr>
                <w:rFonts w:eastAsiaTheme="minorEastAsia"/>
                <w:color w:val="000000" w:themeColor="text1"/>
                <w:szCs w:val="21"/>
              </w:rPr>
              <w:t>中油</w:t>
            </w:r>
            <w:r>
              <w:rPr>
                <w:rFonts w:eastAsiaTheme="minorEastAsia"/>
                <w:color w:val="000000" w:themeColor="text1"/>
                <w:szCs w:val="21"/>
              </w:rPr>
              <w:t>EB</w:t>
            </w:r>
          </w:p>
        </w:tc>
        <w:tc>
          <w:tcPr>
            <w:tcW w:w="1503" w:type="dxa"/>
            <w:vAlign w:val="center"/>
          </w:tcPr>
          <w:p w:rsidR="00C664FC" w:rsidRDefault="00CF1577">
            <w:pPr>
              <w:jc w:val="right"/>
            </w:pPr>
            <w:r>
              <w:rPr>
                <w:rFonts w:eastAsiaTheme="minorEastAsia"/>
                <w:color w:val="000000" w:themeColor="text1"/>
                <w:szCs w:val="21"/>
              </w:rPr>
              <w:t>637,580</w:t>
            </w:r>
          </w:p>
        </w:tc>
        <w:tc>
          <w:tcPr>
            <w:tcW w:w="1503" w:type="dxa"/>
            <w:vAlign w:val="center"/>
          </w:tcPr>
          <w:p w:rsidR="00C664FC" w:rsidRDefault="00CF1577">
            <w:pPr>
              <w:jc w:val="right"/>
            </w:pPr>
            <w:r>
              <w:rPr>
                <w:rFonts w:eastAsiaTheme="minorEastAsia"/>
                <w:color w:val="000000" w:themeColor="text1"/>
                <w:szCs w:val="21"/>
              </w:rPr>
              <w:t>66,974,110.73</w:t>
            </w:r>
          </w:p>
        </w:tc>
        <w:tc>
          <w:tcPr>
            <w:tcW w:w="1503" w:type="dxa"/>
            <w:vAlign w:val="center"/>
          </w:tcPr>
          <w:p w:rsidR="00C664FC" w:rsidRDefault="00CF1577">
            <w:pPr>
              <w:jc w:val="right"/>
            </w:pPr>
            <w:r>
              <w:rPr>
                <w:rFonts w:eastAsiaTheme="minorEastAsia"/>
                <w:color w:val="000000" w:themeColor="text1"/>
                <w:szCs w:val="21"/>
              </w:rPr>
              <w:t>5.93</w:t>
            </w:r>
          </w:p>
        </w:tc>
      </w:tr>
      <w:tr w:rsidR="00C664FC">
        <w:tc>
          <w:tcPr>
            <w:tcW w:w="1504" w:type="dxa"/>
            <w:vAlign w:val="center"/>
          </w:tcPr>
          <w:p w:rsidR="00C664FC" w:rsidRDefault="00CF1577">
            <w:pPr>
              <w:jc w:val="center"/>
            </w:pPr>
            <w:r>
              <w:rPr>
                <w:rFonts w:eastAsiaTheme="minorEastAsia"/>
                <w:color w:val="000000" w:themeColor="text1"/>
                <w:szCs w:val="21"/>
              </w:rPr>
              <w:t>4</w:t>
            </w:r>
          </w:p>
        </w:tc>
        <w:tc>
          <w:tcPr>
            <w:tcW w:w="1504" w:type="dxa"/>
            <w:vAlign w:val="center"/>
          </w:tcPr>
          <w:p w:rsidR="00C664FC" w:rsidRDefault="00CF1577">
            <w:pPr>
              <w:jc w:val="center"/>
            </w:pPr>
            <w:r>
              <w:rPr>
                <w:rFonts w:eastAsiaTheme="minorEastAsia"/>
                <w:color w:val="000000" w:themeColor="text1"/>
                <w:szCs w:val="21"/>
              </w:rPr>
              <w:t>132015</w:t>
            </w:r>
          </w:p>
        </w:tc>
        <w:tc>
          <w:tcPr>
            <w:tcW w:w="1504" w:type="dxa"/>
            <w:vAlign w:val="center"/>
          </w:tcPr>
          <w:p w:rsidR="00C664FC" w:rsidRDefault="00CF1577">
            <w:pPr>
              <w:jc w:val="center"/>
            </w:pPr>
            <w:r>
              <w:rPr>
                <w:rFonts w:eastAsiaTheme="minorEastAsia"/>
                <w:color w:val="000000" w:themeColor="text1"/>
                <w:szCs w:val="21"/>
              </w:rPr>
              <w:t>18</w:t>
            </w:r>
            <w:r>
              <w:rPr>
                <w:rFonts w:eastAsiaTheme="minorEastAsia"/>
                <w:color w:val="000000" w:themeColor="text1"/>
                <w:szCs w:val="21"/>
              </w:rPr>
              <w:t>中油</w:t>
            </w:r>
            <w:r>
              <w:rPr>
                <w:rFonts w:eastAsiaTheme="minorEastAsia"/>
                <w:color w:val="000000" w:themeColor="text1"/>
                <w:szCs w:val="21"/>
              </w:rPr>
              <w:t>EB</w:t>
            </w:r>
          </w:p>
        </w:tc>
        <w:tc>
          <w:tcPr>
            <w:tcW w:w="1503" w:type="dxa"/>
            <w:vAlign w:val="center"/>
          </w:tcPr>
          <w:p w:rsidR="00C664FC" w:rsidRDefault="00CF1577">
            <w:pPr>
              <w:jc w:val="right"/>
            </w:pPr>
            <w:r>
              <w:rPr>
                <w:rFonts w:eastAsiaTheme="minorEastAsia"/>
                <w:color w:val="000000" w:themeColor="text1"/>
                <w:szCs w:val="21"/>
              </w:rPr>
              <w:t>424,190</w:t>
            </w:r>
          </w:p>
        </w:tc>
        <w:tc>
          <w:tcPr>
            <w:tcW w:w="1503" w:type="dxa"/>
            <w:vAlign w:val="center"/>
          </w:tcPr>
          <w:p w:rsidR="00C664FC" w:rsidRDefault="00CF1577">
            <w:pPr>
              <w:jc w:val="right"/>
            </w:pPr>
            <w:r>
              <w:rPr>
                <w:rFonts w:eastAsiaTheme="minorEastAsia"/>
                <w:color w:val="000000" w:themeColor="text1"/>
                <w:szCs w:val="21"/>
              </w:rPr>
              <w:t>44,201,039.62</w:t>
            </w:r>
          </w:p>
        </w:tc>
        <w:tc>
          <w:tcPr>
            <w:tcW w:w="1503" w:type="dxa"/>
            <w:vAlign w:val="center"/>
          </w:tcPr>
          <w:p w:rsidR="00C664FC" w:rsidRDefault="00CF1577">
            <w:pPr>
              <w:jc w:val="right"/>
            </w:pPr>
            <w:r>
              <w:rPr>
                <w:rFonts w:eastAsiaTheme="minorEastAsia"/>
                <w:color w:val="000000" w:themeColor="text1"/>
                <w:szCs w:val="21"/>
              </w:rPr>
              <w:t>3.92</w:t>
            </w:r>
          </w:p>
        </w:tc>
      </w:tr>
      <w:tr w:rsidR="00C664FC">
        <w:tc>
          <w:tcPr>
            <w:tcW w:w="1504" w:type="dxa"/>
            <w:vAlign w:val="center"/>
          </w:tcPr>
          <w:p w:rsidR="00C664FC" w:rsidRDefault="00CF1577">
            <w:pPr>
              <w:jc w:val="center"/>
            </w:pPr>
            <w:r>
              <w:rPr>
                <w:rFonts w:eastAsiaTheme="minorEastAsia"/>
                <w:color w:val="000000" w:themeColor="text1"/>
                <w:szCs w:val="21"/>
              </w:rPr>
              <w:t>5</w:t>
            </w:r>
          </w:p>
        </w:tc>
        <w:tc>
          <w:tcPr>
            <w:tcW w:w="1504" w:type="dxa"/>
            <w:vAlign w:val="center"/>
          </w:tcPr>
          <w:p w:rsidR="00C664FC" w:rsidRDefault="00CF1577">
            <w:pPr>
              <w:jc w:val="center"/>
            </w:pPr>
            <w:r>
              <w:rPr>
                <w:rFonts w:eastAsiaTheme="minorEastAsia"/>
                <w:color w:val="000000" w:themeColor="text1"/>
                <w:szCs w:val="21"/>
              </w:rPr>
              <w:t>102002261</w:t>
            </w:r>
          </w:p>
        </w:tc>
        <w:tc>
          <w:tcPr>
            <w:tcW w:w="1504" w:type="dxa"/>
            <w:vAlign w:val="center"/>
          </w:tcPr>
          <w:p w:rsidR="00C664FC" w:rsidRDefault="00CF1577">
            <w:pPr>
              <w:jc w:val="center"/>
            </w:pPr>
            <w:r>
              <w:rPr>
                <w:rFonts w:eastAsiaTheme="minorEastAsia"/>
                <w:color w:val="000000" w:themeColor="text1"/>
                <w:szCs w:val="21"/>
              </w:rPr>
              <w:t>20</w:t>
            </w:r>
            <w:r>
              <w:rPr>
                <w:rFonts w:eastAsiaTheme="minorEastAsia"/>
                <w:color w:val="000000" w:themeColor="text1"/>
                <w:szCs w:val="21"/>
              </w:rPr>
              <w:t>深圳地铁</w:t>
            </w:r>
            <w:r>
              <w:rPr>
                <w:rFonts w:eastAsiaTheme="minorEastAsia"/>
                <w:color w:val="000000" w:themeColor="text1"/>
                <w:szCs w:val="21"/>
              </w:rPr>
              <w:t>MTN003</w:t>
            </w:r>
          </w:p>
        </w:tc>
        <w:tc>
          <w:tcPr>
            <w:tcW w:w="1503" w:type="dxa"/>
            <w:vAlign w:val="center"/>
          </w:tcPr>
          <w:p w:rsidR="00C664FC" w:rsidRDefault="00CF1577">
            <w:pPr>
              <w:jc w:val="right"/>
            </w:pPr>
            <w:r>
              <w:rPr>
                <w:rFonts w:eastAsiaTheme="minorEastAsia"/>
                <w:color w:val="000000" w:themeColor="text1"/>
                <w:szCs w:val="21"/>
              </w:rPr>
              <w:t>400,000</w:t>
            </w:r>
          </w:p>
        </w:tc>
        <w:tc>
          <w:tcPr>
            <w:tcW w:w="1503" w:type="dxa"/>
            <w:vAlign w:val="center"/>
          </w:tcPr>
          <w:p w:rsidR="00C664FC" w:rsidRDefault="00CF1577">
            <w:pPr>
              <w:jc w:val="right"/>
            </w:pPr>
            <w:r>
              <w:rPr>
                <w:rFonts w:eastAsiaTheme="minorEastAsia"/>
                <w:color w:val="000000" w:themeColor="text1"/>
                <w:szCs w:val="21"/>
              </w:rPr>
              <w:t>40,731,581.37</w:t>
            </w:r>
          </w:p>
        </w:tc>
        <w:tc>
          <w:tcPr>
            <w:tcW w:w="1503" w:type="dxa"/>
            <w:vAlign w:val="center"/>
          </w:tcPr>
          <w:p w:rsidR="00C664FC" w:rsidRDefault="00CF1577">
            <w:pPr>
              <w:jc w:val="right"/>
            </w:pPr>
            <w:r>
              <w:rPr>
                <w:rFonts w:eastAsiaTheme="minorEastAsia"/>
                <w:color w:val="000000" w:themeColor="text1"/>
                <w:szCs w:val="21"/>
              </w:rPr>
              <w:t>3.61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106,857.45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2,197,015.16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71,189.95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1,051.96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2,376,114.52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C664FC">
        <w:tc>
          <w:tcPr>
            <w:tcW w:w="1181" w:type="dxa"/>
            <w:vAlign w:val="center"/>
          </w:tcPr>
          <w:p w:rsidR="00C664FC" w:rsidRDefault="00CF1577">
            <w:pPr>
              <w:jc w:val="center"/>
            </w:pPr>
            <w:r>
              <w:rPr>
                <w:rFonts w:eastAsiaTheme="minorEastAsia"/>
                <w:color w:val="000000" w:themeColor="text1"/>
                <w:szCs w:val="21"/>
              </w:rPr>
              <w:t>1</w:t>
            </w:r>
          </w:p>
        </w:tc>
        <w:tc>
          <w:tcPr>
            <w:tcW w:w="2497" w:type="dxa"/>
            <w:vAlign w:val="center"/>
          </w:tcPr>
          <w:p w:rsidR="00C664FC" w:rsidRDefault="00CF1577">
            <w:pPr>
              <w:jc w:val="center"/>
            </w:pPr>
            <w:r>
              <w:rPr>
                <w:rFonts w:eastAsiaTheme="minorEastAsia"/>
                <w:color w:val="000000" w:themeColor="text1"/>
                <w:szCs w:val="21"/>
              </w:rPr>
              <w:t>132009</w:t>
            </w:r>
          </w:p>
        </w:tc>
        <w:tc>
          <w:tcPr>
            <w:tcW w:w="1746" w:type="dxa"/>
            <w:vAlign w:val="center"/>
          </w:tcPr>
          <w:p w:rsidR="00C664FC" w:rsidRDefault="00CF1577">
            <w:pPr>
              <w:jc w:val="center"/>
            </w:pPr>
            <w:r>
              <w:rPr>
                <w:rFonts w:eastAsiaTheme="minorEastAsia"/>
                <w:color w:val="000000" w:themeColor="text1"/>
                <w:szCs w:val="21"/>
              </w:rPr>
              <w:t>17</w:t>
            </w:r>
            <w:r>
              <w:rPr>
                <w:rFonts w:eastAsiaTheme="minorEastAsia"/>
                <w:color w:val="000000" w:themeColor="text1"/>
                <w:szCs w:val="21"/>
              </w:rPr>
              <w:t>中油</w:t>
            </w:r>
            <w:r>
              <w:rPr>
                <w:rFonts w:eastAsiaTheme="minorEastAsia"/>
                <w:color w:val="000000" w:themeColor="text1"/>
                <w:szCs w:val="21"/>
              </w:rPr>
              <w:t>EB</w:t>
            </w:r>
          </w:p>
        </w:tc>
        <w:tc>
          <w:tcPr>
            <w:tcW w:w="1825" w:type="dxa"/>
            <w:vAlign w:val="center"/>
          </w:tcPr>
          <w:p w:rsidR="00C664FC" w:rsidRDefault="00CF1577">
            <w:pPr>
              <w:jc w:val="right"/>
            </w:pPr>
            <w:r w:rsidRPr="00CF1577">
              <w:rPr>
                <w:rFonts w:eastAsiaTheme="minorEastAsia"/>
                <w:color w:val="000000" w:themeColor="text1"/>
                <w:szCs w:val="21"/>
              </w:rPr>
              <w:t>66</w:t>
            </w:r>
            <w:r>
              <w:rPr>
                <w:rFonts w:eastAsiaTheme="minorEastAsia"/>
                <w:color w:val="000000" w:themeColor="text1"/>
                <w:szCs w:val="21"/>
              </w:rPr>
              <w:t>,</w:t>
            </w:r>
            <w:r w:rsidRPr="00CF1577">
              <w:rPr>
                <w:rFonts w:eastAsiaTheme="minorEastAsia"/>
                <w:color w:val="000000" w:themeColor="text1"/>
                <w:szCs w:val="21"/>
              </w:rPr>
              <w:t>974</w:t>
            </w:r>
            <w:r>
              <w:rPr>
                <w:rFonts w:eastAsiaTheme="minorEastAsia" w:hint="eastAsia"/>
                <w:color w:val="000000" w:themeColor="text1"/>
                <w:szCs w:val="21"/>
              </w:rPr>
              <w:t>,</w:t>
            </w:r>
            <w:r w:rsidRPr="00CF1577">
              <w:rPr>
                <w:rFonts w:eastAsiaTheme="minorEastAsia"/>
                <w:color w:val="000000" w:themeColor="text1"/>
                <w:szCs w:val="21"/>
              </w:rPr>
              <w:t>110.73</w:t>
            </w:r>
          </w:p>
        </w:tc>
        <w:tc>
          <w:tcPr>
            <w:tcW w:w="1679" w:type="dxa"/>
            <w:vAlign w:val="center"/>
          </w:tcPr>
          <w:p w:rsidR="00C664FC" w:rsidRDefault="00CF1577" w:rsidP="00CF1577">
            <w:pPr>
              <w:jc w:val="right"/>
            </w:pPr>
            <w:r>
              <w:rPr>
                <w:rFonts w:eastAsiaTheme="minorEastAsia"/>
                <w:color w:val="000000" w:themeColor="text1"/>
                <w:szCs w:val="21"/>
              </w:rPr>
              <w:t>5.93</w:t>
            </w:r>
          </w:p>
        </w:tc>
      </w:tr>
      <w:tr w:rsidR="00C664FC">
        <w:tc>
          <w:tcPr>
            <w:tcW w:w="1181" w:type="dxa"/>
            <w:vAlign w:val="center"/>
          </w:tcPr>
          <w:p w:rsidR="00C664FC" w:rsidRDefault="00CF1577">
            <w:pPr>
              <w:jc w:val="center"/>
            </w:pPr>
            <w:r>
              <w:rPr>
                <w:rFonts w:eastAsiaTheme="minorEastAsia"/>
                <w:color w:val="000000" w:themeColor="text1"/>
                <w:szCs w:val="21"/>
              </w:rPr>
              <w:t>2</w:t>
            </w:r>
          </w:p>
        </w:tc>
        <w:tc>
          <w:tcPr>
            <w:tcW w:w="2497" w:type="dxa"/>
            <w:vAlign w:val="center"/>
          </w:tcPr>
          <w:p w:rsidR="00C664FC" w:rsidRDefault="00CF1577">
            <w:pPr>
              <w:jc w:val="center"/>
            </w:pPr>
            <w:r>
              <w:rPr>
                <w:rFonts w:eastAsiaTheme="minorEastAsia"/>
                <w:color w:val="000000" w:themeColor="text1"/>
                <w:szCs w:val="21"/>
              </w:rPr>
              <w:t>132015</w:t>
            </w:r>
          </w:p>
        </w:tc>
        <w:tc>
          <w:tcPr>
            <w:tcW w:w="1746" w:type="dxa"/>
            <w:vAlign w:val="center"/>
          </w:tcPr>
          <w:p w:rsidR="00C664FC" w:rsidRDefault="00CF1577">
            <w:pPr>
              <w:jc w:val="center"/>
            </w:pPr>
            <w:r>
              <w:rPr>
                <w:rFonts w:eastAsiaTheme="minorEastAsia"/>
                <w:color w:val="000000" w:themeColor="text1"/>
                <w:szCs w:val="21"/>
              </w:rPr>
              <w:t>18</w:t>
            </w:r>
            <w:r>
              <w:rPr>
                <w:rFonts w:eastAsiaTheme="minorEastAsia"/>
                <w:color w:val="000000" w:themeColor="text1"/>
                <w:szCs w:val="21"/>
              </w:rPr>
              <w:t>中油</w:t>
            </w:r>
            <w:r>
              <w:rPr>
                <w:rFonts w:eastAsiaTheme="minorEastAsia"/>
                <w:color w:val="000000" w:themeColor="text1"/>
                <w:szCs w:val="21"/>
              </w:rPr>
              <w:t>EB</w:t>
            </w:r>
          </w:p>
        </w:tc>
        <w:tc>
          <w:tcPr>
            <w:tcW w:w="1825" w:type="dxa"/>
            <w:vAlign w:val="center"/>
          </w:tcPr>
          <w:p w:rsidR="00C664FC" w:rsidRDefault="00CF1577">
            <w:pPr>
              <w:jc w:val="right"/>
            </w:pPr>
            <w:r w:rsidRPr="00CF1577">
              <w:rPr>
                <w:rFonts w:eastAsiaTheme="minorEastAsia"/>
                <w:color w:val="000000" w:themeColor="text1"/>
                <w:szCs w:val="21"/>
              </w:rPr>
              <w:t>44</w:t>
            </w:r>
            <w:r>
              <w:rPr>
                <w:rFonts w:eastAsiaTheme="minorEastAsia"/>
                <w:color w:val="000000" w:themeColor="text1"/>
                <w:szCs w:val="21"/>
              </w:rPr>
              <w:t>,</w:t>
            </w:r>
            <w:r w:rsidRPr="00CF1577">
              <w:rPr>
                <w:rFonts w:eastAsiaTheme="minorEastAsia"/>
                <w:color w:val="000000" w:themeColor="text1"/>
                <w:szCs w:val="21"/>
              </w:rPr>
              <w:t>201</w:t>
            </w:r>
            <w:r>
              <w:rPr>
                <w:rFonts w:eastAsiaTheme="minorEastAsia"/>
                <w:color w:val="000000" w:themeColor="text1"/>
                <w:szCs w:val="21"/>
              </w:rPr>
              <w:t>,</w:t>
            </w:r>
            <w:r w:rsidRPr="00CF1577">
              <w:rPr>
                <w:rFonts w:eastAsiaTheme="minorEastAsia"/>
                <w:color w:val="000000" w:themeColor="text1"/>
                <w:szCs w:val="21"/>
              </w:rPr>
              <w:t>039.62</w:t>
            </w:r>
          </w:p>
        </w:tc>
        <w:tc>
          <w:tcPr>
            <w:tcW w:w="1679" w:type="dxa"/>
            <w:vAlign w:val="center"/>
          </w:tcPr>
          <w:p w:rsidR="00C664FC" w:rsidRDefault="00CF1577" w:rsidP="00CF1577">
            <w:pPr>
              <w:jc w:val="right"/>
            </w:pPr>
            <w:r>
              <w:rPr>
                <w:rFonts w:eastAsiaTheme="minorEastAsia"/>
                <w:color w:val="000000" w:themeColor="text1"/>
                <w:szCs w:val="21"/>
              </w:rPr>
              <w:t>3.92</w:t>
            </w:r>
          </w:p>
        </w:tc>
      </w:tr>
      <w:tr w:rsidR="00C664FC">
        <w:tc>
          <w:tcPr>
            <w:tcW w:w="1181" w:type="dxa"/>
            <w:vAlign w:val="center"/>
          </w:tcPr>
          <w:p w:rsidR="00C664FC" w:rsidRDefault="00CF1577">
            <w:pPr>
              <w:jc w:val="center"/>
            </w:pPr>
            <w:r>
              <w:rPr>
                <w:rFonts w:eastAsiaTheme="minorEastAsia"/>
                <w:color w:val="000000" w:themeColor="text1"/>
                <w:szCs w:val="21"/>
              </w:rPr>
              <w:t>3</w:t>
            </w:r>
          </w:p>
        </w:tc>
        <w:tc>
          <w:tcPr>
            <w:tcW w:w="2497" w:type="dxa"/>
            <w:vAlign w:val="center"/>
          </w:tcPr>
          <w:p w:rsidR="00C664FC" w:rsidRDefault="00CF1577">
            <w:pPr>
              <w:jc w:val="center"/>
            </w:pPr>
            <w:r>
              <w:rPr>
                <w:rFonts w:eastAsiaTheme="minorEastAsia"/>
                <w:color w:val="000000" w:themeColor="text1"/>
                <w:szCs w:val="21"/>
              </w:rPr>
              <w:t>113044</w:t>
            </w:r>
          </w:p>
        </w:tc>
        <w:tc>
          <w:tcPr>
            <w:tcW w:w="1746" w:type="dxa"/>
            <w:vAlign w:val="center"/>
          </w:tcPr>
          <w:p w:rsidR="00C664FC" w:rsidRDefault="00CF1577">
            <w:pPr>
              <w:jc w:val="center"/>
            </w:pPr>
            <w:r>
              <w:rPr>
                <w:rFonts w:eastAsiaTheme="minorEastAsia"/>
                <w:color w:val="000000" w:themeColor="text1"/>
                <w:szCs w:val="21"/>
              </w:rPr>
              <w:t>大秦转债</w:t>
            </w:r>
          </w:p>
        </w:tc>
        <w:tc>
          <w:tcPr>
            <w:tcW w:w="1825" w:type="dxa"/>
            <w:vAlign w:val="center"/>
          </w:tcPr>
          <w:p w:rsidR="00C664FC" w:rsidRDefault="00CF1577">
            <w:pPr>
              <w:jc w:val="right"/>
            </w:pPr>
            <w:r w:rsidRPr="00CF1577">
              <w:rPr>
                <w:rFonts w:eastAsiaTheme="minorEastAsia"/>
                <w:color w:val="000000" w:themeColor="text1"/>
                <w:szCs w:val="21"/>
              </w:rPr>
              <w:t>22</w:t>
            </w:r>
            <w:r>
              <w:rPr>
                <w:rFonts w:eastAsiaTheme="minorEastAsia"/>
                <w:color w:val="000000" w:themeColor="text1"/>
                <w:szCs w:val="21"/>
              </w:rPr>
              <w:t>,</w:t>
            </w:r>
            <w:r w:rsidRPr="00CF1577">
              <w:rPr>
                <w:rFonts w:eastAsiaTheme="minorEastAsia"/>
                <w:color w:val="000000" w:themeColor="text1"/>
                <w:szCs w:val="21"/>
              </w:rPr>
              <w:t>672</w:t>
            </w:r>
            <w:r>
              <w:rPr>
                <w:rFonts w:eastAsiaTheme="minorEastAsia"/>
                <w:color w:val="000000" w:themeColor="text1"/>
                <w:szCs w:val="21"/>
              </w:rPr>
              <w:t>,</w:t>
            </w:r>
            <w:r w:rsidRPr="00CF1577">
              <w:rPr>
                <w:rFonts w:eastAsiaTheme="minorEastAsia"/>
                <w:color w:val="000000" w:themeColor="text1"/>
                <w:szCs w:val="21"/>
              </w:rPr>
              <w:t>565.83</w:t>
            </w:r>
          </w:p>
        </w:tc>
        <w:tc>
          <w:tcPr>
            <w:tcW w:w="1679" w:type="dxa"/>
            <w:vAlign w:val="center"/>
          </w:tcPr>
          <w:p w:rsidR="00C664FC" w:rsidRDefault="00CF1577">
            <w:pPr>
              <w:jc w:val="right"/>
            </w:pPr>
            <w:r>
              <w:rPr>
                <w:rFonts w:eastAsiaTheme="minorEastAsia"/>
                <w:color w:val="000000" w:themeColor="text1"/>
                <w:szCs w:val="21"/>
              </w:rPr>
              <w:t>2.01</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因四舍五入的原因，投资组合报告中分项之和与合计数可能存在尾差。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上投摩根安裕回报混合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上投摩根安裕回报混合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409,800,539.04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516,290,384.48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62,599,379.47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93,916,033.06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196,955,859.33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62,042,225.61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275,444,059.18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548,164,191.93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C664FC">
        <w:tc>
          <w:tcPr>
            <w:tcW w:w="993" w:type="dxa"/>
            <w:vMerge w:val="restart"/>
            <w:vAlign w:val="center"/>
          </w:tcPr>
          <w:p w:rsidR="00C664FC" w:rsidRDefault="00CF1577">
            <w:r>
              <w:rPr>
                <w:bCs/>
                <w:color w:val="000000"/>
                <w:kern w:val="0"/>
                <w:szCs w:val="21"/>
              </w:rPr>
              <w:t>机构</w:t>
            </w:r>
          </w:p>
        </w:tc>
        <w:tc>
          <w:tcPr>
            <w:tcW w:w="992" w:type="dxa"/>
            <w:vAlign w:val="center"/>
          </w:tcPr>
          <w:p w:rsidR="00C664FC" w:rsidRDefault="00CF1577">
            <w:pPr>
              <w:jc w:val="center"/>
            </w:pPr>
            <w:r>
              <w:rPr>
                <w:color w:val="000000"/>
                <w:kern w:val="0"/>
                <w:szCs w:val="21"/>
              </w:rPr>
              <w:t>1</w:t>
            </w:r>
          </w:p>
        </w:tc>
        <w:tc>
          <w:tcPr>
            <w:tcW w:w="1843" w:type="dxa"/>
            <w:vAlign w:val="center"/>
          </w:tcPr>
          <w:p w:rsidR="00C664FC" w:rsidRDefault="00CF1577">
            <w:pPr>
              <w:jc w:val="center"/>
            </w:pPr>
            <w:r>
              <w:rPr>
                <w:color w:val="000000"/>
                <w:kern w:val="0"/>
                <w:szCs w:val="21"/>
              </w:rPr>
              <w:t>20220101-20220331</w:t>
            </w:r>
          </w:p>
        </w:tc>
        <w:tc>
          <w:tcPr>
            <w:tcW w:w="851" w:type="dxa"/>
            <w:vAlign w:val="center"/>
          </w:tcPr>
          <w:p w:rsidR="00C664FC" w:rsidRDefault="00CF1577">
            <w:pPr>
              <w:jc w:val="center"/>
            </w:pPr>
            <w:r>
              <w:rPr>
                <w:color w:val="000000"/>
                <w:kern w:val="0"/>
                <w:szCs w:val="21"/>
              </w:rPr>
              <w:t>207,223,196.69</w:t>
            </w:r>
          </w:p>
        </w:tc>
        <w:tc>
          <w:tcPr>
            <w:tcW w:w="850" w:type="dxa"/>
            <w:vAlign w:val="center"/>
          </w:tcPr>
          <w:p w:rsidR="00C664FC" w:rsidRDefault="00CF1577">
            <w:pPr>
              <w:jc w:val="center"/>
            </w:pPr>
            <w:r>
              <w:rPr>
                <w:color w:val="000000"/>
                <w:kern w:val="0"/>
                <w:szCs w:val="21"/>
              </w:rPr>
              <w:t>0.00</w:t>
            </w:r>
          </w:p>
        </w:tc>
        <w:tc>
          <w:tcPr>
            <w:tcW w:w="1134" w:type="dxa"/>
            <w:vAlign w:val="center"/>
          </w:tcPr>
          <w:p w:rsidR="00C664FC" w:rsidRDefault="00CF1577">
            <w:pPr>
              <w:jc w:val="center"/>
            </w:pPr>
            <w:r>
              <w:rPr>
                <w:color w:val="000000"/>
                <w:kern w:val="0"/>
                <w:szCs w:val="21"/>
              </w:rPr>
              <w:t>0.00</w:t>
            </w:r>
          </w:p>
        </w:tc>
        <w:tc>
          <w:tcPr>
            <w:tcW w:w="1419" w:type="dxa"/>
            <w:vAlign w:val="center"/>
          </w:tcPr>
          <w:p w:rsidR="00C664FC" w:rsidRDefault="00CF1577">
            <w:pPr>
              <w:jc w:val="center"/>
            </w:pPr>
            <w:r>
              <w:rPr>
                <w:color w:val="000000"/>
                <w:kern w:val="0"/>
                <w:szCs w:val="21"/>
              </w:rPr>
              <w:t>207,223,196.69</w:t>
            </w:r>
          </w:p>
        </w:tc>
        <w:tc>
          <w:tcPr>
            <w:tcW w:w="1130" w:type="dxa"/>
            <w:vAlign w:val="center"/>
          </w:tcPr>
          <w:p w:rsidR="00C664FC" w:rsidRDefault="00CF1577">
            <w:pPr>
              <w:jc w:val="center"/>
            </w:pPr>
            <w:r>
              <w:rPr>
                <w:color w:val="000000"/>
                <w:kern w:val="0"/>
                <w:szCs w:val="21"/>
              </w:rPr>
              <w:t>25.16%</w:t>
            </w:r>
          </w:p>
        </w:tc>
      </w:tr>
      <w:tr w:rsidR="00C664FC">
        <w:tc>
          <w:tcPr>
            <w:tcW w:w="993" w:type="dxa"/>
            <w:vMerge/>
          </w:tcPr>
          <w:p w:rsidR="00C664FC" w:rsidRDefault="00C664FC"/>
        </w:tc>
        <w:tc>
          <w:tcPr>
            <w:tcW w:w="992" w:type="dxa"/>
            <w:vAlign w:val="center"/>
          </w:tcPr>
          <w:p w:rsidR="00C664FC" w:rsidRDefault="00CF1577">
            <w:pPr>
              <w:jc w:val="center"/>
            </w:pPr>
            <w:r>
              <w:rPr>
                <w:color w:val="000000"/>
                <w:kern w:val="0"/>
                <w:szCs w:val="21"/>
              </w:rPr>
              <w:t>2</w:t>
            </w:r>
          </w:p>
        </w:tc>
        <w:tc>
          <w:tcPr>
            <w:tcW w:w="1843" w:type="dxa"/>
            <w:vAlign w:val="center"/>
          </w:tcPr>
          <w:p w:rsidR="00C664FC" w:rsidRDefault="00CF1577">
            <w:pPr>
              <w:jc w:val="center"/>
            </w:pPr>
            <w:r>
              <w:rPr>
                <w:color w:val="000000"/>
                <w:kern w:val="0"/>
                <w:szCs w:val="21"/>
              </w:rPr>
              <w:t>20220217-20220331</w:t>
            </w:r>
          </w:p>
        </w:tc>
        <w:tc>
          <w:tcPr>
            <w:tcW w:w="851" w:type="dxa"/>
            <w:vAlign w:val="center"/>
          </w:tcPr>
          <w:p w:rsidR="00C664FC" w:rsidRDefault="00CF1577">
            <w:pPr>
              <w:jc w:val="center"/>
            </w:pPr>
            <w:r>
              <w:rPr>
                <w:color w:val="000000"/>
                <w:kern w:val="0"/>
                <w:szCs w:val="21"/>
              </w:rPr>
              <w:t>130,704,195.79</w:t>
            </w:r>
          </w:p>
        </w:tc>
        <w:tc>
          <w:tcPr>
            <w:tcW w:w="850" w:type="dxa"/>
            <w:vAlign w:val="center"/>
          </w:tcPr>
          <w:p w:rsidR="00C664FC" w:rsidRDefault="00CF1577">
            <w:pPr>
              <w:jc w:val="center"/>
            </w:pPr>
            <w:r>
              <w:rPr>
                <w:color w:val="000000"/>
                <w:kern w:val="0"/>
                <w:szCs w:val="21"/>
              </w:rPr>
              <w:t>46,240,307.32</w:t>
            </w:r>
          </w:p>
        </w:tc>
        <w:tc>
          <w:tcPr>
            <w:tcW w:w="1134" w:type="dxa"/>
            <w:vAlign w:val="center"/>
          </w:tcPr>
          <w:p w:rsidR="00C664FC" w:rsidRDefault="00CF1577">
            <w:pPr>
              <w:jc w:val="center"/>
            </w:pPr>
            <w:r>
              <w:rPr>
                <w:color w:val="000000"/>
                <w:kern w:val="0"/>
                <w:szCs w:val="21"/>
              </w:rPr>
              <w:t>0.00</w:t>
            </w:r>
          </w:p>
        </w:tc>
        <w:tc>
          <w:tcPr>
            <w:tcW w:w="1419" w:type="dxa"/>
            <w:vAlign w:val="center"/>
          </w:tcPr>
          <w:p w:rsidR="00C664FC" w:rsidRDefault="00CF1577">
            <w:pPr>
              <w:jc w:val="center"/>
            </w:pPr>
            <w:r>
              <w:rPr>
                <w:color w:val="000000"/>
                <w:kern w:val="0"/>
                <w:szCs w:val="21"/>
              </w:rPr>
              <w:t>176,944,503.11</w:t>
            </w:r>
          </w:p>
        </w:tc>
        <w:tc>
          <w:tcPr>
            <w:tcW w:w="1130" w:type="dxa"/>
            <w:vAlign w:val="center"/>
          </w:tcPr>
          <w:p w:rsidR="00C664FC" w:rsidRDefault="00CF1577">
            <w:pPr>
              <w:jc w:val="center"/>
            </w:pPr>
            <w:r>
              <w:rPr>
                <w:color w:val="000000"/>
                <w:kern w:val="0"/>
                <w:szCs w:val="21"/>
              </w:rPr>
              <w:t>21.48%</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C664FC" w:rsidRDefault="00CF157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中国证监会准予上投摩根安裕回报混合型证券投资基金募集注册的文件；</w:t>
      </w:r>
    </w:p>
    <w:p w:rsidR="00C664FC" w:rsidRDefault="00CF157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《上投摩根安裕回报混合型证券投资基金基金合同》；</w:t>
      </w:r>
    </w:p>
    <w:p w:rsidR="00C664FC" w:rsidRDefault="00CF157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《上投摩根安裕回报混合型证券投资基金托管协议》；</w:t>
      </w:r>
    </w:p>
    <w:p w:rsidR="00C664FC" w:rsidRDefault="00CF157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p>
    <w:p w:rsidR="00C664FC" w:rsidRDefault="00CF157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二〇二二年四月二十二日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3529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35293">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35293">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上投摩根安裕回报混合型证券投资基金</w:t>
    </w:r>
    <w:r>
      <w:t>2022</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5293"/>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664FC"/>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577"/>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878B13-BB9B-4AE6-B332-66D39E9A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16</Pages>
  <Words>1497</Words>
  <Characters>8538</Characters>
  <Application>Microsoft Office Word</Application>
  <DocSecurity>0</DocSecurity>
  <Lines>71</Lines>
  <Paragraphs>20</Paragraphs>
  <ScaleCrop>false</ScaleCrop>
  <Company>TRT. Ltd. Co.</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Olivia.Gu@FA</cp:lastModifiedBy>
  <cp:revision>219</cp:revision>
  <cp:lastPrinted>2007-07-19T00:46:00Z</cp:lastPrinted>
  <dcterms:created xsi:type="dcterms:W3CDTF">2013-06-21T06:56:00Z</dcterms:created>
  <dcterms:modified xsi:type="dcterms:W3CDTF">2022-04-21T03:42:00Z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