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摩根安裕回报混合型证券投资基金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摩根安裕回报混合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004823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251,004,962.01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74511" w:rsidRDefault="00517A6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C74511" w:rsidRDefault="00517A6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在大类资产配置上，本基金通过对宏观经济环境、财政政策、货币政策、</w:t>
            </w:r>
            <w:r>
              <w:rPr>
                <w:rFonts w:eastAsiaTheme="minorEastAsia"/>
                <w:color w:val="000000" w:themeColor="text1"/>
                <w:kern w:val="0"/>
                <w:szCs w:val="21"/>
              </w:rPr>
              <w:t xml:space="preserve"> </w:t>
            </w:r>
            <w:r>
              <w:rPr>
                <w:rFonts w:eastAsiaTheme="minorEastAsia"/>
                <w:color w:val="000000" w:themeColor="text1"/>
                <w:kern w:val="0"/>
                <w:szCs w:val="21"/>
              </w:rPr>
              <w:t>产业政策的分析和预测，判断宏观经济所处的经济周期及运行趋势，结合对资金</w:t>
            </w:r>
            <w:r>
              <w:rPr>
                <w:rFonts w:eastAsiaTheme="minorEastAsia"/>
                <w:color w:val="000000" w:themeColor="text1"/>
                <w:kern w:val="0"/>
                <w:szCs w:val="21"/>
              </w:rPr>
              <w:t xml:space="preserve"> </w:t>
            </w:r>
            <w:r>
              <w:rPr>
                <w:rFonts w:eastAsiaTheme="minorEastAsia"/>
                <w:color w:val="000000" w:themeColor="text1"/>
                <w:kern w:val="0"/>
                <w:szCs w:val="21"/>
              </w:rPr>
              <w:t>供求状况、股票债券市场的估值水平以及市场情绪的分析，评估各类别资产的风</w:t>
            </w:r>
            <w:r>
              <w:rPr>
                <w:rFonts w:eastAsiaTheme="minorEastAsia"/>
                <w:color w:val="000000" w:themeColor="text1"/>
                <w:kern w:val="0"/>
                <w:szCs w:val="21"/>
              </w:rPr>
              <w:t xml:space="preserve"> </w:t>
            </w:r>
            <w:r>
              <w:rPr>
                <w:rFonts w:eastAsiaTheme="minorEastAsia"/>
                <w:color w:val="000000" w:themeColor="text1"/>
                <w:kern w:val="0"/>
                <w:szCs w:val="21"/>
              </w:rPr>
              <w:t>险收益特征，并加以分析比较，形成对不同类别资产表现的预测，确定基金资产在股票、债券及货币市</w:t>
            </w:r>
            <w:r>
              <w:rPr>
                <w:rFonts w:eastAsiaTheme="minorEastAsia"/>
                <w:color w:val="000000" w:themeColor="text1"/>
                <w:kern w:val="0"/>
                <w:szCs w:val="21"/>
              </w:rPr>
              <w:lastRenderedPageBreak/>
              <w:t>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color w:val="000000" w:themeColor="text1"/>
                <w:kern w:val="0"/>
                <w:szCs w:val="21"/>
              </w:rPr>
              <w:t xml:space="preserve"> </w:t>
            </w:r>
          </w:p>
          <w:p w:rsidR="00C74511" w:rsidRDefault="00517A6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rsidR="00C74511" w:rsidRDefault="00517A6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本基金在控制</w:t>
            </w:r>
            <w:r>
              <w:rPr>
                <w:rFonts w:eastAsiaTheme="minorEastAsia"/>
                <w:color w:val="000000" w:themeColor="text1"/>
                <w:kern w:val="0"/>
                <w:szCs w:val="21"/>
              </w:rPr>
              <w:t>市场风险与流动性风险的前提下，根据对财政政策、货币政策的深入分析以及对宏观经济的持续跟踪，结合不同债券品种的到期收益率、流</w:t>
            </w:r>
            <w:r>
              <w:rPr>
                <w:rFonts w:eastAsiaTheme="minorEastAsia"/>
                <w:color w:val="000000" w:themeColor="text1"/>
                <w:kern w:val="0"/>
                <w:szCs w:val="21"/>
              </w:rPr>
              <w:t xml:space="preserve"> </w:t>
            </w:r>
            <w:r>
              <w:rPr>
                <w:rFonts w:eastAsiaTheme="minorEastAsia"/>
                <w:color w:val="000000" w:themeColor="text1"/>
                <w:kern w:val="0"/>
                <w:szCs w:val="21"/>
              </w:rPr>
              <w:t>动性、市场规模等情况，灵活运用久期策略、期限结构配置策略、信用债策略、</w:t>
            </w:r>
            <w:r>
              <w:rPr>
                <w:rFonts w:eastAsiaTheme="minorEastAsia"/>
                <w:color w:val="000000" w:themeColor="text1"/>
                <w:kern w:val="0"/>
                <w:szCs w:val="21"/>
              </w:rPr>
              <w:t xml:space="preserve"> </w:t>
            </w:r>
            <w:r>
              <w:rPr>
                <w:rFonts w:eastAsiaTheme="minorEastAsia"/>
                <w:color w:val="000000" w:themeColor="text1"/>
                <w:kern w:val="0"/>
                <w:szCs w:val="21"/>
              </w:rPr>
              <w:t>可转债策略等多种投资策略，实施积极主动的组合管理，并根据对债券收益率曲线形态、息差变化的预测，对债券组合进行动态调整。</w:t>
            </w:r>
            <w:r>
              <w:rPr>
                <w:rFonts w:eastAsiaTheme="minorEastAsia"/>
                <w:color w:val="000000" w:themeColor="text1"/>
                <w:kern w:val="0"/>
                <w:szCs w:val="21"/>
              </w:rPr>
              <w:t xml:space="preserve"> </w:t>
            </w:r>
          </w:p>
          <w:p w:rsidR="00C74511" w:rsidRDefault="00517A6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C74511" w:rsidRDefault="00517A6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color w:val="000000" w:themeColor="text1"/>
                <w:kern w:val="0"/>
                <w:szCs w:val="21"/>
              </w:rPr>
              <w:t xml:space="preserve"> </w:t>
            </w:r>
            <w:r>
              <w:rPr>
                <w:rFonts w:eastAsiaTheme="minorEastAsia"/>
                <w:color w:val="000000" w:themeColor="text1"/>
                <w:kern w:val="0"/>
                <w:szCs w:val="21"/>
              </w:rPr>
              <w:t>对于港股，本基金</w:t>
            </w:r>
            <w:r>
              <w:rPr>
                <w:rFonts w:eastAsiaTheme="minorEastAsia"/>
                <w:color w:val="000000" w:themeColor="text1"/>
                <w:kern w:val="0"/>
                <w:szCs w:val="21"/>
              </w:rPr>
              <w:t>在分析宏观经济形势和行业发展基础上，精选港股市场中的优质上市企业，有针对性地根据不同指标选取具有成长性和投资价值的上市公司构建股票池。</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×30%+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×70%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200,735,881.02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50,269,080.99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-11,964,416.00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-3,533,261.84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604,220.34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-13,866.53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-0.0002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275,872,689.22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66,977,579.13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1.3743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1.3324</w:t>
            </w:r>
          </w:p>
        </w:tc>
      </w:tr>
    </w:tbl>
    <w:p w:rsidR="00C74511" w:rsidRDefault="00517A6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摩根安裕回报混合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74511">
        <w:tc>
          <w:tcPr>
            <w:tcW w:w="1290" w:type="dxa"/>
            <w:vAlign w:val="center"/>
          </w:tcPr>
          <w:p w:rsidR="00C74511" w:rsidRDefault="00517A6E">
            <w:pPr>
              <w:jc w:val="left"/>
            </w:pPr>
            <w:r>
              <w:rPr>
                <w:rFonts w:eastAsiaTheme="minorEastAsia"/>
                <w:color w:val="000000" w:themeColor="text1"/>
                <w:szCs w:val="21"/>
              </w:rPr>
              <w:t>过去三个月</w:t>
            </w:r>
          </w:p>
        </w:tc>
        <w:tc>
          <w:tcPr>
            <w:tcW w:w="1291" w:type="dxa"/>
            <w:vAlign w:val="center"/>
          </w:tcPr>
          <w:p w:rsidR="00C74511" w:rsidRDefault="00517A6E">
            <w:pPr>
              <w:jc w:val="right"/>
            </w:pPr>
            <w:r>
              <w:rPr>
                <w:rFonts w:eastAsiaTheme="minorEastAsia"/>
                <w:color w:val="000000" w:themeColor="text1"/>
                <w:szCs w:val="21"/>
              </w:rPr>
              <w:t>0.63%</w:t>
            </w:r>
          </w:p>
        </w:tc>
        <w:tc>
          <w:tcPr>
            <w:tcW w:w="1291" w:type="dxa"/>
            <w:vAlign w:val="center"/>
          </w:tcPr>
          <w:p w:rsidR="00C74511" w:rsidRDefault="00517A6E">
            <w:pPr>
              <w:jc w:val="right"/>
            </w:pPr>
            <w:r>
              <w:rPr>
                <w:rFonts w:eastAsiaTheme="minorEastAsia"/>
                <w:color w:val="000000" w:themeColor="text1"/>
                <w:szCs w:val="21"/>
              </w:rPr>
              <w:t>0.65%</w:t>
            </w:r>
          </w:p>
        </w:tc>
        <w:tc>
          <w:tcPr>
            <w:tcW w:w="1291" w:type="dxa"/>
            <w:vAlign w:val="center"/>
          </w:tcPr>
          <w:p w:rsidR="00C74511" w:rsidRDefault="00517A6E">
            <w:pPr>
              <w:jc w:val="right"/>
            </w:pPr>
            <w:r>
              <w:rPr>
                <w:rFonts w:eastAsiaTheme="minorEastAsia"/>
                <w:color w:val="000000" w:themeColor="text1"/>
                <w:szCs w:val="21"/>
              </w:rPr>
              <w:t>2.39%</w:t>
            </w:r>
          </w:p>
        </w:tc>
        <w:tc>
          <w:tcPr>
            <w:tcW w:w="1291" w:type="dxa"/>
            <w:vAlign w:val="center"/>
          </w:tcPr>
          <w:p w:rsidR="00C74511" w:rsidRDefault="00517A6E">
            <w:pPr>
              <w:jc w:val="right"/>
            </w:pPr>
            <w:r>
              <w:rPr>
                <w:rFonts w:eastAsiaTheme="minorEastAsia"/>
                <w:color w:val="000000" w:themeColor="text1"/>
                <w:szCs w:val="21"/>
              </w:rPr>
              <w:t>0.30%</w:t>
            </w:r>
          </w:p>
        </w:tc>
        <w:tc>
          <w:tcPr>
            <w:tcW w:w="1291" w:type="dxa"/>
            <w:vAlign w:val="center"/>
          </w:tcPr>
          <w:p w:rsidR="00C74511" w:rsidRDefault="00517A6E">
            <w:pPr>
              <w:jc w:val="right"/>
            </w:pPr>
            <w:r>
              <w:rPr>
                <w:rFonts w:eastAsiaTheme="minorEastAsia"/>
                <w:color w:val="000000" w:themeColor="text1"/>
                <w:szCs w:val="21"/>
              </w:rPr>
              <w:t>-1.76%</w:t>
            </w:r>
          </w:p>
        </w:tc>
        <w:tc>
          <w:tcPr>
            <w:tcW w:w="1291" w:type="dxa"/>
            <w:vAlign w:val="center"/>
          </w:tcPr>
          <w:p w:rsidR="00C74511" w:rsidRDefault="00517A6E">
            <w:pPr>
              <w:jc w:val="right"/>
            </w:pPr>
            <w:r>
              <w:rPr>
                <w:rFonts w:eastAsiaTheme="minorEastAsia"/>
                <w:color w:val="000000" w:themeColor="text1"/>
                <w:szCs w:val="21"/>
              </w:rPr>
              <w:t>0.35%</w:t>
            </w:r>
          </w:p>
        </w:tc>
      </w:tr>
      <w:tr w:rsidR="00C74511">
        <w:tc>
          <w:tcPr>
            <w:tcW w:w="1290" w:type="dxa"/>
            <w:vAlign w:val="center"/>
          </w:tcPr>
          <w:p w:rsidR="00C74511" w:rsidRDefault="00517A6E">
            <w:pPr>
              <w:jc w:val="left"/>
            </w:pPr>
            <w:r>
              <w:rPr>
                <w:rFonts w:eastAsiaTheme="minorEastAsia"/>
                <w:color w:val="000000" w:themeColor="text1"/>
                <w:szCs w:val="21"/>
              </w:rPr>
              <w:t>过去六个月</w:t>
            </w:r>
          </w:p>
        </w:tc>
        <w:tc>
          <w:tcPr>
            <w:tcW w:w="1291" w:type="dxa"/>
            <w:vAlign w:val="center"/>
          </w:tcPr>
          <w:p w:rsidR="00C74511" w:rsidRDefault="00517A6E">
            <w:pPr>
              <w:jc w:val="right"/>
            </w:pPr>
            <w:r>
              <w:rPr>
                <w:rFonts w:eastAsiaTheme="minorEastAsia"/>
                <w:color w:val="000000" w:themeColor="text1"/>
                <w:szCs w:val="21"/>
              </w:rPr>
              <w:t>-1.74%</w:t>
            </w:r>
          </w:p>
        </w:tc>
        <w:tc>
          <w:tcPr>
            <w:tcW w:w="1291" w:type="dxa"/>
            <w:vAlign w:val="center"/>
          </w:tcPr>
          <w:p w:rsidR="00C74511" w:rsidRDefault="00517A6E">
            <w:pPr>
              <w:jc w:val="right"/>
            </w:pPr>
            <w:r>
              <w:rPr>
                <w:rFonts w:eastAsiaTheme="minorEastAsia"/>
                <w:color w:val="000000" w:themeColor="text1"/>
                <w:szCs w:val="21"/>
              </w:rPr>
              <w:t>0.54%</w:t>
            </w:r>
          </w:p>
        </w:tc>
        <w:tc>
          <w:tcPr>
            <w:tcW w:w="1291" w:type="dxa"/>
            <w:vAlign w:val="center"/>
          </w:tcPr>
          <w:p w:rsidR="00C74511" w:rsidRDefault="00517A6E">
            <w:pPr>
              <w:jc w:val="right"/>
            </w:pPr>
            <w:r>
              <w:rPr>
                <w:rFonts w:eastAsiaTheme="minorEastAsia"/>
                <w:color w:val="000000" w:themeColor="text1"/>
                <w:szCs w:val="21"/>
              </w:rPr>
              <w:t>1.18%</w:t>
            </w:r>
          </w:p>
        </w:tc>
        <w:tc>
          <w:tcPr>
            <w:tcW w:w="1291" w:type="dxa"/>
            <w:vAlign w:val="center"/>
          </w:tcPr>
          <w:p w:rsidR="00C74511" w:rsidRDefault="00517A6E">
            <w:pPr>
              <w:jc w:val="right"/>
            </w:pPr>
            <w:r>
              <w:rPr>
                <w:rFonts w:eastAsiaTheme="minorEastAsia"/>
                <w:color w:val="000000" w:themeColor="text1"/>
                <w:szCs w:val="21"/>
              </w:rPr>
              <w:t>0.27%</w:t>
            </w:r>
          </w:p>
        </w:tc>
        <w:tc>
          <w:tcPr>
            <w:tcW w:w="1291" w:type="dxa"/>
            <w:vAlign w:val="center"/>
          </w:tcPr>
          <w:p w:rsidR="00C74511" w:rsidRDefault="00517A6E">
            <w:pPr>
              <w:jc w:val="right"/>
            </w:pPr>
            <w:r>
              <w:rPr>
                <w:rFonts w:eastAsiaTheme="minorEastAsia"/>
                <w:color w:val="000000" w:themeColor="text1"/>
                <w:szCs w:val="21"/>
              </w:rPr>
              <w:t>-2.92%</w:t>
            </w:r>
          </w:p>
        </w:tc>
        <w:tc>
          <w:tcPr>
            <w:tcW w:w="1291" w:type="dxa"/>
            <w:vAlign w:val="center"/>
          </w:tcPr>
          <w:p w:rsidR="00C74511" w:rsidRDefault="00517A6E">
            <w:pPr>
              <w:jc w:val="right"/>
            </w:pPr>
            <w:r>
              <w:rPr>
                <w:rFonts w:eastAsiaTheme="minorEastAsia"/>
                <w:color w:val="000000" w:themeColor="text1"/>
                <w:szCs w:val="21"/>
              </w:rPr>
              <w:t>0.27%</w:t>
            </w:r>
          </w:p>
        </w:tc>
      </w:tr>
      <w:tr w:rsidR="00C74511">
        <w:tc>
          <w:tcPr>
            <w:tcW w:w="1290" w:type="dxa"/>
            <w:vAlign w:val="center"/>
          </w:tcPr>
          <w:p w:rsidR="00C74511" w:rsidRDefault="00517A6E">
            <w:pPr>
              <w:jc w:val="left"/>
            </w:pPr>
            <w:r>
              <w:rPr>
                <w:rFonts w:eastAsiaTheme="minorEastAsia"/>
                <w:color w:val="000000" w:themeColor="text1"/>
                <w:szCs w:val="21"/>
              </w:rPr>
              <w:t>过去一年</w:t>
            </w:r>
          </w:p>
        </w:tc>
        <w:tc>
          <w:tcPr>
            <w:tcW w:w="1291" w:type="dxa"/>
            <w:vAlign w:val="center"/>
          </w:tcPr>
          <w:p w:rsidR="00C74511" w:rsidRDefault="00517A6E">
            <w:pPr>
              <w:jc w:val="right"/>
            </w:pPr>
            <w:r>
              <w:rPr>
                <w:rFonts w:eastAsiaTheme="minorEastAsia"/>
                <w:color w:val="000000" w:themeColor="text1"/>
                <w:szCs w:val="21"/>
              </w:rPr>
              <w:t>-4.56%</w:t>
            </w:r>
          </w:p>
        </w:tc>
        <w:tc>
          <w:tcPr>
            <w:tcW w:w="1291" w:type="dxa"/>
            <w:vAlign w:val="center"/>
          </w:tcPr>
          <w:p w:rsidR="00C74511" w:rsidRDefault="00517A6E">
            <w:pPr>
              <w:jc w:val="right"/>
            </w:pPr>
            <w:r>
              <w:rPr>
                <w:rFonts w:eastAsiaTheme="minorEastAsia"/>
                <w:color w:val="000000" w:themeColor="text1"/>
                <w:szCs w:val="21"/>
              </w:rPr>
              <w:t>0.44%</w:t>
            </w:r>
          </w:p>
        </w:tc>
        <w:tc>
          <w:tcPr>
            <w:tcW w:w="1291" w:type="dxa"/>
            <w:vAlign w:val="center"/>
          </w:tcPr>
          <w:p w:rsidR="00C74511" w:rsidRDefault="00517A6E">
            <w:pPr>
              <w:jc w:val="right"/>
            </w:pPr>
            <w:r>
              <w:rPr>
                <w:rFonts w:eastAsiaTheme="minorEastAsia"/>
                <w:color w:val="000000" w:themeColor="text1"/>
                <w:szCs w:val="21"/>
              </w:rPr>
              <w:t>0.41%</w:t>
            </w:r>
          </w:p>
        </w:tc>
        <w:tc>
          <w:tcPr>
            <w:tcW w:w="1291" w:type="dxa"/>
            <w:vAlign w:val="center"/>
          </w:tcPr>
          <w:p w:rsidR="00C74511" w:rsidRDefault="00517A6E">
            <w:pPr>
              <w:jc w:val="right"/>
            </w:pPr>
            <w:r>
              <w:rPr>
                <w:rFonts w:eastAsiaTheme="minorEastAsia"/>
                <w:color w:val="000000" w:themeColor="text1"/>
                <w:szCs w:val="21"/>
              </w:rPr>
              <w:t>0.26%</w:t>
            </w:r>
          </w:p>
        </w:tc>
        <w:tc>
          <w:tcPr>
            <w:tcW w:w="1291" w:type="dxa"/>
            <w:vAlign w:val="center"/>
          </w:tcPr>
          <w:p w:rsidR="00C74511" w:rsidRDefault="00517A6E">
            <w:pPr>
              <w:jc w:val="right"/>
            </w:pPr>
            <w:r>
              <w:rPr>
                <w:rFonts w:eastAsiaTheme="minorEastAsia"/>
                <w:color w:val="000000" w:themeColor="text1"/>
                <w:szCs w:val="21"/>
              </w:rPr>
              <w:t>-4.97%</w:t>
            </w:r>
          </w:p>
        </w:tc>
        <w:tc>
          <w:tcPr>
            <w:tcW w:w="1291" w:type="dxa"/>
            <w:vAlign w:val="center"/>
          </w:tcPr>
          <w:p w:rsidR="00C74511" w:rsidRDefault="00517A6E">
            <w:pPr>
              <w:jc w:val="right"/>
            </w:pPr>
            <w:r>
              <w:rPr>
                <w:rFonts w:eastAsiaTheme="minorEastAsia"/>
                <w:color w:val="000000" w:themeColor="text1"/>
                <w:szCs w:val="21"/>
              </w:rPr>
              <w:t>0.18%</w:t>
            </w:r>
          </w:p>
        </w:tc>
      </w:tr>
      <w:tr w:rsidR="00C74511">
        <w:tc>
          <w:tcPr>
            <w:tcW w:w="1290" w:type="dxa"/>
            <w:vAlign w:val="center"/>
          </w:tcPr>
          <w:p w:rsidR="00C74511" w:rsidRDefault="00517A6E">
            <w:pPr>
              <w:jc w:val="left"/>
            </w:pPr>
            <w:r>
              <w:rPr>
                <w:rFonts w:eastAsiaTheme="minorEastAsia"/>
                <w:color w:val="000000" w:themeColor="text1"/>
                <w:szCs w:val="21"/>
              </w:rPr>
              <w:t>过去三年</w:t>
            </w:r>
          </w:p>
        </w:tc>
        <w:tc>
          <w:tcPr>
            <w:tcW w:w="1291" w:type="dxa"/>
            <w:vAlign w:val="center"/>
          </w:tcPr>
          <w:p w:rsidR="00C74511" w:rsidRDefault="00517A6E">
            <w:pPr>
              <w:jc w:val="right"/>
            </w:pPr>
            <w:r>
              <w:rPr>
                <w:rFonts w:eastAsiaTheme="minorEastAsia"/>
                <w:color w:val="000000" w:themeColor="text1"/>
                <w:szCs w:val="21"/>
              </w:rPr>
              <w:t>-0.07%</w:t>
            </w:r>
          </w:p>
        </w:tc>
        <w:tc>
          <w:tcPr>
            <w:tcW w:w="1291" w:type="dxa"/>
            <w:vAlign w:val="center"/>
          </w:tcPr>
          <w:p w:rsidR="00C74511" w:rsidRDefault="00517A6E">
            <w:pPr>
              <w:jc w:val="right"/>
            </w:pPr>
            <w:r>
              <w:rPr>
                <w:rFonts w:eastAsiaTheme="minorEastAsia"/>
                <w:color w:val="000000" w:themeColor="text1"/>
                <w:szCs w:val="21"/>
              </w:rPr>
              <w:t>0.38%</w:t>
            </w:r>
          </w:p>
        </w:tc>
        <w:tc>
          <w:tcPr>
            <w:tcW w:w="1291" w:type="dxa"/>
            <w:vAlign w:val="center"/>
          </w:tcPr>
          <w:p w:rsidR="00C74511" w:rsidRDefault="00517A6E">
            <w:pPr>
              <w:jc w:val="right"/>
            </w:pPr>
            <w:r>
              <w:rPr>
                <w:rFonts w:eastAsiaTheme="minorEastAsia"/>
                <w:color w:val="000000" w:themeColor="text1"/>
                <w:szCs w:val="21"/>
              </w:rPr>
              <w:t>1.69%</w:t>
            </w:r>
          </w:p>
        </w:tc>
        <w:tc>
          <w:tcPr>
            <w:tcW w:w="1291" w:type="dxa"/>
            <w:vAlign w:val="center"/>
          </w:tcPr>
          <w:p w:rsidR="00C74511" w:rsidRDefault="00517A6E">
            <w:pPr>
              <w:jc w:val="right"/>
            </w:pPr>
            <w:r>
              <w:rPr>
                <w:rFonts w:eastAsiaTheme="minorEastAsia"/>
                <w:color w:val="000000" w:themeColor="text1"/>
                <w:szCs w:val="21"/>
              </w:rPr>
              <w:t>0.32%</w:t>
            </w:r>
          </w:p>
        </w:tc>
        <w:tc>
          <w:tcPr>
            <w:tcW w:w="1291" w:type="dxa"/>
            <w:vAlign w:val="center"/>
          </w:tcPr>
          <w:p w:rsidR="00C74511" w:rsidRDefault="00517A6E">
            <w:pPr>
              <w:jc w:val="right"/>
            </w:pPr>
            <w:r>
              <w:rPr>
                <w:rFonts w:eastAsiaTheme="minorEastAsia"/>
                <w:color w:val="000000" w:themeColor="text1"/>
                <w:szCs w:val="21"/>
              </w:rPr>
              <w:t>-1.76%</w:t>
            </w:r>
          </w:p>
        </w:tc>
        <w:tc>
          <w:tcPr>
            <w:tcW w:w="1291" w:type="dxa"/>
            <w:vAlign w:val="center"/>
          </w:tcPr>
          <w:p w:rsidR="00C74511" w:rsidRDefault="00517A6E">
            <w:pPr>
              <w:jc w:val="right"/>
            </w:pPr>
            <w:r>
              <w:rPr>
                <w:rFonts w:eastAsiaTheme="minorEastAsia"/>
                <w:color w:val="000000" w:themeColor="text1"/>
                <w:szCs w:val="21"/>
              </w:rPr>
              <w:t>0.06%</w:t>
            </w:r>
          </w:p>
        </w:tc>
      </w:tr>
      <w:tr w:rsidR="00C74511">
        <w:tc>
          <w:tcPr>
            <w:tcW w:w="1290" w:type="dxa"/>
            <w:vAlign w:val="center"/>
          </w:tcPr>
          <w:p w:rsidR="00C74511" w:rsidRDefault="00517A6E">
            <w:pPr>
              <w:jc w:val="left"/>
            </w:pPr>
            <w:r>
              <w:rPr>
                <w:rFonts w:eastAsiaTheme="minorEastAsia"/>
                <w:color w:val="000000" w:themeColor="text1"/>
                <w:szCs w:val="21"/>
              </w:rPr>
              <w:t>过去五年</w:t>
            </w:r>
          </w:p>
        </w:tc>
        <w:tc>
          <w:tcPr>
            <w:tcW w:w="1291" w:type="dxa"/>
            <w:vAlign w:val="center"/>
          </w:tcPr>
          <w:p w:rsidR="00C74511" w:rsidRDefault="00517A6E">
            <w:pPr>
              <w:jc w:val="right"/>
            </w:pPr>
            <w:r>
              <w:rPr>
                <w:rFonts w:eastAsiaTheme="minorEastAsia"/>
                <w:color w:val="000000" w:themeColor="text1"/>
                <w:szCs w:val="21"/>
              </w:rPr>
              <w:t>31.27%</w:t>
            </w:r>
          </w:p>
        </w:tc>
        <w:tc>
          <w:tcPr>
            <w:tcW w:w="1291" w:type="dxa"/>
            <w:vAlign w:val="center"/>
          </w:tcPr>
          <w:p w:rsidR="00C74511" w:rsidRDefault="00517A6E">
            <w:pPr>
              <w:jc w:val="right"/>
            </w:pPr>
            <w:r>
              <w:rPr>
                <w:rFonts w:eastAsiaTheme="minorEastAsia"/>
                <w:color w:val="000000" w:themeColor="text1"/>
                <w:szCs w:val="21"/>
              </w:rPr>
              <w:t>0.38%</w:t>
            </w:r>
          </w:p>
        </w:tc>
        <w:tc>
          <w:tcPr>
            <w:tcW w:w="1291" w:type="dxa"/>
            <w:vAlign w:val="center"/>
          </w:tcPr>
          <w:p w:rsidR="00C74511" w:rsidRDefault="00517A6E">
            <w:pPr>
              <w:jc w:val="right"/>
            </w:pPr>
            <w:r>
              <w:rPr>
                <w:rFonts w:eastAsiaTheme="minorEastAsia"/>
                <w:color w:val="000000" w:themeColor="text1"/>
                <w:szCs w:val="21"/>
              </w:rPr>
              <w:t>14.00%</w:t>
            </w:r>
          </w:p>
        </w:tc>
        <w:tc>
          <w:tcPr>
            <w:tcW w:w="1291" w:type="dxa"/>
            <w:vAlign w:val="center"/>
          </w:tcPr>
          <w:p w:rsidR="00C74511" w:rsidRDefault="00517A6E">
            <w:pPr>
              <w:jc w:val="right"/>
            </w:pPr>
            <w:r>
              <w:rPr>
                <w:rFonts w:eastAsiaTheme="minorEastAsia"/>
                <w:color w:val="000000" w:themeColor="text1"/>
                <w:szCs w:val="21"/>
              </w:rPr>
              <w:t>0.35%</w:t>
            </w:r>
          </w:p>
        </w:tc>
        <w:tc>
          <w:tcPr>
            <w:tcW w:w="1291" w:type="dxa"/>
            <w:vAlign w:val="center"/>
          </w:tcPr>
          <w:p w:rsidR="00C74511" w:rsidRDefault="00517A6E">
            <w:pPr>
              <w:jc w:val="right"/>
            </w:pPr>
            <w:r>
              <w:rPr>
                <w:rFonts w:eastAsiaTheme="minorEastAsia"/>
                <w:color w:val="000000" w:themeColor="text1"/>
                <w:szCs w:val="21"/>
              </w:rPr>
              <w:t>17.27%</w:t>
            </w:r>
          </w:p>
        </w:tc>
        <w:tc>
          <w:tcPr>
            <w:tcW w:w="1291" w:type="dxa"/>
            <w:vAlign w:val="center"/>
          </w:tcPr>
          <w:p w:rsidR="00C74511" w:rsidRDefault="00517A6E">
            <w:pPr>
              <w:jc w:val="right"/>
            </w:pPr>
            <w:r>
              <w:rPr>
                <w:rFonts w:eastAsiaTheme="minorEastAsia"/>
                <w:color w:val="000000" w:themeColor="text1"/>
                <w:szCs w:val="21"/>
              </w:rPr>
              <w:t>0.03%</w:t>
            </w:r>
          </w:p>
        </w:tc>
      </w:tr>
      <w:tr w:rsidR="00C74511">
        <w:tc>
          <w:tcPr>
            <w:tcW w:w="1290" w:type="dxa"/>
            <w:vAlign w:val="center"/>
          </w:tcPr>
          <w:p w:rsidR="00C74511" w:rsidRDefault="00517A6E">
            <w:pPr>
              <w:jc w:val="left"/>
            </w:pPr>
            <w:r>
              <w:rPr>
                <w:rFonts w:eastAsiaTheme="minorEastAsia"/>
                <w:color w:val="000000" w:themeColor="text1"/>
                <w:szCs w:val="21"/>
              </w:rPr>
              <w:lastRenderedPageBreak/>
              <w:t>自基金合同生效起至今</w:t>
            </w:r>
          </w:p>
        </w:tc>
        <w:tc>
          <w:tcPr>
            <w:tcW w:w="1291" w:type="dxa"/>
            <w:vAlign w:val="center"/>
          </w:tcPr>
          <w:p w:rsidR="00C74511" w:rsidRDefault="00517A6E">
            <w:pPr>
              <w:jc w:val="right"/>
            </w:pPr>
            <w:r>
              <w:rPr>
                <w:rFonts w:eastAsiaTheme="minorEastAsia"/>
                <w:color w:val="000000" w:themeColor="text1"/>
                <w:szCs w:val="21"/>
              </w:rPr>
              <w:t>37.43%</w:t>
            </w:r>
          </w:p>
        </w:tc>
        <w:tc>
          <w:tcPr>
            <w:tcW w:w="1291" w:type="dxa"/>
            <w:vAlign w:val="center"/>
          </w:tcPr>
          <w:p w:rsidR="00C74511" w:rsidRDefault="00517A6E">
            <w:pPr>
              <w:jc w:val="right"/>
            </w:pPr>
            <w:r>
              <w:rPr>
                <w:rFonts w:eastAsiaTheme="minorEastAsia"/>
                <w:color w:val="000000" w:themeColor="text1"/>
                <w:szCs w:val="21"/>
              </w:rPr>
              <w:t>0.36%</w:t>
            </w:r>
          </w:p>
        </w:tc>
        <w:tc>
          <w:tcPr>
            <w:tcW w:w="1291" w:type="dxa"/>
            <w:vAlign w:val="center"/>
          </w:tcPr>
          <w:p w:rsidR="00C74511" w:rsidRDefault="00517A6E">
            <w:pPr>
              <w:jc w:val="right"/>
            </w:pPr>
            <w:r>
              <w:rPr>
                <w:rFonts w:eastAsiaTheme="minorEastAsia"/>
                <w:color w:val="000000" w:themeColor="text1"/>
                <w:szCs w:val="21"/>
              </w:rPr>
              <w:t>23.48%</w:t>
            </w:r>
          </w:p>
        </w:tc>
        <w:tc>
          <w:tcPr>
            <w:tcW w:w="1291" w:type="dxa"/>
            <w:vAlign w:val="center"/>
          </w:tcPr>
          <w:p w:rsidR="00C74511" w:rsidRDefault="00517A6E">
            <w:pPr>
              <w:jc w:val="right"/>
            </w:pPr>
            <w:r>
              <w:rPr>
                <w:rFonts w:eastAsiaTheme="minorEastAsia"/>
                <w:color w:val="000000" w:themeColor="text1"/>
                <w:szCs w:val="21"/>
              </w:rPr>
              <w:t>0.36%</w:t>
            </w:r>
          </w:p>
        </w:tc>
        <w:tc>
          <w:tcPr>
            <w:tcW w:w="1291" w:type="dxa"/>
            <w:vAlign w:val="center"/>
          </w:tcPr>
          <w:p w:rsidR="00C74511" w:rsidRDefault="00517A6E">
            <w:pPr>
              <w:jc w:val="right"/>
            </w:pPr>
            <w:r>
              <w:rPr>
                <w:rFonts w:eastAsiaTheme="minorEastAsia"/>
                <w:color w:val="000000" w:themeColor="text1"/>
                <w:szCs w:val="21"/>
              </w:rPr>
              <w:t>13.95%</w:t>
            </w:r>
          </w:p>
        </w:tc>
        <w:tc>
          <w:tcPr>
            <w:tcW w:w="1291" w:type="dxa"/>
            <w:vAlign w:val="center"/>
          </w:tcPr>
          <w:p w:rsidR="00C74511" w:rsidRDefault="00517A6E">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摩根安裕回报混合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74511">
        <w:tc>
          <w:tcPr>
            <w:tcW w:w="1290" w:type="dxa"/>
            <w:vAlign w:val="center"/>
          </w:tcPr>
          <w:p w:rsidR="00C74511" w:rsidRDefault="00517A6E">
            <w:pPr>
              <w:jc w:val="left"/>
            </w:pPr>
            <w:r>
              <w:rPr>
                <w:rFonts w:eastAsiaTheme="minorEastAsia"/>
                <w:color w:val="000000" w:themeColor="text1"/>
                <w:szCs w:val="21"/>
              </w:rPr>
              <w:t>过去三个月</w:t>
            </w:r>
          </w:p>
        </w:tc>
        <w:tc>
          <w:tcPr>
            <w:tcW w:w="1291" w:type="dxa"/>
            <w:vAlign w:val="center"/>
          </w:tcPr>
          <w:p w:rsidR="00C74511" w:rsidRDefault="00517A6E">
            <w:pPr>
              <w:jc w:val="right"/>
            </w:pPr>
            <w:r>
              <w:rPr>
                <w:rFonts w:eastAsiaTheme="minorEastAsia"/>
                <w:color w:val="000000" w:themeColor="text1"/>
                <w:szCs w:val="21"/>
              </w:rPr>
              <w:t>0.51%</w:t>
            </w:r>
          </w:p>
        </w:tc>
        <w:tc>
          <w:tcPr>
            <w:tcW w:w="1291" w:type="dxa"/>
            <w:vAlign w:val="center"/>
          </w:tcPr>
          <w:p w:rsidR="00C74511" w:rsidRDefault="00517A6E">
            <w:pPr>
              <w:jc w:val="right"/>
            </w:pPr>
            <w:r>
              <w:rPr>
                <w:rFonts w:eastAsiaTheme="minorEastAsia"/>
                <w:color w:val="000000" w:themeColor="text1"/>
                <w:szCs w:val="21"/>
              </w:rPr>
              <w:t>0.65%</w:t>
            </w:r>
          </w:p>
        </w:tc>
        <w:tc>
          <w:tcPr>
            <w:tcW w:w="1291" w:type="dxa"/>
            <w:vAlign w:val="center"/>
          </w:tcPr>
          <w:p w:rsidR="00C74511" w:rsidRDefault="00517A6E">
            <w:pPr>
              <w:jc w:val="right"/>
            </w:pPr>
            <w:r>
              <w:rPr>
                <w:rFonts w:eastAsiaTheme="minorEastAsia"/>
                <w:color w:val="000000" w:themeColor="text1"/>
                <w:szCs w:val="21"/>
              </w:rPr>
              <w:t>2.39%</w:t>
            </w:r>
          </w:p>
        </w:tc>
        <w:tc>
          <w:tcPr>
            <w:tcW w:w="1291" w:type="dxa"/>
            <w:vAlign w:val="center"/>
          </w:tcPr>
          <w:p w:rsidR="00C74511" w:rsidRDefault="00517A6E">
            <w:pPr>
              <w:jc w:val="right"/>
            </w:pPr>
            <w:r>
              <w:rPr>
                <w:rFonts w:eastAsiaTheme="minorEastAsia"/>
                <w:color w:val="000000" w:themeColor="text1"/>
                <w:szCs w:val="21"/>
              </w:rPr>
              <w:t>0.30%</w:t>
            </w:r>
          </w:p>
        </w:tc>
        <w:tc>
          <w:tcPr>
            <w:tcW w:w="1291" w:type="dxa"/>
            <w:vAlign w:val="center"/>
          </w:tcPr>
          <w:p w:rsidR="00C74511" w:rsidRDefault="00517A6E">
            <w:pPr>
              <w:jc w:val="right"/>
            </w:pPr>
            <w:r>
              <w:rPr>
                <w:rFonts w:eastAsiaTheme="minorEastAsia"/>
                <w:color w:val="000000" w:themeColor="text1"/>
                <w:szCs w:val="21"/>
              </w:rPr>
              <w:t>-1.88%</w:t>
            </w:r>
          </w:p>
        </w:tc>
        <w:tc>
          <w:tcPr>
            <w:tcW w:w="1291" w:type="dxa"/>
            <w:vAlign w:val="center"/>
          </w:tcPr>
          <w:p w:rsidR="00C74511" w:rsidRDefault="00517A6E">
            <w:pPr>
              <w:jc w:val="right"/>
            </w:pPr>
            <w:r>
              <w:rPr>
                <w:rFonts w:eastAsiaTheme="minorEastAsia"/>
                <w:color w:val="000000" w:themeColor="text1"/>
                <w:szCs w:val="21"/>
              </w:rPr>
              <w:t>0.35%</w:t>
            </w:r>
          </w:p>
        </w:tc>
      </w:tr>
      <w:tr w:rsidR="00C74511">
        <w:tc>
          <w:tcPr>
            <w:tcW w:w="1290" w:type="dxa"/>
            <w:vAlign w:val="center"/>
          </w:tcPr>
          <w:p w:rsidR="00C74511" w:rsidRDefault="00517A6E">
            <w:pPr>
              <w:jc w:val="left"/>
            </w:pPr>
            <w:r>
              <w:rPr>
                <w:rFonts w:eastAsiaTheme="minorEastAsia"/>
                <w:color w:val="000000" w:themeColor="text1"/>
                <w:szCs w:val="21"/>
              </w:rPr>
              <w:t>过去六个月</w:t>
            </w:r>
          </w:p>
        </w:tc>
        <w:tc>
          <w:tcPr>
            <w:tcW w:w="1291" w:type="dxa"/>
            <w:vAlign w:val="center"/>
          </w:tcPr>
          <w:p w:rsidR="00C74511" w:rsidRDefault="00517A6E">
            <w:pPr>
              <w:jc w:val="right"/>
            </w:pPr>
            <w:r>
              <w:rPr>
                <w:rFonts w:eastAsiaTheme="minorEastAsia"/>
                <w:color w:val="000000" w:themeColor="text1"/>
                <w:szCs w:val="21"/>
              </w:rPr>
              <w:t>-1.99%</w:t>
            </w:r>
          </w:p>
        </w:tc>
        <w:tc>
          <w:tcPr>
            <w:tcW w:w="1291" w:type="dxa"/>
            <w:vAlign w:val="center"/>
          </w:tcPr>
          <w:p w:rsidR="00C74511" w:rsidRDefault="00517A6E">
            <w:pPr>
              <w:jc w:val="right"/>
            </w:pPr>
            <w:r>
              <w:rPr>
                <w:rFonts w:eastAsiaTheme="minorEastAsia"/>
                <w:color w:val="000000" w:themeColor="text1"/>
                <w:szCs w:val="21"/>
              </w:rPr>
              <w:t>0.54%</w:t>
            </w:r>
          </w:p>
        </w:tc>
        <w:tc>
          <w:tcPr>
            <w:tcW w:w="1291" w:type="dxa"/>
            <w:vAlign w:val="center"/>
          </w:tcPr>
          <w:p w:rsidR="00C74511" w:rsidRDefault="00517A6E">
            <w:pPr>
              <w:jc w:val="right"/>
            </w:pPr>
            <w:r>
              <w:rPr>
                <w:rFonts w:eastAsiaTheme="minorEastAsia"/>
                <w:color w:val="000000" w:themeColor="text1"/>
                <w:szCs w:val="21"/>
              </w:rPr>
              <w:t>1.18%</w:t>
            </w:r>
          </w:p>
        </w:tc>
        <w:tc>
          <w:tcPr>
            <w:tcW w:w="1291" w:type="dxa"/>
            <w:vAlign w:val="center"/>
          </w:tcPr>
          <w:p w:rsidR="00C74511" w:rsidRDefault="00517A6E">
            <w:pPr>
              <w:jc w:val="right"/>
            </w:pPr>
            <w:r>
              <w:rPr>
                <w:rFonts w:eastAsiaTheme="minorEastAsia"/>
                <w:color w:val="000000" w:themeColor="text1"/>
                <w:szCs w:val="21"/>
              </w:rPr>
              <w:t>0.27%</w:t>
            </w:r>
          </w:p>
        </w:tc>
        <w:tc>
          <w:tcPr>
            <w:tcW w:w="1291" w:type="dxa"/>
            <w:vAlign w:val="center"/>
          </w:tcPr>
          <w:p w:rsidR="00C74511" w:rsidRDefault="00517A6E">
            <w:pPr>
              <w:jc w:val="right"/>
            </w:pPr>
            <w:r>
              <w:rPr>
                <w:rFonts w:eastAsiaTheme="minorEastAsia"/>
                <w:color w:val="000000" w:themeColor="text1"/>
                <w:szCs w:val="21"/>
              </w:rPr>
              <w:t>-3.17%</w:t>
            </w:r>
          </w:p>
        </w:tc>
        <w:tc>
          <w:tcPr>
            <w:tcW w:w="1291" w:type="dxa"/>
            <w:vAlign w:val="center"/>
          </w:tcPr>
          <w:p w:rsidR="00C74511" w:rsidRDefault="00517A6E">
            <w:pPr>
              <w:jc w:val="right"/>
            </w:pPr>
            <w:r>
              <w:rPr>
                <w:rFonts w:eastAsiaTheme="minorEastAsia"/>
                <w:color w:val="000000" w:themeColor="text1"/>
                <w:szCs w:val="21"/>
              </w:rPr>
              <w:t>0.27%</w:t>
            </w:r>
          </w:p>
        </w:tc>
      </w:tr>
      <w:tr w:rsidR="00C74511">
        <w:tc>
          <w:tcPr>
            <w:tcW w:w="1290" w:type="dxa"/>
            <w:vAlign w:val="center"/>
          </w:tcPr>
          <w:p w:rsidR="00C74511" w:rsidRDefault="00517A6E">
            <w:pPr>
              <w:jc w:val="left"/>
            </w:pPr>
            <w:r>
              <w:rPr>
                <w:rFonts w:eastAsiaTheme="minorEastAsia"/>
                <w:color w:val="000000" w:themeColor="text1"/>
                <w:szCs w:val="21"/>
              </w:rPr>
              <w:t>过去一年</w:t>
            </w:r>
          </w:p>
        </w:tc>
        <w:tc>
          <w:tcPr>
            <w:tcW w:w="1291" w:type="dxa"/>
            <w:vAlign w:val="center"/>
          </w:tcPr>
          <w:p w:rsidR="00C74511" w:rsidRDefault="00517A6E">
            <w:pPr>
              <w:jc w:val="right"/>
            </w:pPr>
            <w:r>
              <w:rPr>
                <w:rFonts w:eastAsiaTheme="minorEastAsia"/>
                <w:color w:val="000000" w:themeColor="text1"/>
                <w:szCs w:val="21"/>
              </w:rPr>
              <w:t>-5.03%</w:t>
            </w:r>
          </w:p>
        </w:tc>
        <w:tc>
          <w:tcPr>
            <w:tcW w:w="1291" w:type="dxa"/>
            <w:vAlign w:val="center"/>
          </w:tcPr>
          <w:p w:rsidR="00C74511" w:rsidRDefault="00517A6E">
            <w:pPr>
              <w:jc w:val="right"/>
            </w:pPr>
            <w:r>
              <w:rPr>
                <w:rFonts w:eastAsiaTheme="minorEastAsia"/>
                <w:color w:val="000000" w:themeColor="text1"/>
                <w:szCs w:val="21"/>
              </w:rPr>
              <w:t>0.44%</w:t>
            </w:r>
          </w:p>
        </w:tc>
        <w:tc>
          <w:tcPr>
            <w:tcW w:w="1291" w:type="dxa"/>
            <w:vAlign w:val="center"/>
          </w:tcPr>
          <w:p w:rsidR="00C74511" w:rsidRDefault="00517A6E">
            <w:pPr>
              <w:jc w:val="right"/>
            </w:pPr>
            <w:r>
              <w:rPr>
                <w:rFonts w:eastAsiaTheme="minorEastAsia"/>
                <w:color w:val="000000" w:themeColor="text1"/>
                <w:szCs w:val="21"/>
              </w:rPr>
              <w:t>0.41%</w:t>
            </w:r>
          </w:p>
        </w:tc>
        <w:tc>
          <w:tcPr>
            <w:tcW w:w="1291" w:type="dxa"/>
            <w:vAlign w:val="center"/>
          </w:tcPr>
          <w:p w:rsidR="00C74511" w:rsidRDefault="00517A6E">
            <w:pPr>
              <w:jc w:val="right"/>
            </w:pPr>
            <w:r>
              <w:rPr>
                <w:rFonts w:eastAsiaTheme="minorEastAsia"/>
                <w:color w:val="000000" w:themeColor="text1"/>
                <w:szCs w:val="21"/>
              </w:rPr>
              <w:t>0.26%</w:t>
            </w:r>
          </w:p>
        </w:tc>
        <w:tc>
          <w:tcPr>
            <w:tcW w:w="1291" w:type="dxa"/>
            <w:vAlign w:val="center"/>
          </w:tcPr>
          <w:p w:rsidR="00C74511" w:rsidRDefault="00517A6E">
            <w:pPr>
              <w:jc w:val="right"/>
            </w:pPr>
            <w:r>
              <w:rPr>
                <w:rFonts w:eastAsiaTheme="minorEastAsia"/>
                <w:color w:val="000000" w:themeColor="text1"/>
                <w:szCs w:val="21"/>
              </w:rPr>
              <w:t>-5.44%</w:t>
            </w:r>
          </w:p>
        </w:tc>
        <w:tc>
          <w:tcPr>
            <w:tcW w:w="1291" w:type="dxa"/>
            <w:vAlign w:val="center"/>
          </w:tcPr>
          <w:p w:rsidR="00C74511" w:rsidRDefault="00517A6E">
            <w:pPr>
              <w:jc w:val="right"/>
            </w:pPr>
            <w:r>
              <w:rPr>
                <w:rFonts w:eastAsiaTheme="minorEastAsia"/>
                <w:color w:val="000000" w:themeColor="text1"/>
                <w:szCs w:val="21"/>
              </w:rPr>
              <w:t>0.18%</w:t>
            </w:r>
          </w:p>
        </w:tc>
      </w:tr>
      <w:tr w:rsidR="00C74511">
        <w:tc>
          <w:tcPr>
            <w:tcW w:w="1290" w:type="dxa"/>
            <w:vAlign w:val="center"/>
          </w:tcPr>
          <w:p w:rsidR="00C74511" w:rsidRDefault="00517A6E">
            <w:pPr>
              <w:jc w:val="left"/>
            </w:pPr>
            <w:r>
              <w:rPr>
                <w:rFonts w:eastAsiaTheme="minorEastAsia"/>
                <w:color w:val="000000" w:themeColor="text1"/>
                <w:szCs w:val="21"/>
              </w:rPr>
              <w:t>过去三年</w:t>
            </w:r>
          </w:p>
        </w:tc>
        <w:tc>
          <w:tcPr>
            <w:tcW w:w="1291" w:type="dxa"/>
            <w:vAlign w:val="center"/>
          </w:tcPr>
          <w:p w:rsidR="00C74511" w:rsidRDefault="00517A6E">
            <w:pPr>
              <w:jc w:val="right"/>
            </w:pPr>
            <w:r>
              <w:rPr>
                <w:rFonts w:eastAsiaTheme="minorEastAsia"/>
                <w:color w:val="000000" w:themeColor="text1"/>
                <w:szCs w:val="21"/>
              </w:rPr>
              <w:t>-1.57%</w:t>
            </w:r>
          </w:p>
        </w:tc>
        <w:tc>
          <w:tcPr>
            <w:tcW w:w="1291" w:type="dxa"/>
            <w:vAlign w:val="center"/>
          </w:tcPr>
          <w:p w:rsidR="00C74511" w:rsidRDefault="00517A6E">
            <w:pPr>
              <w:jc w:val="right"/>
            </w:pPr>
            <w:r>
              <w:rPr>
                <w:rFonts w:eastAsiaTheme="minorEastAsia"/>
                <w:color w:val="000000" w:themeColor="text1"/>
                <w:szCs w:val="21"/>
              </w:rPr>
              <w:t>0.38%</w:t>
            </w:r>
          </w:p>
        </w:tc>
        <w:tc>
          <w:tcPr>
            <w:tcW w:w="1291" w:type="dxa"/>
            <w:vAlign w:val="center"/>
          </w:tcPr>
          <w:p w:rsidR="00C74511" w:rsidRDefault="00517A6E">
            <w:pPr>
              <w:jc w:val="right"/>
            </w:pPr>
            <w:r>
              <w:rPr>
                <w:rFonts w:eastAsiaTheme="minorEastAsia"/>
                <w:color w:val="000000" w:themeColor="text1"/>
                <w:szCs w:val="21"/>
              </w:rPr>
              <w:t>1.69%</w:t>
            </w:r>
          </w:p>
        </w:tc>
        <w:tc>
          <w:tcPr>
            <w:tcW w:w="1291" w:type="dxa"/>
            <w:vAlign w:val="center"/>
          </w:tcPr>
          <w:p w:rsidR="00C74511" w:rsidRDefault="00517A6E">
            <w:pPr>
              <w:jc w:val="right"/>
            </w:pPr>
            <w:r>
              <w:rPr>
                <w:rFonts w:eastAsiaTheme="minorEastAsia"/>
                <w:color w:val="000000" w:themeColor="text1"/>
                <w:szCs w:val="21"/>
              </w:rPr>
              <w:t>0.32%</w:t>
            </w:r>
          </w:p>
        </w:tc>
        <w:tc>
          <w:tcPr>
            <w:tcW w:w="1291" w:type="dxa"/>
            <w:vAlign w:val="center"/>
          </w:tcPr>
          <w:p w:rsidR="00C74511" w:rsidRDefault="00517A6E">
            <w:pPr>
              <w:jc w:val="right"/>
            </w:pPr>
            <w:r>
              <w:rPr>
                <w:rFonts w:eastAsiaTheme="minorEastAsia"/>
                <w:color w:val="000000" w:themeColor="text1"/>
                <w:szCs w:val="21"/>
              </w:rPr>
              <w:t>-3.26%</w:t>
            </w:r>
          </w:p>
        </w:tc>
        <w:tc>
          <w:tcPr>
            <w:tcW w:w="1291" w:type="dxa"/>
            <w:vAlign w:val="center"/>
          </w:tcPr>
          <w:p w:rsidR="00C74511" w:rsidRDefault="00517A6E">
            <w:pPr>
              <w:jc w:val="right"/>
            </w:pPr>
            <w:r>
              <w:rPr>
                <w:rFonts w:eastAsiaTheme="minorEastAsia"/>
                <w:color w:val="000000" w:themeColor="text1"/>
                <w:szCs w:val="21"/>
              </w:rPr>
              <w:t>0.06%</w:t>
            </w:r>
          </w:p>
        </w:tc>
      </w:tr>
      <w:tr w:rsidR="00C74511">
        <w:tc>
          <w:tcPr>
            <w:tcW w:w="1290" w:type="dxa"/>
            <w:vAlign w:val="center"/>
          </w:tcPr>
          <w:p w:rsidR="00C74511" w:rsidRDefault="00517A6E">
            <w:pPr>
              <w:jc w:val="left"/>
            </w:pPr>
            <w:r>
              <w:rPr>
                <w:rFonts w:eastAsiaTheme="minorEastAsia"/>
                <w:color w:val="000000" w:themeColor="text1"/>
                <w:szCs w:val="21"/>
              </w:rPr>
              <w:t>过去五年</w:t>
            </w:r>
          </w:p>
        </w:tc>
        <w:tc>
          <w:tcPr>
            <w:tcW w:w="1291" w:type="dxa"/>
            <w:vAlign w:val="center"/>
          </w:tcPr>
          <w:p w:rsidR="00C74511" w:rsidRDefault="00517A6E">
            <w:pPr>
              <w:jc w:val="right"/>
            </w:pPr>
            <w:r>
              <w:rPr>
                <w:rFonts w:eastAsiaTheme="minorEastAsia"/>
                <w:color w:val="000000" w:themeColor="text1"/>
                <w:szCs w:val="21"/>
              </w:rPr>
              <w:t>27.86%</w:t>
            </w:r>
          </w:p>
        </w:tc>
        <w:tc>
          <w:tcPr>
            <w:tcW w:w="1291" w:type="dxa"/>
            <w:vAlign w:val="center"/>
          </w:tcPr>
          <w:p w:rsidR="00C74511" w:rsidRDefault="00517A6E">
            <w:pPr>
              <w:jc w:val="right"/>
            </w:pPr>
            <w:r>
              <w:rPr>
                <w:rFonts w:eastAsiaTheme="minorEastAsia"/>
                <w:color w:val="000000" w:themeColor="text1"/>
                <w:szCs w:val="21"/>
              </w:rPr>
              <w:t>0.38%</w:t>
            </w:r>
          </w:p>
        </w:tc>
        <w:tc>
          <w:tcPr>
            <w:tcW w:w="1291" w:type="dxa"/>
            <w:vAlign w:val="center"/>
          </w:tcPr>
          <w:p w:rsidR="00C74511" w:rsidRDefault="00517A6E">
            <w:pPr>
              <w:jc w:val="right"/>
            </w:pPr>
            <w:r>
              <w:rPr>
                <w:rFonts w:eastAsiaTheme="minorEastAsia"/>
                <w:color w:val="000000" w:themeColor="text1"/>
                <w:szCs w:val="21"/>
              </w:rPr>
              <w:t>14.00%</w:t>
            </w:r>
          </w:p>
        </w:tc>
        <w:tc>
          <w:tcPr>
            <w:tcW w:w="1291" w:type="dxa"/>
            <w:vAlign w:val="center"/>
          </w:tcPr>
          <w:p w:rsidR="00C74511" w:rsidRDefault="00517A6E">
            <w:pPr>
              <w:jc w:val="right"/>
            </w:pPr>
            <w:r>
              <w:rPr>
                <w:rFonts w:eastAsiaTheme="minorEastAsia"/>
                <w:color w:val="000000" w:themeColor="text1"/>
                <w:szCs w:val="21"/>
              </w:rPr>
              <w:t>0.35%</w:t>
            </w:r>
          </w:p>
        </w:tc>
        <w:tc>
          <w:tcPr>
            <w:tcW w:w="1291" w:type="dxa"/>
            <w:vAlign w:val="center"/>
          </w:tcPr>
          <w:p w:rsidR="00C74511" w:rsidRDefault="00517A6E">
            <w:pPr>
              <w:jc w:val="right"/>
            </w:pPr>
            <w:r>
              <w:rPr>
                <w:rFonts w:eastAsiaTheme="minorEastAsia"/>
                <w:color w:val="000000" w:themeColor="text1"/>
                <w:szCs w:val="21"/>
              </w:rPr>
              <w:t>13.86%</w:t>
            </w:r>
          </w:p>
        </w:tc>
        <w:tc>
          <w:tcPr>
            <w:tcW w:w="1291" w:type="dxa"/>
            <w:vAlign w:val="center"/>
          </w:tcPr>
          <w:p w:rsidR="00C74511" w:rsidRDefault="00517A6E">
            <w:pPr>
              <w:jc w:val="right"/>
            </w:pPr>
            <w:r>
              <w:rPr>
                <w:rFonts w:eastAsiaTheme="minorEastAsia"/>
                <w:color w:val="000000" w:themeColor="text1"/>
                <w:szCs w:val="21"/>
              </w:rPr>
              <w:t>0.03%</w:t>
            </w:r>
          </w:p>
        </w:tc>
      </w:tr>
      <w:tr w:rsidR="00C74511">
        <w:tc>
          <w:tcPr>
            <w:tcW w:w="1290" w:type="dxa"/>
            <w:vAlign w:val="center"/>
          </w:tcPr>
          <w:p w:rsidR="00C74511" w:rsidRDefault="00517A6E">
            <w:pPr>
              <w:jc w:val="left"/>
            </w:pPr>
            <w:r>
              <w:rPr>
                <w:rFonts w:eastAsiaTheme="minorEastAsia"/>
                <w:color w:val="000000" w:themeColor="text1"/>
                <w:szCs w:val="21"/>
              </w:rPr>
              <w:t>自基金合同生效起至今</w:t>
            </w:r>
          </w:p>
        </w:tc>
        <w:tc>
          <w:tcPr>
            <w:tcW w:w="1291" w:type="dxa"/>
            <w:vAlign w:val="center"/>
          </w:tcPr>
          <w:p w:rsidR="00C74511" w:rsidRDefault="00517A6E">
            <w:pPr>
              <w:jc w:val="right"/>
            </w:pPr>
            <w:r>
              <w:rPr>
                <w:rFonts w:eastAsiaTheme="minorEastAsia"/>
                <w:color w:val="000000" w:themeColor="text1"/>
                <w:szCs w:val="21"/>
              </w:rPr>
              <w:t>33.24%</w:t>
            </w:r>
          </w:p>
        </w:tc>
        <w:tc>
          <w:tcPr>
            <w:tcW w:w="1291" w:type="dxa"/>
            <w:vAlign w:val="center"/>
          </w:tcPr>
          <w:p w:rsidR="00C74511" w:rsidRDefault="00517A6E">
            <w:pPr>
              <w:jc w:val="right"/>
            </w:pPr>
            <w:r>
              <w:rPr>
                <w:rFonts w:eastAsiaTheme="minorEastAsia"/>
                <w:color w:val="000000" w:themeColor="text1"/>
                <w:szCs w:val="21"/>
              </w:rPr>
              <w:t>0.36%</w:t>
            </w:r>
          </w:p>
        </w:tc>
        <w:tc>
          <w:tcPr>
            <w:tcW w:w="1291" w:type="dxa"/>
            <w:vAlign w:val="center"/>
          </w:tcPr>
          <w:p w:rsidR="00C74511" w:rsidRDefault="00517A6E">
            <w:pPr>
              <w:jc w:val="right"/>
            </w:pPr>
            <w:r>
              <w:rPr>
                <w:rFonts w:eastAsiaTheme="minorEastAsia"/>
                <w:color w:val="000000" w:themeColor="text1"/>
                <w:szCs w:val="21"/>
              </w:rPr>
              <w:t>23.48%</w:t>
            </w:r>
          </w:p>
        </w:tc>
        <w:tc>
          <w:tcPr>
            <w:tcW w:w="1291" w:type="dxa"/>
            <w:vAlign w:val="center"/>
          </w:tcPr>
          <w:p w:rsidR="00C74511" w:rsidRDefault="00517A6E">
            <w:pPr>
              <w:jc w:val="right"/>
            </w:pPr>
            <w:r>
              <w:rPr>
                <w:rFonts w:eastAsiaTheme="minorEastAsia"/>
                <w:color w:val="000000" w:themeColor="text1"/>
                <w:szCs w:val="21"/>
              </w:rPr>
              <w:t>0.36%</w:t>
            </w:r>
          </w:p>
        </w:tc>
        <w:tc>
          <w:tcPr>
            <w:tcW w:w="1291" w:type="dxa"/>
            <w:vAlign w:val="center"/>
          </w:tcPr>
          <w:p w:rsidR="00C74511" w:rsidRDefault="00517A6E">
            <w:pPr>
              <w:jc w:val="right"/>
            </w:pPr>
            <w:r>
              <w:rPr>
                <w:rFonts w:eastAsiaTheme="minorEastAsia"/>
                <w:color w:val="000000" w:themeColor="text1"/>
                <w:szCs w:val="21"/>
              </w:rPr>
              <w:t>9.76%</w:t>
            </w:r>
          </w:p>
        </w:tc>
        <w:tc>
          <w:tcPr>
            <w:tcW w:w="1291" w:type="dxa"/>
            <w:vAlign w:val="center"/>
          </w:tcPr>
          <w:p w:rsidR="00C74511" w:rsidRDefault="00517A6E">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摩根安裕回报混合型证券投资基金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．摩根安裕回报混合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．摩根安裕回报混合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74511">
        <w:tc>
          <w:tcPr>
            <w:tcW w:w="952" w:type="dxa"/>
            <w:vAlign w:val="center"/>
          </w:tcPr>
          <w:p w:rsidR="00C74511" w:rsidRDefault="00517A6E">
            <w:pPr>
              <w:jc w:val="center"/>
            </w:pPr>
            <w:r>
              <w:rPr>
                <w:rFonts w:eastAsiaTheme="minorEastAsia"/>
                <w:color w:val="000000" w:themeColor="text1"/>
                <w:szCs w:val="21"/>
              </w:rPr>
              <w:t>陈圆明</w:t>
            </w:r>
          </w:p>
        </w:tc>
        <w:tc>
          <w:tcPr>
            <w:tcW w:w="930" w:type="dxa"/>
            <w:vAlign w:val="center"/>
          </w:tcPr>
          <w:p w:rsidR="00C74511" w:rsidRDefault="00517A6E">
            <w:pPr>
              <w:jc w:val="center"/>
            </w:pPr>
            <w:r>
              <w:rPr>
                <w:rFonts w:eastAsiaTheme="minorEastAsia"/>
                <w:color w:val="000000" w:themeColor="text1"/>
                <w:szCs w:val="21"/>
              </w:rPr>
              <w:t>本基金基金经理、绝对收益投资部总监</w:t>
            </w:r>
          </w:p>
        </w:tc>
        <w:tc>
          <w:tcPr>
            <w:tcW w:w="1210" w:type="dxa"/>
            <w:vAlign w:val="center"/>
          </w:tcPr>
          <w:p w:rsidR="00C74511" w:rsidRDefault="00517A6E">
            <w:pPr>
              <w:jc w:val="center"/>
            </w:pPr>
            <w:r>
              <w:rPr>
                <w:rFonts w:eastAsiaTheme="minorEastAsia"/>
                <w:color w:val="000000" w:themeColor="text1"/>
                <w:szCs w:val="21"/>
              </w:rPr>
              <w:t>2019-04-12</w:t>
            </w:r>
          </w:p>
        </w:tc>
        <w:tc>
          <w:tcPr>
            <w:tcW w:w="1309" w:type="dxa"/>
            <w:vAlign w:val="center"/>
          </w:tcPr>
          <w:p w:rsidR="00C74511" w:rsidRDefault="00517A6E">
            <w:pPr>
              <w:jc w:val="center"/>
            </w:pPr>
            <w:r>
              <w:rPr>
                <w:rFonts w:eastAsiaTheme="minorEastAsia"/>
                <w:color w:val="000000" w:themeColor="text1"/>
                <w:szCs w:val="21"/>
              </w:rPr>
              <w:t>-</w:t>
            </w:r>
          </w:p>
        </w:tc>
        <w:tc>
          <w:tcPr>
            <w:tcW w:w="1254" w:type="dxa"/>
            <w:vAlign w:val="center"/>
          </w:tcPr>
          <w:p w:rsidR="00C74511" w:rsidRDefault="00517A6E">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C74511" w:rsidRDefault="00517A6E">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w:t>
            </w:r>
            <w:r>
              <w:rPr>
                <w:rFonts w:eastAsiaTheme="minorEastAsia"/>
                <w:color w:val="000000" w:themeColor="text1"/>
                <w:szCs w:val="21"/>
              </w:rPr>
              <w:lastRenderedPageBreak/>
              <w:t>基金经理。</w:t>
            </w:r>
          </w:p>
        </w:tc>
      </w:tr>
      <w:tr w:rsidR="00C74511">
        <w:tc>
          <w:tcPr>
            <w:tcW w:w="952" w:type="dxa"/>
            <w:vAlign w:val="center"/>
          </w:tcPr>
          <w:p w:rsidR="00C74511" w:rsidRDefault="00517A6E">
            <w:pPr>
              <w:jc w:val="center"/>
            </w:pPr>
            <w:r>
              <w:rPr>
                <w:rFonts w:eastAsiaTheme="minorEastAsia"/>
                <w:color w:val="000000" w:themeColor="text1"/>
                <w:szCs w:val="21"/>
              </w:rPr>
              <w:lastRenderedPageBreak/>
              <w:t>王娟</w:t>
            </w:r>
          </w:p>
        </w:tc>
        <w:tc>
          <w:tcPr>
            <w:tcW w:w="930" w:type="dxa"/>
            <w:vAlign w:val="center"/>
          </w:tcPr>
          <w:p w:rsidR="00C74511" w:rsidRDefault="00517A6E">
            <w:pPr>
              <w:jc w:val="center"/>
            </w:pPr>
            <w:r>
              <w:rPr>
                <w:rFonts w:eastAsiaTheme="minorEastAsia"/>
                <w:color w:val="000000" w:themeColor="text1"/>
                <w:szCs w:val="21"/>
              </w:rPr>
              <w:t>本基金基金经理</w:t>
            </w:r>
          </w:p>
        </w:tc>
        <w:tc>
          <w:tcPr>
            <w:tcW w:w="1210" w:type="dxa"/>
            <w:vAlign w:val="center"/>
          </w:tcPr>
          <w:p w:rsidR="00C74511" w:rsidRDefault="00517A6E">
            <w:pPr>
              <w:jc w:val="center"/>
            </w:pPr>
            <w:r>
              <w:rPr>
                <w:rFonts w:eastAsiaTheme="minorEastAsia"/>
                <w:color w:val="000000" w:themeColor="text1"/>
                <w:szCs w:val="21"/>
              </w:rPr>
              <w:t>2022-11-25</w:t>
            </w:r>
          </w:p>
        </w:tc>
        <w:tc>
          <w:tcPr>
            <w:tcW w:w="1309" w:type="dxa"/>
            <w:vAlign w:val="center"/>
          </w:tcPr>
          <w:p w:rsidR="00C74511" w:rsidRDefault="00517A6E">
            <w:pPr>
              <w:jc w:val="center"/>
            </w:pPr>
            <w:r>
              <w:rPr>
                <w:rFonts w:eastAsiaTheme="minorEastAsia"/>
                <w:color w:val="000000" w:themeColor="text1"/>
                <w:szCs w:val="21"/>
              </w:rPr>
              <w:t>-</w:t>
            </w:r>
          </w:p>
        </w:tc>
        <w:tc>
          <w:tcPr>
            <w:tcW w:w="1254" w:type="dxa"/>
            <w:vAlign w:val="center"/>
          </w:tcPr>
          <w:p w:rsidR="00C74511" w:rsidRDefault="00517A6E">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C74511" w:rsidRDefault="00517A6E">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C74511">
        <w:tc>
          <w:tcPr>
            <w:tcW w:w="952" w:type="dxa"/>
            <w:vAlign w:val="center"/>
          </w:tcPr>
          <w:p w:rsidR="00C74511" w:rsidRDefault="00517A6E">
            <w:pPr>
              <w:jc w:val="center"/>
            </w:pPr>
            <w:r>
              <w:rPr>
                <w:rFonts w:eastAsiaTheme="minorEastAsia"/>
                <w:color w:val="000000" w:themeColor="text1"/>
                <w:szCs w:val="21"/>
              </w:rPr>
              <w:t>杨鹏</w:t>
            </w:r>
          </w:p>
        </w:tc>
        <w:tc>
          <w:tcPr>
            <w:tcW w:w="930" w:type="dxa"/>
            <w:vAlign w:val="center"/>
          </w:tcPr>
          <w:p w:rsidR="00C74511" w:rsidRDefault="00517A6E">
            <w:pPr>
              <w:jc w:val="center"/>
            </w:pPr>
            <w:r>
              <w:rPr>
                <w:rFonts w:eastAsiaTheme="minorEastAsia"/>
                <w:color w:val="000000" w:themeColor="text1"/>
                <w:szCs w:val="21"/>
              </w:rPr>
              <w:t>本基金基金经理</w:t>
            </w:r>
          </w:p>
        </w:tc>
        <w:tc>
          <w:tcPr>
            <w:tcW w:w="1210" w:type="dxa"/>
            <w:vAlign w:val="center"/>
          </w:tcPr>
          <w:p w:rsidR="00C74511" w:rsidRDefault="00517A6E">
            <w:pPr>
              <w:jc w:val="center"/>
            </w:pPr>
            <w:r>
              <w:rPr>
                <w:rFonts w:eastAsiaTheme="minorEastAsia"/>
                <w:color w:val="000000" w:themeColor="text1"/>
                <w:szCs w:val="21"/>
              </w:rPr>
              <w:t>2023-09-15</w:t>
            </w:r>
          </w:p>
        </w:tc>
        <w:tc>
          <w:tcPr>
            <w:tcW w:w="1309" w:type="dxa"/>
            <w:vAlign w:val="center"/>
          </w:tcPr>
          <w:p w:rsidR="00C74511" w:rsidRDefault="00517A6E">
            <w:pPr>
              <w:jc w:val="center"/>
            </w:pPr>
            <w:r>
              <w:rPr>
                <w:rFonts w:eastAsiaTheme="minorEastAsia"/>
                <w:color w:val="000000" w:themeColor="text1"/>
                <w:szCs w:val="21"/>
              </w:rPr>
              <w:t>-</w:t>
            </w:r>
          </w:p>
        </w:tc>
        <w:tc>
          <w:tcPr>
            <w:tcW w:w="1254" w:type="dxa"/>
            <w:vAlign w:val="center"/>
          </w:tcPr>
          <w:p w:rsidR="00C74511" w:rsidRDefault="00517A6E">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C74511" w:rsidRDefault="00517A6E">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rsidR="00C74511" w:rsidRDefault="00517A6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w:t>
      </w:r>
      <w:r>
        <w:rPr>
          <w:rFonts w:eastAsiaTheme="minorEastAsia"/>
          <w:color w:val="000000" w:themeColor="text1"/>
          <w:szCs w:val="21"/>
        </w:rPr>
        <w:lastRenderedPageBreak/>
        <w:t>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从</w:t>
      </w:r>
      <w:r>
        <w:rPr>
          <w:rFonts w:eastAsiaTheme="minorEastAsia"/>
          <w:color w:val="000000" w:themeColor="text1"/>
          <w:szCs w:val="21"/>
        </w:rPr>
        <w:t>1-2</w:t>
      </w:r>
      <w:r>
        <w:rPr>
          <w:rFonts w:eastAsiaTheme="minorEastAsia"/>
          <w:color w:val="000000" w:themeColor="text1"/>
          <w:szCs w:val="21"/>
        </w:rPr>
        <w:t>月经济数据来看，结</w:t>
      </w:r>
      <w:r>
        <w:rPr>
          <w:rFonts w:eastAsiaTheme="minorEastAsia"/>
          <w:color w:val="000000" w:themeColor="text1"/>
          <w:szCs w:val="21"/>
        </w:rPr>
        <w:t>构性的变化值得关注。</w:t>
      </w:r>
      <w:r>
        <w:rPr>
          <w:rFonts w:eastAsiaTheme="minorEastAsia"/>
          <w:color w:val="000000" w:themeColor="text1"/>
          <w:szCs w:val="21"/>
        </w:rPr>
        <w:t>1-2</w:t>
      </w:r>
      <w:r>
        <w:rPr>
          <w:rFonts w:eastAsiaTheme="minorEastAsia"/>
          <w:color w:val="000000" w:themeColor="text1"/>
          <w:szCs w:val="21"/>
        </w:rPr>
        <w:t>月制造业投资增速</w:t>
      </w:r>
      <w:r>
        <w:rPr>
          <w:rFonts w:eastAsiaTheme="minorEastAsia"/>
          <w:color w:val="000000" w:themeColor="text1"/>
          <w:szCs w:val="21"/>
        </w:rPr>
        <w:t>9.4%</w:t>
      </w:r>
      <w:r>
        <w:rPr>
          <w:rFonts w:eastAsiaTheme="minorEastAsia"/>
          <w:color w:val="000000" w:themeColor="text1"/>
          <w:szCs w:val="21"/>
        </w:rPr>
        <w:t>，为近</w:t>
      </w:r>
      <w:r>
        <w:rPr>
          <w:rFonts w:eastAsiaTheme="minorEastAsia"/>
          <w:color w:val="000000" w:themeColor="text1"/>
          <w:szCs w:val="21"/>
        </w:rPr>
        <w:t>15</w:t>
      </w:r>
      <w:r>
        <w:rPr>
          <w:rFonts w:eastAsiaTheme="minorEastAsia"/>
          <w:color w:val="000000" w:themeColor="text1"/>
          <w:szCs w:val="21"/>
        </w:rPr>
        <w:t>个月以来的最高增速，带动了固定资产投资同比增长</w:t>
      </w:r>
      <w:r>
        <w:rPr>
          <w:rFonts w:eastAsiaTheme="minorEastAsia"/>
          <w:color w:val="000000" w:themeColor="text1"/>
          <w:szCs w:val="21"/>
        </w:rPr>
        <w:t>4.2%</w:t>
      </w:r>
      <w:r>
        <w:rPr>
          <w:rFonts w:eastAsiaTheme="minorEastAsia"/>
          <w:color w:val="000000" w:themeColor="text1"/>
          <w:szCs w:val="21"/>
        </w:rPr>
        <w:t>。受益于实施设备更新行动的政策利好，制造业投资增速反超基建投资增速。</w:t>
      </w:r>
      <w:r>
        <w:rPr>
          <w:rFonts w:eastAsiaTheme="minorEastAsia"/>
          <w:color w:val="000000" w:themeColor="text1"/>
          <w:szCs w:val="21"/>
        </w:rPr>
        <w:t>1-2</w:t>
      </w:r>
      <w:r>
        <w:rPr>
          <w:rFonts w:eastAsiaTheme="minorEastAsia"/>
          <w:color w:val="000000" w:themeColor="text1"/>
          <w:szCs w:val="21"/>
        </w:rPr>
        <w:t>月社零同比增长</w:t>
      </w:r>
      <w:r>
        <w:rPr>
          <w:rFonts w:eastAsiaTheme="minorEastAsia"/>
          <w:color w:val="000000" w:themeColor="text1"/>
          <w:szCs w:val="21"/>
        </w:rPr>
        <w:t>5.5%</w:t>
      </w:r>
      <w:r>
        <w:rPr>
          <w:rFonts w:eastAsiaTheme="minorEastAsia"/>
          <w:color w:val="000000" w:themeColor="text1"/>
          <w:szCs w:val="21"/>
        </w:rPr>
        <w:t>，符合趋势水平，结构上基本延续了</w:t>
      </w:r>
      <w:r>
        <w:rPr>
          <w:rFonts w:eastAsiaTheme="minorEastAsia"/>
          <w:color w:val="000000" w:themeColor="text1"/>
          <w:szCs w:val="21"/>
        </w:rPr>
        <w:t>“</w:t>
      </w:r>
      <w:r>
        <w:rPr>
          <w:rFonts w:eastAsiaTheme="minorEastAsia"/>
          <w:color w:val="000000" w:themeColor="text1"/>
          <w:szCs w:val="21"/>
        </w:rPr>
        <w:t>出行拉动，可选平淡，地产拖累</w:t>
      </w:r>
      <w:r>
        <w:rPr>
          <w:rFonts w:eastAsiaTheme="minorEastAsia"/>
          <w:color w:val="000000" w:themeColor="text1"/>
          <w:szCs w:val="21"/>
        </w:rPr>
        <w:t>”</w:t>
      </w:r>
      <w:r>
        <w:rPr>
          <w:rFonts w:eastAsiaTheme="minorEastAsia"/>
          <w:color w:val="000000" w:themeColor="text1"/>
          <w:szCs w:val="21"/>
        </w:rPr>
        <w:t>的格局。</w:t>
      </w:r>
      <w:r>
        <w:rPr>
          <w:rFonts w:eastAsiaTheme="minorEastAsia"/>
          <w:color w:val="000000" w:themeColor="text1"/>
          <w:szCs w:val="21"/>
        </w:rPr>
        <w:t xml:space="preserve"> </w:t>
      </w:r>
      <w:r>
        <w:rPr>
          <w:rFonts w:eastAsiaTheme="minorEastAsia"/>
          <w:color w:val="000000" w:themeColor="text1"/>
          <w:szCs w:val="21"/>
        </w:rPr>
        <w:t>房地产投资和销售仍未见明显起色。与基建投资相关的两种债券发行进度偏慢，其一，对比前五年</w:t>
      </w:r>
      <w:r>
        <w:rPr>
          <w:rFonts w:eastAsiaTheme="minorEastAsia"/>
          <w:color w:val="000000" w:themeColor="text1"/>
          <w:szCs w:val="21"/>
        </w:rPr>
        <w:t>1-2</w:t>
      </w:r>
      <w:r>
        <w:rPr>
          <w:rFonts w:eastAsiaTheme="minorEastAsia"/>
          <w:color w:val="000000" w:themeColor="text1"/>
          <w:szCs w:val="21"/>
        </w:rPr>
        <w:t>月地方新增专项债的发行情况来看，今年专项债的发行进度仅快于</w:t>
      </w:r>
      <w:r>
        <w:rPr>
          <w:rFonts w:eastAsiaTheme="minorEastAsia"/>
          <w:color w:val="000000" w:themeColor="text1"/>
          <w:szCs w:val="21"/>
        </w:rPr>
        <w:t>2021</w:t>
      </w:r>
      <w:r>
        <w:rPr>
          <w:rFonts w:eastAsiaTheme="minorEastAsia"/>
          <w:color w:val="000000" w:themeColor="text1"/>
          <w:szCs w:val="21"/>
        </w:rPr>
        <w:t>年同期；其二，化债背景之下，城投存量同比增速持续下滑。从物价数据来看，</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CPI</w:t>
      </w:r>
      <w:r>
        <w:rPr>
          <w:rFonts w:eastAsiaTheme="minorEastAsia"/>
          <w:color w:val="000000" w:themeColor="text1"/>
          <w:szCs w:val="21"/>
        </w:rPr>
        <w:t>同比转正，核心</w:t>
      </w:r>
      <w:r>
        <w:rPr>
          <w:rFonts w:eastAsiaTheme="minorEastAsia"/>
          <w:color w:val="000000" w:themeColor="text1"/>
          <w:szCs w:val="21"/>
        </w:rPr>
        <w:t>CPI</w:t>
      </w:r>
      <w:r>
        <w:rPr>
          <w:rFonts w:eastAsiaTheme="minorEastAsia"/>
          <w:color w:val="000000" w:themeColor="text1"/>
          <w:szCs w:val="21"/>
        </w:rPr>
        <w:t>同比创</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月以来新高；</w:t>
      </w:r>
      <w:r>
        <w:rPr>
          <w:rFonts w:eastAsiaTheme="minorEastAsia"/>
          <w:color w:val="000000" w:themeColor="text1"/>
          <w:szCs w:val="21"/>
        </w:rPr>
        <w:t>PPI</w:t>
      </w:r>
      <w:r>
        <w:rPr>
          <w:rFonts w:eastAsiaTheme="minorEastAsia"/>
          <w:color w:val="000000" w:themeColor="text1"/>
          <w:szCs w:val="21"/>
        </w:rPr>
        <w:t>保持低位。</w:t>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债券市场，资产荒逻辑继续演绎，</w:t>
      </w:r>
      <w:r>
        <w:rPr>
          <w:rFonts w:eastAsiaTheme="minorEastAsia"/>
          <w:color w:val="000000" w:themeColor="text1"/>
          <w:szCs w:val="21"/>
        </w:rPr>
        <w:t>10</w:t>
      </w:r>
      <w:r>
        <w:rPr>
          <w:rFonts w:eastAsiaTheme="minorEastAsia"/>
          <w:color w:val="000000" w:themeColor="text1"/>
          <w:szCs w:val="21"/>
        </w:rPr>
        <w:t>年期国债收益率一季度震荡下行至</w:t>
      </w:r>
      <w:r>
        <w:rPr>
          <w:rFonts w:eastAsiaTheme="minorEastAsia"/>
          <w:color w:val="000000" w:themeColor="text1"/>
          <w:szCs w:val="21"/>
        </w:rPr>
        <w:t>2.3%</w:t>
      </w:r>
      <w:r>
        <w:rPr>
          <w:rFonts w:eastAsiaTheme="minorEastAsia"/>
          <w:color w:val="000000" w:themeColor="text1"/>
          <w:szCs w:val="21"/>
        </w:rPr>
        <w:t>，</w:t>
      </w:r>
      <w:r>
        <w:rPr>
          <w:rFonts w:eastAsiaTheme="minorEastAsia"/>
          <w:color w:val="000000" w:themeColor="text1"/>
          <w:szCs w:val="21"/>
        </w:rPr>
        <w:t>30</w:t>
      </w:r>
      <w:r>
        <w:rPr>
          <w:rFonts w:eastAsiaTheme="minorEastAsia"/>
          <w:color w:val="000000" w:themeColor="text1"/>
          <w:szCs w:val="21"/>
        </w:rPr>
        <w:t>年期国债收益率下破</w:t>
      </w:r>
      <w:r>
        <w:rPr>
          <w:rFonts w:eastAsiaTheme="minorEastAsia"/>
          <w:color w:val="000000" w:themeColor="text1"/>
          <w:szCs w:val="21"/>
        </w:rPr>
        <w:t>2.5%</w:t>
      </w: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年期</w:t>
      </w:r>
      <w:r>
        <w:rPr>
          <w:rFonts w:eastAsiaTheme="minorEastAsia"/>
          <w:color w:val="000000" w:themeColor="text1"/>
          <w:szCs w:val="21"/>
        </w:rPr>
        <w:t>AAA</w:t>
      </w:r>
      <w:r>
        <w:rPr>
          <w:rFonts w:eastAsiaTheme="minorEastAsia"/>
          <w:color w:val="000000" w:themeColor="text1"/>
          <w:szCs w:val="21"/>
        </w:rPr>
        <w:t>同业存单收益率回落至</w:t>
      </w:r>
      <w:r>
        <w:rPr>
          <w:rFonts w:eastAsiaTheme="minorEastAsia"/>
          <w:color w:val="000000" w:themeColor="text1"/>
          <w:szCs w:val="21"/>
        </w:rPr>
        <w:t>2.25%</w:t>
      </w:r>
      <w:r>
        <w:rPr>
          <w:rFonts w:eastAsiaTheme="minorEastAsia"/>
          <w:color w:val="000000" w:themeColor="text1"/>
          <w:szCs w:val="21"/>
        </w:rPr>
        <w:t>附近。</w:t>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展望二季度，国内经济重点关注两条主线。其一，出口和制造业投资回升的持续性。时隔半年，</w:t>
      </w:r>
      <w:r>
        <w:rPr>
          <w:rFonts w:eastAsiaTheme="minorEastAsia"/>
          <w:color w:val="000000" w:themeColor="text1"/>
          <w:szCs w:val="21"/>
        </w:rPr>
        <w:t>3</w:t>
      </w:r>
      <w:r>
        <w:rPr>
          <w:rFonts w:eastAsiaTheme="minorEastAsia"/>
          <w:color w:val="000000" w:themeColor="text1"/>
          <w:szCs w:val="21"/>
        </w:rPr>
        <w:t>月制造业</w:t>
      </w:r>
      <w:r>
        <w:rPr>
          <w:rFonts w:eastAsiaTheme="minorEastAsia"/>
          <w:color w:val="000000" w:themeColor="text1"/>
          <w:szCs w:val="21"/>
        </w:rPr>
        <w:t>PMI</w:t>
      </w:r>
      <w:r>
        <w:rPr>
          <w:rFonts w:eastAsiaTheme="minorEastAsia"/>
          <w:color w:val="000000" w:themeColor="text1"/>
          <w:szCs w:val="21"/>
        </w:rPr>
        <w:t>再度回升至荣枯线之上，达到</w:t>
      </w:r>
      <w:r>
        <w:rPr>
          <w:rFonts w:eastAsiaTheme="minorEastAsia"/>
          <w:color w:val="000000" w:themeColor="text1"/>
          <w:szCs w:val="21"/>
        </w:rPr>
        <w:t>50.8%</w:t>
      </w:r>
      <w:r>
        <w:rPr>
          <w:rFonts w:eastAsiaTheme="minorEastAsia"/>
          <w:color w:val="000000" w:themeColor="text1"/>
          <w:szCs w:val="21"/>
        </w:rPr>
        <w:t>，新订单指数从</w:t>
      </w:r>
      <w:r>
        <w:rPr>
          <w:rFonts w:eastAsiaTheme="minorEastAsia"/>
          <w:color w:val="000000" w:themeColor="text1"/>
          <w:szCs w:val="21"/>
        </w:rPr>
        <w:t>2</w:t>
      </w:r>
      <w:r>
        <w:rPr>
          <w:rFonts w:eastAsiaTheme="minorEastAsia"/>
          <w:color w:val="000000" w:themeColor="text1"/>
          <w:szCs w:val="21"/>
        </w:rPr>
        <w:t>月的</w:t>
      </w:r>
      <w:r>
        <w:rPr>
          <w:rFonts w:eastAsiaTheme="minorEastAsia"/>
          <w:color w:val="000000" w:themeColor="text1"/>
          <w:szCs w:val="21"/>
        </w:rPr>
        <w:t>49.0%</w:t>
      </w:r>
      <w:r>
        <w:rPr>
          <w:rFonts w:eastAsiaTheme="minorEastAsia"/>
          <w:color w:val="000000" w:themeColor="text1"/>
          <w:szCs w:val="21"/>
        </w:rPr>
        <w:t>回升至</w:t>
      </w:r>
      <w:r>
        <w:rPr>
          <w:rFonts w:eastAsiaTheme="minorEastAsia"/>
          <w:color w:val="000000" w:themeColor="text1"/>
          <w:szCs w:val="21"/>
        </w:rPr>
        <w:t>3</w:t>
      </w:r>
      <w:r>
        <w:rPr>
          <w:rFonts w:eastAsiaTheme="minorEastAsia"/>
          <w:color w:val="000000" w:themeColor="text1"/>
          <w:szCs w:val="21"/>
        </w:rPr>
        <w:t>月的</w:t>
      </w:r>
      <w:r>
        <w:rPr>
          <w:rFonts w:eastAsiaTheme="minorEastAsia"/>
          <w:color w:val="000000" w:themeColor="text1"/>
          <w:szCs w:val="21"/>
        </w:rPr>
        <w:t>53.0%</w:t>
      </w:r>
      <w:r>
        <w:rPr>
          <w:rFonts w:eastAsiaTheme="minorEastAsia"/>
          <w:color w:val="000000" w:themeColor="text1"/>
          <w:szCs w:val="21"/>
        </w:rPr>
        <w:t>，新出口订单指数环比回升</w:t>
      </w:r>
      <w:r>
        <w:rPr>
          <w:rFonts w:eastAsiaTheme="minorEastAsia"/>
          <w:color w:val="000000" w:themeColor="text1"/>
          <w:szCs w:val="21"/>
        </w:rPr>
        <w:t>5%</w:t>
      </w:r>
      <w:r>
        <w:rPr>
          <w:rFonts w:eastAsiaTheme="minorEastAsia"/>
          <w:color w:val="000000" w:themeColor="text1"/>
          <w:szCs w:val="21"/>
        </w:rPr>
        <w:t>至</w:t>
      </w:r>
      <w:r>
        <w:rPr>
          <w:rFonts w:eastAsiaTheme="minorEastAsia"/>
          <w:color w:val="000000" w:themeColor="text1"/>
          <w:szCs w:val="21"/>
        </w:rPr>
        <w:t>51.3%</w:t>
      </w:r>
      <w:r>
        <w:rPr>
          <w:rFonts w:eastAsiaTheme="minorEastAsia"/>
          <w:color w:val="000000" w:themeColor="text1"/>
          <w:szCs w:val="21"/>
        </w:rPr>
        <w:t>。其二，基建投资的发力情况，跟踪新增专项债的发行进</w:t>
      </w:r>
      <w:r>
        <w:rPr>
          <w:rFonts w:eastAsiaTheme="minorEastAsia"/>
          <w:color w:val="000000" w:themeColor="text1"/>
          <w:szCs w:val="21"/>
        </w:rPr>
        <w:t>度和</w:t>
      </w:r>
      <w:r>
        <w:rPr>
          <w:rFonts w:eastAsiaTheme="minorEastAsia"/>
          <w:color w:val="000000" w:themeColor="text1"/>
          <w:szCs w:val="21"/>
        </w:rPr>
        <w:t>2023</w:t>
      </w:r>
      <w:r>
        <w:rPr>
          <w:rFonts w:eastAsiaTheme="minorEastAsia"/>
          <w:color w:val="000000" w:themeColor="text1"/>
          <w:szCs w:val="21"/>
        </w:rPr>
        <w:t>年万亿增发国债的落地情况，跟踪城乡社区事务、农林水事务两项一般预算基建支出等。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权益方面，我们在根据市场变化优化持仓结构的同时，尽力寻找一些个股的阿尔法机会，争取为组合持续创造绝对收益。债券方面，短端或依旧具备不错的配置价值，我们将对短期限券种</w:t>
      </w:r>
      <w:r w:rsidRPr="00B27A29">
        <w:rPr>
          <w:rFonts w:eastAsiaTheme="minorEastAsia"/>
          <w:color w:val="000000" w:themeColor="text1"/>
          <w:szCs w:val="21"/>
        </w:rPr>
        <w:lastRenderedPageBreak/>
        <w:t>按性价比进行相应调整。</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本报告期摩根安裕回报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:0.63%</w:t>
      </w:r>
      <w:r>
        <w:rPr>
          <w:rFonts w:eastAsiaTheme="minorEastAsia"/>
          <w:color w:val="000000" w:themeColor="text1"/>
          <w:szCs w:val="21"/>
        </w:rPr>
        <w:t>，同期业绩比较基准收益率为</w:t>
      </w:r>
      <w:r>
        <w:rPr>
          <w:rFonts w:eastAsiaTheme="minorEastAsia"/>
          <w:color w:val="000000" w:themeColor="text1"/>
          <w:szCs w:val="21"/>
        </w:rPr>
        <w:t>:2.39%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摩根安裕回报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:0.51%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:2.39%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86,626,220.91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24.74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86,626,220.91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24.74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252,691,137.97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72.17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252,691,137.97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72.17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7,144,000.00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2,581,999.31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1,089,874.74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350,133,232.93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16,460,500.32</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4.80%</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2,097,761.94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0.61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44,299,858.24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17,168,209.45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5,057,281.32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5,924.10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3,097.60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1,533,587.94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70,165,720.59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20.47</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C74511">
        <w:trPr>
          <w:jc w:val="center"/>
        </w:trPr>
        <w:tc>
          <w:tcPr>
            <w:tcW w:w="2397" w:type="dxa"/>
            <w:vAlign w:val="center"/>
          </w:tcPr>
          <w:p w:rsidR="00C74511" w:rsidRDefault="00517A6E">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C74511" w:rsidRDefault="00517A6E">
            <w:pPr>
              <w:jc w:val="center"/>
            </w:pPr>
            <w:r>
              <w:rPr>
                <w:rFonts w:eastAsiaTheme="minorEastAsia"/>
                <w:color w:val="000000" w:themeColor="text1"/>
                <w:szCs w:val="21"/>
              </w:rPr>
              <w:t>-</w:t>
            </w:r>
          </w:p>
        </w:tc>
        <w:tc>
          <w:tcPr>
            <w:tcW w:w="3118" w:type="dxa"/>
            <w:vAlign w:val="center"/>
          </w:tcPr>
          <w:p w:rsidR="00C74511" w:rsidRDefault="00517A6E">
            <w:pPr>
              <w:jc w:val="center"/>
            </w:pPr>
            <w:r>
              <w:rPr>
                <w:rFonts w:eastAsiaTheme="minorEastAsia"/>
                <w:color w:val="000000" w:themeColor="text1"/>
                <w:szCs w:val="21"/>
              </w:rPr>
              <w:t>-</w:t>
            </w:r>
          </w:p>
        </w:tc>
      </w:tr>
      <w:tr w:rsidR="00C74511">
        <w:trPr>
          <w:jc w:val="center"/>
        </w:trPr>
        <w:tc>
          <w:tcPr>
            <w:tcW w:w="2397" w:type="dxa"/>
            <w:vAlign w:val="center"/>
          </w:tcPr>
          <w:p w:rsidR="00C74511" w:rsidRDefault="00517A6E">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C74511" w:rsidRDefault="00517A6E">
            <w:pPr>
              <w:jc w:val="center"/>
            </w:pPr>
            <w:r>
              <w:rPr>
                <w:rFonts w:eastAsiaTheme="minorEastAsia"/>
                <w:color w:val="000000" w:themeColor="text1"/>
                <w:szCs w:val="21"/>
              </w:rPr>
              <w:t>7,344,432.96</w:t>
            </w:r>
          </w:p>
        </w:tc>
        <w:tc>
          <w:tcPr>
            <w:tcW w:w="3118" w:type="dxa"/>
            <w:vAlign w:val="center"/>
          </w:tcPr>
          <w:p w:rsidR="00C74511" w:rsidRDefault="00517A6E">
            <w:pPr>
              <w:jc w:val="center"/>
            </w:pPr>
            <w:r>
              <w:rPr>
                <w:rFonts w:eastAsiaTheme="minorEastAsia"/>
                <w:color w:val="000000" w:themeColor="text1"/>
                <w:szCs w:val="21"/>
              </w:rPr>
              <w:t>2.14</w:t>
            </w:r>
          </w:p>
        </w:tc>
      </w:tr>
      <w:tr w:rsidR="00C74511">
        <w:trPr>
          <w:jc w:val="center"/>
        </w:trPr>
        <w:tc>
          <w:tcPr>
            <w:tcW w:w="2397" w:type="dxa"/>
            <w:vAlign w:val="center"/>
          </w:tcPr>
          <w:p w:rsidR="00C74511" w:rsidRDefault="00517A6E">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C74511" w:rsidRDefault="00517A6E">
            <w:pPr>
              <w:jc w:val="center"/>
            </w:pPr>
            <w:r>
              <w:rPr>
                <w:rFonts w:eastAsiaTheme="minorEastAsia"/>
                <w:color w:val="000000" w:themeColor="text1"/>
                <w:szCs w:val="21"/>
              </w:rPr>
              <w:t>-</w:t>
            </w:r>
          </w:p>
        </w:tc>
        <w:tc>
          <w:tcPr>
            <w:tcW w:w="3118" w:type="dxa"/>
            <w:vAlign w:val="center"/>
          </w:tcPr>
          <w:p w:rsidR="00C74511" w:rsidRDefault="00517A6E">
            <w:pPr>
              <w:jc w:val="center"/>
            </w:pPr>
            <w:r>
              <w:rPr>
                <w:rFonts w:eastAsiaTheme="minorEastAsia"/>
                <w:color w:val="000000" w:themeColor="text1"/>
                <w:szCs w:val="21"/>
              </w:rPr>
              <w:t>-</w:t>
            </w:r>
          </w:p>
        </w:tc>
      </w:tr>
      <w:tr w:rsidR="00C74511">
        <w:trPr>
          <w:jc w:val="center"/>
        </w:trPr>
        <w:tc>
          <w:tcPr>
            <w:tcW w:w="2397" w:type="dxa"/>
            <w:vAlign w:val="center"/>
          </w:tcPr>
          <w:p w:rsidR="00C74511" w:rsidRDefault="00517A6E">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C74511" w:rsidRDefault="00517A6E">
            <w:pPr>
              <w:jc w:val="center"/>
            </w:pPr>
            <w:r>
              <w:rPr>
                <w:rFonts w:eastAsiaTheme="minorEastAsia"/>
                <w:color w:val="000000" w:themeColor="text1"/>
                <w:szCs w:val="21"/>
              </w:rPr>
              <w:t>-</w:t>
            </w:r>
          </w:p>
        </w:tc>
        <w:tc>
          <w:tcPr>
            <w:tcW w:w="3118" w:type="dxa"/>
            <w:vAlign w:val="center"/>
          </w:tcPr>
          <w:p w:rsidR="00C74511" w:rsidRDefault="00517A6E">
            <w:pPr>
              <w:jc w:val="center"/>
            </w:pPr>
            <w:r>
              <w:rPr>
                <w:rFonts w:eastAsiaTheme="minorEastAsia"/>
                <w:color w:val="000000" w:themeColor="text1"/>
                <w:szCs w:val="21"/>
              </w:rPr>
              <w:t>-</w:t>
            </w:r>
          </w:p>
        </w:tc>
      </w:tr>
      <w:tr w:rsidR="00C74511">
        <w:trPr>
          <w:jc w:val="center"/>
        </w:trPr>
        <w:tc>
          <w:tcPr>
            <w:tcW w:w="2397" w:type="dxa"/>
            <w:vAlign w:val="center"/>
          </w:tcPr>
          <w:p w:rsidR="00C74511" w:rsidRDefault="00517A6E">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C74511" w:rsidRDefault="00517A6E">
            <w:pPr>
              <w:jc w:val="center"/>
            </w:pPr>
            <w:r>
              <w:rPr>
                <w:rFonts w:eastAsiaTheme="minorEastAsia"/>
                <w:color w:val="000000" w:themeColor="text1"/>
                <w:szCs w:val="21"/>
              </w:rPr>
              <w:t>-</w:t>
            </w:r>
          </w:p>
        </w:tc>
        <w:tc>
          <w:tcPr>
            <w:tcW w:w="3118" w:type="dxa"/>
            <w:vAlign w:val="center"/>
          </w:tcPr>
          <w:p w:rsidR="00C74511" w:rsidRDefault="00517A6E">
            <w:pPr>
              <w:jc w:val="center"/>
            </w:pPr>
            <w:r>
              <w:rPr>
                <w:rFonts w:eastAsiaTheme="minorEastAsia"/>
                <w:color w:val="000000" w:themeColor="text1"/>
                <w:szCs w:val="21"/>
              </w:rPr>
              <w:t>-</w:t>
            </w:r>
          </w:p>
        </w:tc>
      </w:tr>
      <w:tr w:rsidR="00C74511">
        <w:trPr>
          <w:jc w:val="center"/>
        </w:trPr>
        <w:tc>
          <w:tcPr>
            <w:tcW w:w="2397" w:type="dxa"/>
            <w:vAlign w:val="center"/>
          </w:tcPr>
          <w:p w:rsidR="00C74511" w:rsidRDefault="00517A6E">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C74511" w:rsidRDefault="00517A6E">
            <w:pPr>
              <w:jc w:val="center"/>
            </w:pPr>
            <w:r>
              <w:rPr>
                <w:rFonts w:eastAsiaTheme="minorEastAsia"/>
                <w:color w:val="000000" w:themeColor="text1"/>
                <w:szCs w:val="21"/>
              </w:rPr>
              <w:t>-</w:t>
            </w:r>
          </w:p>
        </w:tc>
        <w:tc>
          <w:tcPr>
            <w:tcW w:w="3118" w:type="dxa"/>
            <w:vAlign w:val="center"/>
          </w:tcPr>
          <w:p w:rsidR="00C74511" w:rsidRDefault="00517A6E">
            <w:pPr>
              <w:jc w:val="center"/>
            </w:pPr>
            <w:r>
              <w:rPr>
                <w:rFonts w:eastAsiaTheme="minorEastAsia"/>
                <w:color w:val="000000" w:themeColor="text1"/>
                <w:szCs w:val="21"/>
              </w:rPr>
              <w:t>-</w:t>
            </w:r>
          </w:p>
        </w:tc>
      </w:tr>
      <w:tr w:rsidR="00C74511">
        <w:trPr>
          <w:jc w:val="center"/>
        </w:trPr>
        <w:tc>
          <w:tcPr>
            <w:tcW w:w="2397" w:type="dxa"/>
            <w:vAlign w:val="center"/>
          </w:tcPr>
          <w:p w:rsidR="00C74511" w:rsidRDefault="00517A6E">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C74511" w:rsidRDefault="00517A6E">
            <w:pPr>
              <w:jc w:val="center"/>
            </w:pPr>
            <w:r>
              <w:rPr>
                <w:rFonts w:eastAsiaTheme="minorEastAsia"/>
                <w:color w:val="000000" w:themeColor="text1"/>
                <w:szCs w:val="21"/>
              </w:rPr>
              <w:t>-</w:t>
            </w:r>
          </w:p>
        </w:tc>
        <w:tc>
          <w:tcPr>
            <w:tcW w:w="3118" w:type="dxa"/>
            <w:vAlign w:val="center"/>
          </w:tcPr>
          <w:p w:rsidR="00C74511" w:rsidRDefault="00517A6E">
            <w:pPr>
              <w:jc w:val="center"/>
            </w:pPr>
            <w:r>
              <w:rPr>
                <w:rFonts w:eastAsiaTheme="minorEastAsia"/>
                <w:color w:val="000000" w:themeColor="text1"/>
                <w:szCs w:val="21"/>
              </w:rPr>
              <w:t>-</w:t>
            </w:r>
          </w:p>
        </w:tc>
      </w:tr>
      <w:tr w:rsidR="00C74511">
        <w:trPr>
          <w:jc w:val="center"/>
        </w:trPr>
        <w:tc>
          <w:tcPr>
            <w:tcW w:w="2397" w:type="dxa"/>
            <w:vAlign w:val="center"/>
          </w:tcPr>
          <w:p w:rsidR="00C74511" w:rsidRDefault="00517A6E">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C74511" w:rsidRDefault="00517A6E">
            <w:pPr>
              <w:jc w:val="center"/>
            </w:pPr>
            <w:r>
              <w:rPr>
                <w:rFonts w:eastAsiaTheme="minorEastAsia"/>
                <w:color w:val="000000" w:themeColor="text1"/>
                <w:szCs w:val="21"/>
              </w:rPr>
              <w:t>-</w:t>
            </w:r>
          </w:p>
        </w:tc>
        <w:tc>
          <w:tcPr>
            <w:tcW w:w="3118" w:type="dxa"/>
            <w:vAlign w:val="center"/>
          </w:tcPr>
          <w:p w:rsidR="00C74511" w:rsidRDefault="00517A6E">
            <w:pPr>
              <w:jc w:val="center"/>
            </w:pPr>
            <w:r>
              <w:rPr>
                <w:rFonts w:eastAsiaTheme="minorEastAsia"/>
                <w:color w:val="000000" w:themeColor="text1"/>
                <w:szCs w:val="21"/>
              </w:rPr>
              <w:t>-</w:t>
            </w:r>
          </w:p>
        </w:tc>
      </w:tr>
      <w:tr w:rsidR="00C74511">
        <w:trPr>
          <w:jc w:val="center"/>
        </w:trPr>
        <w:tc>
          <w:tcPr>
            <w:tcW w:w="2397" w:type="dxa"/>
            <w:vAlign w:val="center"/>
          </w:tcPr>
          <w:p w:rsidR="00C74511" w:rsidRDefault="00517A6E">
            <w:pPr>
              <w:jc w:val="center"/>
            </w:pPr>
            <w:r>
              <w:rPr>
                <w:rFonts w:eastAsiaTheme="minorEastAsia"/>
                <w:color w:val="000000" w:themeColor="text1"/>
                <w:szCs w:val="21"/>
              </w:rPr>
              <w:lastRenderedPageBreak/>
              <w:t>I</w:t>
            </w:r>
            <w:r>
              <w:rPr>
                <w:rFonts w:eastAsiaTheme="minorEastAsia"/>
                <w:color w:val="000000" w:themeColor="text1"/>
                <w:szCs w:val="21"/>
              </w:rPr>
              <w:t>电信服务</w:t>
            </w:r>
          </w:p>
        </w:tc>
        <w:tc>
          <w:tcPr>
            <w:tcW w:w="3119" w:type="dxa"/>
            <w:vAlign w:val="center"/>
          </w:tcPr>
          <w:p w:rsidR="00C74511" w:rsidRDefault="00517A6E">
            <w:pPr>
              <w:jc w:val="center"/>
            </w:pPr>
            <w:r>
              <w:rPr>
                <w:rFonts w:eastAsiaTheme="minorEastAsia"/>
                <w:color w:val="000000" w:themeColor="text1"/>
                <w:szCs w:val="21"/>
              </w:rPr>
              <w:t>9,116,067.36</w:t>
            </w:r>
          </w:p>
        </w:tc>
        <w:tc>
          <w:tcPr>
            <w:tcW w:w="3118" w:type="dxa"/>
            <w:vAlign w:val="center"/>
          </w:tcPr>
          <w:p w:rsidR="00C74511" w:rsidRDefault="00517A6E">
            <w:pPr>
              <w:jc w:val="center"/>
            </w:pPr>
            <w:r>
              <w:rPr>
                <w:rFonts w:eastAsiaTheme="minorEastAsia"/>
                <w:color w:val="000000" w:themeColor="text1"/>
                <w:szCs w:val="21"/>
              </w:rPr>
              <w:t>2.66</w:t>
            </w:r>
          </w:p>
        </w:tc>
      </w:tr>
      <w:tr w:rsidR="00C74511">
        <w:trPr>
          <w:jc w:val="center"/>
        </w:trPr>
        <w:tc>
          <w:tcPr>
            <w:tcW w:w="2397" w:type="dxa"/>
            <w:vAlign w:val="center"/>
          </w:tcPr>
          <w:p w:rsidR="00C74511" w:rsidRDefault="00517A6E">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C74511" w:rsidRDefault="00517A6E">
            <w:pPr>
              <w:jc w:val="center"/>
            </w:pPr>
            <w:r>
              <w:rPr>
                <w:rFonts w:eastAsiaTheme="minorEastAsia"/>
                <w:color w:val="000000" w:themeColor="text1"/>
                <w:szCs w:val="21"/>
              </w:rPr>
              <w:t>-</w:t>
            </w:r>
          </w:p>
        </w:tc>
        <w:tc>
          <w:tcPr>
            <w:tcW w:w="3118" w:type="dxa"/>
            <w:vAlign w:val="center"/>
          </w:tcPr>
          <w:p w:rsidR="00C74511" w:rsidRDefault="00517A6E">
            <w:pPr>
              <w:jc w:val="center"/>
            </w:pPr>
            <w:r>
              <w:rPr>
                <w:rFonts w:eastAsiaTheme="minorEastAsia"/>
                <w:color w:val="000000" w:themeColor="text1"/>
                <w:szCs w:val="21"/>
              </w:rPr>
              <w:t>-</w:t>
            </w:r>
          </w:p>
        </w:tc>
      </w:tr>
      <w:tr w:rsidR="00C74511">
        <w:trPr>
          <w:jc w:val="center"/>
        </w:trPr>
        <w:tc>
          <w:tcPr>
            <w:tcW w:w="2397" w:type="dxa"/>
            <w:vAlign w:val="center"/>
          </w:tcPr>
          <w:p w:rsidR="00C74511" w:rsidRDefault="00517A6E">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C74511" w:rsidRDefault="00517A6E">
            <w:pPr>
              <w:jc w:val="center"/>
            </w:pPr>
            <w:r>
              <w:rPr>
                <w:rFonts w:eastAsiaTheme="minorEastAsia"/>
                <w:color w:val="000000" w:themeColor="text1"/>
                <w:szCs w:val="21"/>
              </w:rPr>
              <w:t>-</w:t>
            </w:r>
          </w:p>
        </w:tc>
        <w:tc>
          <w:tcPr>
            <w:tcW w:w="3118" w:type="dxa"/>
            <w:vAlign w:val="center"/>
          </w:tcPr>
          <w:p w:rsidR="00C74511" w:rsidRDefault="00517A6E">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16,460,500.32</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4.80</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74511">
        <w:tc>
          <w:tcPr>
            <w:tcW w:w="817" w:type="dxa"/>
            <w:vAlign w:val="center"/>
          </w:tcPr>
          <w:p w:rsidR="00C74511" w:rsidRDefault="00517A6E">
            <w:pPr>
              <w:jc w:val="center"/>
            </w:pPr>
            <w:r>
              <w:rPr>
                <w:rFonts w:eastAsiaTheme="minorEastAsia"/>
                <w:kern w:val="0"/>
                <w:szCs w:val="21"/>
              </w:rPr>
              <w:t>1</w:t>
            </w:r>
          </w:p>
        </w:tc>
        <w:tc>
          <w:tcPr>
            <w:tcW w:w="1276" w:type="dxa"/>
            <w:vAlign w:val="center"/>
          </w:tcPr>
          <w:p w:rsidR="00C74511" w:rsidRDefault="00517A6E">
            <w:pPr>
              <w:jc w:val="center"/>
            </w:pPr>
            <w:r>
              <w:rPr>
                <w:rFonts w:eastAsiaTheme="minorEastAsia"/>
                <w:kern w:val="0"/>
                <w:szCs w:val="21"/>
              </w:rPr>
              <w:t>000625</w:t>
            </w:r>
          </w:p>
        </w:tc>
        <w:tc>
          <w:tcPr>
            <w:tcW w:w="1701" w:type="dxa"/>
            <w:vAlign w:val="center"/>
          </w:tcPr>
          <w:p w:rsidR="00C74511" w:rsidRDefault="00517A6E">
            <w:pPr>
              <w:jc w:val="center"/>
            </w:pPr>
            <w:r>
              <w:rPr>
                <w:rFonts w:eastAsiaTheme="minorEastAsia"/>
                <w:kern w:val="0"/>
                <w:szCs w:val="21"/>
              </w:rPr>
              <w:t>长安汽车</w:t>
            </w:r>
          </w:p>
        </w:tc>
        <w:tc>
          <w:tcPr>
            <w:tcW w:w="1276" w:type="dxa"/>
            <w:vAlign w:val="center"/>
          </w:tcPr>
          <w:p w:rsidR="00C74511" w:rsidRDefault="00517A6E">
            <w:pPr>
              <w:jc w:val="right"/>
            </w:pPr>
            <w:r>
              <w:rPr>
                <w:rFonts w:eastAsiaTheme="minorEastAsia"/>
                <w:kern w:val="0"/>
                <w:szCs w:val="21"/>
              </w:rPr>
              <w:t>870,225.00</w:t>
            </w:r>
          </w:p>
        </w:tc>
        <w:tc>
          <w:tcPr>
            <w:tcW w:w="1842" w:type="dxa"/>
            <w:vAlign w:val="center"/>
          </w:tcPr>
          <w:p w:rsidR="00C74511" w:rsidRDefault="00517A6E">
            <w:pPr>
              <w:jc w:val="right"/>
            </w:pPr>
            <w:r>
              <w:rPr>
                <w:rFonts w:eastAsiaTheme="minorEastAsia"/>
                <w:kern w:val="0"/>
                <w:szCs w:val="21"/>
              </w:rPr>
              <w:t>14,619,780.00</w:t>
            </w:r>
          </w:p>
        </w:tc>
        <w:tc>
          <w:tcPr>
            <w:tcW w:w="1616" w:type="dxa"/>
            <w:vAlign w:val="center"/>
          </w:tcPr>
          <w:p w:rsidR="00C74511" w:rsidRDefault="00517A6E">
            <w:pPr>
              <w:jc w:val="right"/>
            </w:pPr>
            <w:r>
              <w:rPr>
                <w:rFonts w:eastAsiaTheme="minorEastAsia"/>
                <w:kern w:val="0"/>
                <w:szCs w:val="21"/>
              </w:rPr>
              <w:t>4.26</w:t>
            </w:r>
          </w:p>
        </w:tc>
      </w:tr>
      <w:tr w:rsidR="00C74511">
        <w:tc>
          <w:tcPr>
            <w:tcW w:w="817" w:type="dxa"/>
            <w:vAlign w:val="center"/>
          </w:tcPr>
          <w:p w:rsidR="00C74511" w:rsidRDefault="00517A6E">
            <w:pPr>
              <w:jc w:val="center"/>
            </w:pPr>
            <w:r>
              <w:rPr>
                <w:rFonts w:eastAsiaTheme="minorEastAsia"/>
                <w:kern w:val="0"/>
                <w:szCs w:val="21"/>
              </w:rPr>
              <w:t>2</w:t>
            </w:r>
          </w:p>
        </w:tc>
        <w:tc>
          <w:tcPr>
            <w:tcW w:w="1276" w:type="dxa"/>
            <w:vAlign w:val="center"/>
          </w:tcPr>
          <w:p w:rsidR="00C74511" w:rsidRDefault="00517A6E">
            <w:pPr>
              <w:jc w:val="center"/>
            </w:pPr>
            <w:r>
              <w:rPr>
                <w:rFonts w:eastAsiaTheme="minorEastAsia"/>
                <w:kern w:val="0"/>
                <w:szCs w:val="21"/>
              </w:rPr>
              <w:t>002557</w:t>
            </w:r>
          </w:p>
        </w:tc>
        <w:tc>
          <w:tcPr>
            <w:tcW w:w="1701" w:type="dxa"/>
            <w:vAlign w:val="center"/>
          </w:tcPr>
          <w:p w:rsidR="00C74511" w:rsidRDefault="00517A6E">
            <w:pPr>
              <w:jc w:val="center"/>
            </w:pPr>
            <w:r>
              <w:rPr>
                <w:rFonts w:eastAsiaTheme="minorEastAsia"/>
                <w:kern w:val="0"/>
                <w:szCs w:val="21"/>
              </w:rPr>
              <w:t>洽洽食品</w:t>
            </w:r>
          </w:p>
        </w:tc>
        <w:tc>
          <w:tcPr>
            <w:tcW w:w="1276" w:type="dxa"/>
            <w:vAlign w:val="center"/>
          </w:tcPr>
          <w:p w:rsidR="00C74511" w:rsidRDefault="00517A6E">
            <w:pPr>
              <w:jc w:val="right"/>
            </w:pPr>
            <w:r>
              <w:rPr>
                <w:rFonts w:eastAsiaTheme="minorEastAsia"/>
                <w:kern w:val="0"/>
                <w:szCs w:val="21"/>
              </w:rPr>
              <w:t>391,368.00</w:t>
            </w:r>
          </w:p>
        </w:tc>
        <w:tc>
          <w:tcPr>
            <w:tcW w:w="1842" w:type="dxa"/>
            <w:vAlign w:val="center"/>
          </w:tcPr>
          <w:p w:rsidR="00C74511" w:rsidRDefault="00517A6E">
            <w:pPr>
              <w:jc w:val="right"/>
            </w:pPr>
            <w:r>
              <w:rPr>
                <w:rFonts w:eastAsiaTheme="minorEastAsia"/>
                <w:kern w:val="0"/>
                <w:szCs w:val="21"/>
              </w:rPr>
              <w:t>14,331,896.16</w:t>
            </w:r>
          </w:p>
        </w:tc>
        <w:tc>
          <w:tcPr>
            <w:tcW w:w="1616" w:type="dxa"/>
            <w:vAlign w:val="center"/>
          </w:tcPr>
          <w:p w:rsidR="00C74511" w:rsidRDefault="00517A6E">
            <w:pPr>
              <w:jc w:val="right"/>
            </w:pPr>
            <w:r>
              <w:rPr>
                <w:rFonts w:eastAsiaTheme="minorEastAsia"/>
                <w:kern w:val="0"/>
                <w:szCs w:val="21"/>
              </w:rPr>
              <w:t>4.18</w:t>
            </w:r>
          </w:p>
        </w:tc>
      </w:tr>
      <w:tr w:rsidR="00C74511">
        <w:tc>
          <w:tcPr>
            <w:tcW w:w="817" w:type="dxa"/>
            <w:vAlign w:val="center"/>
          </w:tcPr>
          <w:p w:rsidR="00C74511" w:rsidRDefault="00517A6E">
            <w:pPr>
              <w:jc w:val="center"/>
            </w:pPr>
            <w:r>
              <w:rPr>
                <w:rFonts w:eastAsiaTheme="minorEastAsia"/>
                <w:kern w:val="0"/>
                <w:szCs w:val="21"/>
              </w:rPr>
              <w:t>3</w:t>
            </w:r>
          </w:p>
        </w:tc>
        <w:tc>
          <w:tcPr>
            <w:tcW w:w="1276" w:type="dxa"/>
            <w:vAlign w:val="center"/>
          </w:tcPr>
          <w:p w:rsidR="00C74511" w:rsidRDefault="00517A6E">
            <w:pPr>
              <w:jc w:val="center"/>
            </w:pPr>
            <w:r>
              <w:rPr>
                <w:rFonts w:eastAsiaTheme="minorEastAsia"/>
                <w:kern w:val="0"/>
                <w:szCs w:val="21"/>
              </w:rPr>
              <w:t>00700</w:t>
            </w:r>
          </w:p>
        </w:tc>
        <w:tc>
          <w:tcPr>
            <w:tcW w:w="1701" w:type="dxa"/>
            <w:vAlign w:val="center"/>
          </w:tcPr>
          <w:p w:rsidR="00C74511" w:rsidRDefault="00517A6E">
            <w:pPr>
              <w:jc w:val="center"/>
            </w:pPr>
            <w:r>
              <w:rPr>
                <w:rFonts w:eastAsiaTheme="minorEastAsia"/>
                <w:kern w:val="0"/>
                <w:szCs w:val="21"/>
              </w:rPr>
              <w:t>腾讯控股</w:t>
            </w:r>
          </w:p>
        </w:tc>
        <w:tc>
          <w:tcPr>
            <w:tcW w:w="1276" w:type="dxa"/>
            <w:vAlign w:val="center"/>
          </w:tcPr>
          <w:p w:rsidR="00C74511" w:rsidRDefault="00517A6E">
            <w:pPr>
              <w:jc w:val="right"/>
            </w:pPr>
            <w:r>
              <w:rPr>
                <w:rFonts w:eastAsiaTheme="minorEastAsia"/>
                <w:kern w:val="0"/>
                <w:szCs w:val="21"/>
              </w:rPr>
              <w:t>33,100.00</w:t>
            </w:r>
          </w:p>
        </w:tc>
        <w:tc>
          <w:tcPr>
            <w:tcW w:w="1842" w:type="dxa"/>
            <w:vAlign w:val="center"/>
          </w:tcPr>
          <w:p w:rsidR="00C74511" w:rsidRDefault="00517A6E">
            <w:pPr>
              <w:jc w:val="right"/>
            </w:pPr>
            <w:r>
              <w:rPr>
                <w:rFonts w:eastAsiaTheme="minorEastAsia"/>
                <w:kern w:val="0"/>
                <w:szCs w:val="21"/>
              </w:rPr>
              <w:t>9,116,067.36</w:t>
            </w:r>
          </w:p>
        </w:tc>
        <w:tc>
          <w:tcPr>
            <w:tcW w:w="1616" w:type="dxa"/>
            <w:vAlign w:val="center"/>
          </w:tcPr>
          <w:p w:rsidR="00C74511" w:rsidRDefault="00517A6E">
            <w:pPr>
              <w:jc w:val="right"/>
            </w:pPr>
            <w:r>
              <w:rPr>
                <w:rFonts w:eastAsiaTheme="minorEastAsia"/>
                <w:kern w:val="0"/>
                <w:szCs w:val="21"/>
              </w:rPr>
              <w:t>2.66</w:t>
            </w:r>
          </w:p>
        </w:tc>
      </w:tr>
      <w:tr w:rsidR="00C74511">
        <w:tc>
          <w:tcPr>
            <w:tcW w:w="817" w:type="dxa"/>
            <w:vAlign w:val="center"/>
          </w:tcPr>
          <w:p w:rsidR="00C74511" w:rsidRDefault="00517A6E">
            <w:pPr>
              <w:jc w:val="center"/>
            </w:pPr>
            <w:r>
              <w:rPr>
                <w:rFonts w:eastAsiaTheme="minorEastAsia"/>
                <w:kern w:val="0"/>
                <w:szCs w:val="21"/>
              </w:rPr>
              <w:t>4</w:t>
            </w:r>
          </w:p>
        </w:tc>
        <w:tc>
          <w:tcPr>
            <w:tcW w:w="1276" w:type="dxa"/>
            <w:vAlign w:val="center"/>
          </w:tcPr>
          <w:p w:rsidR="00C74511" w:rsidRDefault="00517A6E">
            <w:pPr>
              <w:jc w:val="center"/>
            </w:pPr>
            <w:r>
              <w:rPr>
                <w:rFonts w:eastAsiaTheme="minorEastAsia"/>
                <w:kern w:val="0"/>
                <w:szCs w:val="21"/>
              </w:rPr>
              <w:t>600483</w:t>
            </w:r>
          </w:p>
        </w:tc>
        <w:tc>
          <w:tcPr>
            <w:tcW w:w="1701" w:type="dxa"/>
            <w:vAlign w:val="center"/>
          </w:tcPr>
          <w:p w:rsidR="00C74511" w:rsidRDefault="00517A6E">
            <w:pPr>
              <w:jc w:val="center"/>
            </w:pPr>
            <w:r>
              <w:rPr>
                <w:rFonts w:eastAsiaTheme="minorEastAsia"/>
                <w:kern w:val="0"/>
                <w:szCs w:val="21"/>
              </w:rPr>
              <w:t>福能股份</w:t>
            </w:r>
          </w:p>
        </w:tc>
        <w:tc>
          <w:tcPr>
            <w:tcW w:w="1276" w:type="dxa"/>
            <w:vAlign w:val="center"/>
          </w:tcPr>
          <w:p w:rsidR="00C74511" w:rsidRDefault="00517A6E">
            <w:pPr>
              <w:jc w:val="right"/>
            </w:pPr>
            <w:r>
              <w:rPr>
                <w:rFonts w:eastAsiaTheme="minorEastAsia"/>
                <w:kern w:val="0"/>
                <w:szCs w:val="21"/>
              </w:rPr>
              <w:t>823,853.00</w:t>
            </w:r>
          </w:p>
        </w:tc>
        <w:tc>
          <w:tcPr>
            <w:tcW w:w="1842" w:type="dxa"/>
            <w:vAlign w:val="center"/>
          </w:tcPr>
          <w:p w:rsidR="00C74511" w:rsidRDefault="00517A6E">
            <w:pPr>
              <w:jc w:val="right"/>
            </w:pPr>
            <w:r>
              <w:rPr>
                <w:rFonts w:eastAsiaTheme="minorEastAsia"/>
                <w:kern w:val="0"/>
                <w:szCs w:val="21"/>
              </w:rPr>
              <w:t>8,675,172.09</w:t>
            </w:r>
          </w:p>
        </w:tc>
        <w:tc>
          <w:tcPr>
            <w:tcW w:w="1616" w:type="dxa"/>
            <w:vAlign w:val="center"/>
          </w:tcPr>
          <w:p w:rsidR="00C74511" w:rsidRDefault="00517A6E">
            <w:pPr>
              <w:jc w:val="right"/>
            </w:pPr>
            <w:r>
              <w:rPr>
                <w:rFonts w:eastAsiaTheme="minorEastAsia"/>
                <w:kern w:val="0"/>
                <w:szCs w:val="21"/>
              </w:rPr>
              <w:t>2.53</w:t>
            </w:r>
          </w:p>
        </w:tc>
      </w:tr>
      <w:tr w:rsidR="00C74511">
        <w:tc>
          <w:tcPr>
            <w:tcW w:w="817" w:type="dxa"/>
            <w:vAlign w:val="center"/>
          </w:tcPr>
          <w:p w:rsidR="00C74511" w:rsidRDefault="00517A6E">
            <w:pPr>
              <w:jc w:val="center"/>
            </w:pPr>
            <w:r>
              <w:rPr>
                <w:rFonts w:eastAsiaTheme="minorEastAsia"/>
                <w:kern w:val="0"/>
                <w:szCs w:val="21"/>
              </w:rPr>
              <w:t>5</w:t>
            </w:r>
          </w:p>
        </w:tc>
        <w:tc>
          <w:tcPr>
            <w:tcW w:w="1276" w:type="dxa"/>
            <w:vAlign w:val="center"/>
          </w:tcPr>
          <w:p w:rsidR="00C74511" w:rsidRDefault="00517A6E">
            <w:pPr>
              <w:jc w:val="center"/>
            </w:pPr>
            <w:r>
              <w:rPr>
                <w:rFonts w:eastAsiaTheme="minorEastAsia"/>
                <w:kern w:val="0"/>
                <w:szCs w:val="21"/>
              </w:rPr>
              <w:t>03998</w:t>
            </w:r>
          </w:p>
        </w:tc>
        <w:tc>
          <w:tcPr>
            <w:tcW w:w="1701" w:type="dxa"/>
            <w:vAlign w:val="center"/>
          </w:tcPr>
          <w:p w:rsidR="00C74511" w:rsidRDefault="00517A6E">
            <w:pPr>
              <w:jc w:val="center"/>
            </w:pPr>
            <w:r>
              <w:rPr>
                <w:rFonts w:eastAsiaTheme="minorEastAsia"/>
                <w:kern w:val="0"/>
                <w:szCs w:val="21"/>
              </w:rPr>
              <w:t>波司登</w:t>
            </w:r>
          </w:p>
        </w:tc>
        <w:tc>
          <w:tcPr>
            <w:tcW w:w="1276" w:type="dxa"/>
            <w:vAlign w:val="center"/>
          </w:tcPr>
          <w:p w:rsidR="00C74511" w:rsidRDefault="00517A6E">
            <w:pPr>
              <w:jc w:val="right"/>
            </w:pPr>
            <w:r>
              <w:rPr>
                <w:rFonts w:eastAsiaTheme="minorEastAsia"/>
                <w:kern w:val="0"/>
                <w:szCs w:val="21"/>
              </w:rPr>
              <w:t>2,072,000.00</w:t>
            </w:r>
          </w:p>
        </w:tc>
        <w:tc>
          <w:tcPr>
            <w:tcW w:w="1842" w:type="dxa"/>
            <w:vAlign w:val="center"/>
          </w:tcPr>
          <w:p w:rsidR="00C74511" w:rsidRDefault="00517A6E">
            <w:pPr>
              <w:jc w:val="right"/>
            </w:pPr>
            <w:r>
              <w:rPr>
                <w:rFonts w:eastAsiaTheme="minorEastAsia"/>
                <w:kern w:val="0"/>
                <w:szCs w:val="21"/>
              </w:rPr>
              <w:t>7,344,432.96</w:t>
            </w:r>
          </w:p>
        </w:tc>
        <w:tc>
          <w:tcPr>
            <w:tcW w:w="1616" w:type="dxa"/>
            <w:vAlign w:val="center"/>
          </w:tcPr>
          <w:p w:rsidR="00C74511" w:rsidRDefault="00517A6E">
            <w:pPr>
              <w:jc w:val="right"/>
            </w:pPr>
            <w:r>
              <w:rPr>
                <w:rFonts w:eastAsiaTheme="minorEastAsia"/>
                <w:kern w:val="0"/>
                <w:szCs w:val="21"/>
              </w:rPr>
              <w:t>2.14</w:t>
            </w:r>
          </w:p>
        </w:tc>
      </w:tr>
      <w:tr w:rsidR="00C74511">
        <w:tc>
          <w:tcPr>
            <w:tcW w:w="817" w:type="dxa"/>
            <w:vAlign w:val="center"/>
          </w:tcPr>
          <w:p w:rsidR="00C74511" w:rsidRDefault="00517A6E">
            <w:pPr>
              <w:jc w:val="center"/>
            </w:pPr>
            <w:r>
              <w:rPr>
                <w:rFonts w:eastAsiaTheme="minorEastAsia"/>
                <w:kern w:val="0"/>
                <w:szCs w:val="21"/>
              </w:rPr>
              <w:t>6</w:t>
            </w:r>
          </w:p>
        </w:tc>
        <w:tc>
          <w:tcPr>
            <w:tcW w:w="1276" w:type="dxa"/>
            <w:vAlign w:val="center"/>
          </w:tcPr>
          <w:p w:rsidR="00C74511" w:rsidRDefault="00517A6E">
            <w:pPr>
              <w:jc w:val="center"/>
            </w:pPr>
            <w:r>
              <w:rPr>
                <w:rFonts w:eastAsiaTheme="minorEastAsia"/>
                <w:kern w:val="0"/>
                <w:szCs w:val="21"/>
              </w:rPr>
              <w:t>603713</w:t>
            </w:r>
          </w:p>
        </w:tc>
        <w:tc>
          <w:tcPr>
            <w:tcW w:w="1701" w:type="dxa"/>
            <w:vAlign w:val="center"/>
          </w:tcPr>
          <w:p w:rsidR="00C74511" w:rsidRDefault="00517A6E">
            <w:pPr>
              <w:jc w:val="center"/>
            </w:pPr>
            <w:r>
              <w:rPr>
                <w:rFonts w:eastAsiaTheme="minorEastAsia"/>
                <w:kern w:val="0"/>
                <w:szCs w:val="21"/>
              </w:rPr>
              <w:t>密尔克卫</w:t>
            </w:r>
          </w:p>
        </w:tc>
        <w:tc>
          <w:tcPr>
            <w:tcW w:w="1276" w:type="dxa"/>
            <w:vAlign w:val="center"/>
          </w:tcPr>
          <w:p w:rsidR="00C74511" w:rsidRDefault="00517A6E">
            <w:pPr>
              <w:jc w:val="right"/>
            </w:pPr>
            <w:r>
              <w:rPr>
                <w:rFonts w:eastAsiaTheme="minorEastAsia"/>
                <w:kern w:val="0"/>
                <w:szCs w:val="21"/>
              </w:rPr>
              <w:t>104,403.00</w:t>
            </w:r>
          </w:p>
        </w:tc>
        <w:tc>
          <w:tcPr>
            <w:tcW w:w="1842" w:type="dxa"/>
            <w:vAlign w:val="center"/>
          </w:tcPr>
          <w:p w:rsidR="00C74511" w:rsidRDefault="00517A6E">
            <w:pPr>
              <w:jc w:val="right"/>
            </w:pPr>
            <w:r>
              <w:rPr>
                <w:rFonts w:eastAsiaTheme="minorEastAsia"/>
                <w:kern w:val="0"/>
                <w:szCs w:val="21"/>
              </w:rPr>
              <w:t>5,057,281.32</w:t>
            </w:r>
          </w:p>
        </w:tc>
        <w:tc>
          <w:tcPr>
            <w:tcW w:w="1616" w:type="dxa"/>
            <w:vAlign w:val="center"/>
          </w:tcPr>
          <w:p w:rsidR="00C74511" w:rsidRDefault="00517A6E">
            <w:pPr>
              <w:jc w:val="right"/>
            </w:pPr>
            <w:r>
              <w:rPr>
                <w:rFonts w:eastAsiaTheme="minorEastAsia"/>
                <w:kern w:val="0"/>
                <w:szCs w:val="21"/>
              </w:rPr>
              <w:t>1.48</w:t>
            </w:r>
          </w:p>
        </w:tc>
      </w:tr>
      <w:tr w:rsidR="00C74511">
        <w:tc>
          <w:tcPr>
            <w:tcW w:w="817" w:type="dxa"/>
            <w:vAlign w:val="center"/>
          </w:tcPr>
          <w:p w:rsidR="00C74511" w:rsidRDefault="00517A6E">
            <w:pPr>
              <w:jc w:val="center"/>
            </w:pPr>
            <w:r>
              <w:rPr>
                <w:rFonts w:eastAsiaTheme="minorEastAsia"/>
                <w:kern w:val="0"/>
                <w:szCs w:val="21"/>
              </w:rPr>
              <w:t>7</w:t>
            </w:r>
          </w:p>
        </w:tc>
        <w:tc>
          <w:tcPr>
            <w:tcW w:w="1276" w:type="dxa"/>
            <w:vAlign w:val="center"/>
          </w:tcPr>
          <w:p w:rsidR="00C74511" w:rsidRDefault="00517A6E">
            <w:pPr>
              <w:jc w:val="center"/>
            </w:pPr>
            <w:r>
              <w:rPr>
                <w:rFonts w:eastAsiaTheme="minorEastAsia"/>
                <w:kern w:val="0"/>
                <w:szCs w:val="21"/>
              </w:rPr>
              <w:t>600008</w:t>
            </w:r>
          </w:p>
        </w:tc>
        <w:tc>
          <w:tcPr>
            <w:tcW w:w="1701" w:type="dxa"/>
            <w:vAlign w:val="center"/>
          </w:tcPr>
          <w:p w:rsidR="00C74511" w:rsidRDefault="00517A6E">
            <w:pPr>
              <w:jc w:val="center"/>
            </w:pPr>
            <w:r>
              <w:rPr>
                <w:rFonts w:eastAsiaTheme="minorEastAsia"/>
                <w:kern w:val="0"/>
                <w:szCs w:val="21"/>
              </w:rPr>
              <w:t>首创环保</w:t>
            </w:r>
          </w:p>
        </w:tc>
        <w:tc>
          <w:tcPr>
            <w:tcW w:w="1276" w:type="dxa"/>
            <w:vAlign w:val="center"/>
          </w:tcPr>
          <w:p w:rsidR="00C74511" w:rsidRDefault="00517A6E">
            <w:pPr>
              <w:jc w:val="right"/>
            </w:pPr>
            <w:r>
              <w:rPr>
                <w:rFonts w:eastAsiaTheme="minorEastAsia"/>
                <w:kern w:val="0"/>
                <w:szCs w:val="21"/>
              </w:rPr>
              <w:t>1,770,884.00</w:t>
            </w:r>
          </w:p>
        </w:tc>
        <w:tc>
          <w:tcPr>
            <w:tcW w:w="1842" w:type="dxa"/>
            <w:vAlign w:val="center"/>
          </w:tcPr>
          <w:p w:rsidR="00C74511" w:rsidRDefault="00517A6E">
            <w:pPr>
              <w:jc w:val="right"/>
            </w:pPr>
            <w:r>
              <w:rPr>
                <w:rFonts w:eastAsiaTheme="minorEastAsia"/>
                <w:kern w:val="0"/>
                <w:szCs w:val="21"/>
              </w:rPr>
              <w:t>4,923,057.52</w:t>
            </w:r>
          </w:p>
        </w:tc>
        <w:tc>
          <w:tcPr>
            <w:tcW w:w="1616" w:type="dxa"/>
            <w:vAlign w:val="center"/>
          </w:tcPr>
          <w:p w:rsidR="00C74511" w:rsidRDefault="00517A6E">
            <w:pPr>
              <w:jc w:val="right"/>
            </w:pPr>
            <w:r>
              <w:rPr>
                <w:rFonts w:eastAsiaTheme="minorEastAsia"/>
                <w:kern w:val="0"/>
                <w:szCs w:val="21"/>
              </w:rPr>
              <w:t>1.44</w:t>
            </w:r>
          </w:p>
        </w:tc>
      </w:tr>
      <w:tr w:rsidR="00C74511">
        <w:tc>
          <w:tcPr>
            <w:tcW w:w="817" w:type="dxa"/>
            <w:vAlign w:val="center"/>
          </w:tcPr>
          <w:p w:rsidR="00C74511" w:rsidRDefault="00517A6E">
            <w:pPr>
              <w:jc w:val="center"/>
            </w:pPr>
            <w:r>
              <w:rPr>
                <w:rFonts w:eastAsiaTheme="minorEastAsia"/>
                <w:kern w:val="0"/>
                <w:szCs w:val="21"/>
              </w:rPr>
              <w:t>8</w:t>
            </w:r>
          </w:p>
        </w:tc>
        <w:tc>
          <w:tcPr>
            <w:tcW w:w="1276" w:type="dxa"/>
            <w:vAlign w:val="center"/>
          </w:tcPr>
          <w:p w:rsidR="00C74511" w:rsidRDefault="00517A6E">
            <w:pPr>
              <w:jc w:val="center"/>
            </w:pPr>
            <w:r>
              <w:rPr>
                <w:rFonts w:eastAsiaTheme="minorEastAsia"/>
                <w:kern w:val="0"/>
                <w:szCs w:val="21"/>
              </w:rPr>
              <w:t>002541</w:t>
            </w:r>
          </w:p>
        </w:tc>
        <w:tc>
          <w:tcPr>
            <w:tcW w:w="1701" w:type="dxa"/>
            <w:vAlign w:val="center"/>
          </w:tcPr>
          <w:p w:rsidR="00C74511" w:rsidRDefault="00517A6E">
            <w:pPr>
              <w:jc w:val="center"/>
            </w:pPr>
            <w:r>
              <w:rPr>
                <w:rFonts w:eastAsiaTheme="minorEastAsia"/>
                <w:kern w:val="0"/>
                <w:szCs w:val="21"/>
              </w:rPr>
              <w:t>鸿路钢构</w:t>
            </w:r>
          </w:p>
        </w:tc>
        <w:tc>
          <w:tcPr>
            <w:tcW w:w="1276" w:type="dxa"/>
            <w:vAlign w:val="center"/>
          </w:tcPr>
          <w:p w:rsidR="00C74511" w:rsidRDefault="00517A6E">
            <w:pPr>
              <w:jc w:val="right"/>
            </w:pPr>
            <w:r>
              <w:rPr>
                <w:rFonts w:eastAsiaTheme="minorEastAsia"/>
                <w:kern w:val="0"/>
                <w:szCs w:val="21"/>
              </w:rPr>
              <w:t>278,185.00</w:t>
            </w:r>
          </w:p>
        </w:tc>
        <w:tc>
          <w:tcPr>
            <w:tcW w:w="1842" w:type="dxa"/>
            <w:vAlign w:val="center"/>
          </w:tcPr>
          <w:p w:rsidR="00C74511" w:rsidRDefault="00517A6E">
            <w:pPr>
              <w:jc w:val="right"/>
            </w:pPr>
            <w:r>
              <w:rPr>
                <w:rFonts w:eastAsiaTheme="minorEastAsia"/>
                <w:kern w:val="0"/>
                <w:szCs w:val="21"/>
              </w:rPr>
              <w:t>4,158,865.75</w:t>
            </w:r>
          </w:p>
        </w:tc>
        <w:tc>
          <w:tcPr>
            <w:tcW w:w="1616" w:type="dxa"/>
            <w:vAlign w:val="center"/>
          </w:tcPr>
          <w:p w:rsidR="00C74511" w:rsidRDefault="00517A6E">
            <w:pPr>
              <w:jc w:val="right"/>
            </w:pPr>
            <w:r>
              <w:rPr>
                <w:rFonts w:eastAsiaTheme="minorEastAsia"/>
                <w:kern w:val="0"/>
                <w:szCs w:val="21"/>
              </w:rPr>
              <w:t>1.21</w:t>
            </w:r>
          </w:p>
        </w:tc>
      </w:tr>
      <w:tr w:rsidR="00C74511">
        <w:tc>
          <w:tcPr>
            <w:tcW w:w="817" w:type="dxa"/>
            <w:vAlign w:val="center"/>
          </w:tcPr>
          <w:p w:rsidR="00C74511" w:rsidRDefault="00517A6E">
            <w:pPr>
              <w:jc w:val="center"/>
            </w:pPr>
            <w:r>
              <w:rPr>
                <w:rFonts w:eastAsiaTheme="minorEastAsia"/>
                <w:kern w:val="0"/>
                <w:szCs w:val="21"/>
              </w:rPr>
              <w:t>9</w:t>
            </w:r>
          </w:p>
        </w:tc>
        <w:tc>
          <w:tcPr>
            <w:tcW w:w="1276" w:type="dxa"/>
            <w:vAlign w:val="center"/>
          </w:tcPr>
          <w:p w:rsidR="00C74511" w:rsidRDefault="00517A6E">
            <w:pPr>
              <w:jc w:val="center"/>
            </w:pPr>
            <w:r>
              <w:rPr>
                <w:rFonts w:eastAsiaTheme="minorEastAsia"/>
                <w:kern w:val="0"/>
                <w:szCs w:val="21"/>
              </w:rPr>
              <w:t>600426</w:t>
            </w:r>
          </w:p>
        </w:tc>
        <w:tc>
          <w:tcPr>
            <w:tcW w:w="1701" w:type="dxa"/>
            <w:vAlign w:val="center"/>
          </w:tcPr>
          <w:p w:rsidR="00C74511" w:rsidRDefault="00517A6E">
            <w:pPr>
              <w:jc w:val="center"/>
            </w:pPr>
            <w:r>
              <w:rPr>
                <w:rFonts w:eastAsiaTheme="minorEastAsia"/>
                <w:kern w:val="0"/>
                <w:szCs w:val="21"/>
              </w:rPr>
              <w:t>华鲁恒升</w:t>
            </w:r>
          </w:p>
        </w:tc>
        <w:tc>
          <w:tcPr>
            <w:tcW w:w="1276" w:type="dxa"/>
            <w:vAlign w:val="center"/>
          </w:tcPr>
          <w:p w:rsidR="00C74511" w:rsidRDefault="00517A6E">
            <w:pPr>
              <w:jc w:val="right"/>
            </w:pPr>
            <w:r>
              <w:rPr>
                <w:rFonts w:eastAsiaTheme="minorEastAsia"/>
                <w:kern w:val="0"/>
                <w:szCs w:val="21"/>
              </w:rPr>
              <w:t>156,447.00</w:t>
            </w:r>
          </w:p>
        </w:tc>
        <w:tc>
          <w:tcPr>
            <w:tcW w:w="1842" w:type="dxa"/>
            <w:vAlign w:val="center"/>
          </w:tcPr>
          <w:p w:rsidR="00C74511" w:rsidRDefault="00517A6E">
            <w:pPr>
              <w:jc w:val="right"/>
            </w:pPr>
            <w:r>
              <w:rPr>
                <w:rFonts w:eastAsiaTheme="minorEastAsia"/>
                <w:kern w:val="0"/>
                <w:szCs w:val="21"/>
              </w:rPr>
              <w:t>4,092,653.52</w:t>
            </w:r>
          </w:p>
        </w:tc>
        <w:tc>
          <w:tcPr>
            <w:tcW w:w="1616" w:type="dxa"/>
            <w:vAlign w:val="center"/>
          </w:tcPr>
          <w:p w:rsidR="00C74511" w:rsidRDefault="00517A6E">
            <w:pPr>
              <w:jc w:val="right"/>
            </w:pPr>
            <w:r>
              <w:rPr>
                <w:rFonts w:eastAsiaTheme="minorEastAsia"/>
                <w:kern w:val="0"/>
                <w:szCs w:val="21"/>
              </w:rPr>
              <w:t>1.19</w:t>
            </w:r>
          </w:p>
        </w:tc>
      </w:tr>
      <w:tr w:rsidR="00C74511">
        <w:tc>
          <w:tcPr>
            <w:tcW w:w="817" w:type="dxa"/>
            <w:vAlign w:val="center"/>
          </w:tcPr>
          <w:p w:rsidR="00C74511" w:rsidRDefault="00517A6E">
            <w:pPr>
              <w:jc w:val="center"/>
            </w:pPr>
            <w:r>
              <w:rPr>
                <w:rFonts w:eastAsiaTheme="minorEastAsia"/>
                <w:kern w:val="0"/>
                <w:szCs w:val="21"/>
              </w:rPr>
              <w:t>10</w:t>
            </w:r>
          </w:p>
        </w:tc>
        <w:tc>
          <w:tcPr>
            <w:tcW w:w="1276" w:type="dxa"/>
            <w:vAlign w:val="center"/>
          </w:tcPr>
          <w:p w:rsidR="00C74511" w:rsidRDefault="00517A6E">
            <w:pPr>
              <w:jc w:val="center"/>
            </w:pPr>
            <w:r>
              <w:rPr>
                <w:rFonts w:eastAsiaTheme="minorEastAsia"/>
                <w:kern w:val="0"/>
                <w:szCs w:val="21"/>
              </w:rPr>
              <w:t>600021</w:t>
            </w:r>
          </w:p>
        </w:tc>
        <w:tc>
          <w:tcPr>
            <w:tcW w:w="1701" w:type="dxa"/>
            <w:vAlign w:val="center"/>
          </w:tcPr>
          <w:p w:rsidR="00C74511" w:rsidRDefault="00517A6E">
            <w:pPr>
              <w:jc w:val="center"/>
            </w:pPr>
            <w:r>
              <w:rPr>
                <w:rFonts w:eastAsiaTheme="minorEastAsia"/>
                <w:kern w:val="0"/>
                <w:szCs w:val="21"/>
              </w:rPr>
              <w:t>上海电力</w:t>
            </w:r>
          </w:p>
        </w:tc>
        <w:tc>
          <w:tcPr>
            <w:tcW w:w="1276" w:type="dxa"/>
            <w:vAlign w:val="center"/>
          </w:tcPr>
          <w:p w:rsidR="00C74511" w:rsidRDefault="00517A6E">
            <w:pPr>
              <w:jc w:val="right"/>
            </w:pPr>
            <w:r>
              <w:rPr>
                <w:rFonts w:eastAsiaTheme="minorEastAsia"/>
                <w:kern w:val="0"/>
                <w:szCs w:val="21"/>
              </w:rPr>
              <w:t>411,288.00</w:t>
            </w:r>
          </w:p>
        </w:tc>
        <w:tc>
          <w:tcPr>
            <w:tcW w:w="1842" w:type="dxa"/>
            <w:vAlign w:val="center"/>
          </w:tcPr>
          <w:p w:rsidR="00C74511" w:rsidRDefault="00517A6E">
            <w:pPr>
              <w:jc w:val="right"/>
            </w:pPr>
            <w:r>
              <w:rPr>
                <w:rFonts w:eastAsiaTheme="minorEastAsia"/>
                <w:kern w:val="0"/>
                <w:szCs w:val="21"/>
              </w:rPr>
              <w:t>3,569,979.84</w:t>
            </w:r>
          </w:p>
        </w:tc>
        <w:tc>
          <w:tcPr>
            <w:tcW w:w="1616" w:type="dxa"/>
            <w:vAlign w:val="center"/>
          </w:tcPr>
          <w:p w:rsidR="00C74511" w:rsidRDefault="00517A6E">
            <w:pPr>
              <w:jc w:val="right"/>
            </w:pPr>
            <w:r>
              <w:rPr>
                <w:rFonts w:eastAsiaTheme="minorEastAsia"/>
                <w:kern w:val="0"/>
                <w:szCs w:val="21"/>
              </w:rPr>
              <w:t>1.04</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20,563,136.61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91,469,084.17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26.68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66,640,480.99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29,669,502.18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44,348,934.02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252,691,137.97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73.70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C74511">
        <w:tc>
          <w:tcPr>
            <w:tcW w:w="1504" w:type="dxa"/>
            <w:vAlign w:val="center"/>
          </w:tcPr>
          <w:p w:rsidR="00C74511" w:rsidRDefault="00517A6E">
            <w:pPr>
              <w:jc w:val="center"/>
            </w:pPr>
            <w:r>
              <w:rPr>
                <w:rFonts w:eastAsiaTheme="minorEastAsia"/>
                <w:color w:val="000000" w:themeColor="text1"/>
                <w:szCs w:val="21"/>
              </w:rPr>
              <w:t>1</w:t>
            </w:r>
          </w:p>
        </w:tc>
        <w:tc>
          <w:tcPr>
            <w:tcW w:w="1504" w:type="dxa"/>
            <w:vAlign w:val="center"/>
          </w:tcPr>
          <w:p w:rsidR="00C74511" w:rsidRDefault="00517A6E">
            <w:pPr>
              <w:jc w:val="center"/>
            </w:pPr>
            <w:r>
              <w:rPr>
                <w:rFonts w:eastAsiaTheme="minorEastAsia"/>
                <w:color w:val="000000" w:themeColor="text1"/>
                <w:szCs w:val="21"/>
              </w:rPr>
              <w:t>210004</w:t>
            </w:r>
          </w:p>
        </w:tc>
        <w:tc>
          <w:tcPr>
            <w:tcW w:w="1504" w:type="dxa"/>
            <w:vAlign w:val="center"/>
          </w:tcPr>
          <w:p w:rsidR="00C74511" w:rsidRDefault="00517A6E">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C74511" w:rsidRDefault="00517A6E">
            <w:pPr>
              <w:jc w:val="right"/>
            </w:pPr>
            <w:r>
              <w:rPr>
                <w:rFonts w:eastAsiaTheme="minorEastAsia"/>
                <w:color w:val="000000" w:themeColor="text1"/>
                <w:szCs w:val="21"/>
              </w:rPr>
              <w:t>200,000</w:t>
            </w:r>
          </w:p>
        </w:tc>
        <w:tc>
          <w:tcPr>
            <w:tcW w:w="1503" w:type="dxa"/>
            <w:vAlign w:val="center"/>
          </w:tcPr>
          <w:p w:rsidR="00C74511" w:rsidRDefault="00517A6E">
            <w:pPr>
              <w:jc w:val="right"/>
            </w:pPr>
            <w:r>
              <w:rPr>
                <w:rFonts w:eastAsiaTheme="minorEastAsia"/>
                <w:color w:val="000000" w:themeColor="text1"/>
                <w:szCs w:val="21"/>
              </w:rPr>
              <w:t>20,563,136.61</w:t>
            </w:r>
          </w:p>
        </w:tc>
        <w:tc>
          <w:tcPr>
            <w:tcW w:w="1503" w:type="dxa"/>
            <w:vAlign w:val="center"/>
          </w:tcPr>
          <w:p w:rsidR="00C74511" w:rsidRDefault="00517A6E">
            <w:pPr>
              <w:jc w:val="right"/>
            </w:pPr>
            <w:r>
              <w:rPr>
                <w:rFonts w:eastAsiaTheme="minorEastAsia"/>
                <w:color w:val="000000" w:themeColor="text1"/>
                <w:szCs w:val="21"/>
              </w:rPr>
              <w:t>6.00</w:t>
            </w:r>
          </w:p>
        </w:tc>
      </w:tr>
      <w:tr w:rsidR="00C74511">
        <w:tc>
          <w:tcPr>
            <w:tcW w:w="1504" w:type="dxa"/>
            <w:vAlign w:val="center"/>
          </w:tcPr>
          <w:p w:rsidR="00C74511" w:rsidRDefault="00517A6E">
            <w:pPr>
              <w:jc w:val="center"/>
            </w:pPr>
            <w:r>
              <w:rPr>
                <w:rFonts w:eastAsiaTheme="minorEastAsia"/>
                <w:color w:val="000000" w:themeColor="text1"/>
                <w:szCs w:val="21"/>
              </w:rPr>
              <w:t>2</w:t>
            </w:r>
          </w:p>
        </w:tc>
        <w:tc>
          <w:tcPr>
            <w:tcW w:w="1504" w:type="dxa"/>
            <w:vAlign w:val="center"/>
          </w:tcPr>
          <w:p w:rsidR="00C74511" w:rsidRDefault="00517A6E">
            <w:pPr>
              <w:jc w:val="center"/>
            </w:pPr>
            <w:r>
              <w:rPr>
                <w:rFonts w:eastAsiaTheme="minorEastAsia"/>
                <w:color w:val="000000" w:themeColor="text1"/>
                <w:szCs w:val="21"/>
              </w:rPr>
              <w:t>138806</w:t>
            </w:r>
          </w:p>
        </w:tc>
        <w:tc>
          <w:tcPr>
            <w:tcW w:w="1504" w:type="dxa"/>
            <w:vAlign w:val="center"/>
          </w:tcPr>
          <w:p w:rsidR="00C74511" w:rsidRDefault="00517A6E">
            <w:pPr>
              <w:jc w:val="center"/>
            </w:pPr>
            <w:r>
              <w:rPr>
                <w:rFonts w:eastAsiaTheme="minorEastAsia"/>
                <w:color w:val="000000" w:themeColor="text1"/>
                <w:szCs w:val="21"/>
              </w:rPr>
              <w:t>23</w:t>
            </w:r>
            <w:r>
              <w:rPr>
                <w:rFonts w:eastAsiaTheme="minorEastAsia"/>
                <w:color w:val="000000" w:themeColor="text1"/>
                <w:szCs w:val="21"/>
              </w:rPr>
              <w:t>国君</w:t>
            </w:r>
            <w:r>
              <w:rPr>
                <w:rFonts w:eastAsiaTheme="minorEastAsia"/>
                <w:color w:val="000000" w:themeColor="text1"/>
                <w:szCs w:val="21"/>
              </w:rPr>
              <w:t>G1</w:t>
            </w:r>
          </w:p>
        </w:tc>
        <w:tc>
          <w:tcPr>
            <w:tcW w:w="1503" w:type="dxa"/>
            <w:vAlign w:val="center"/>
          </w:tcPr>
          <w:p w:rsidR="00C74511" w:rsidRDefault="00517A6E">
            <w:pPr>
              <w:jc w:val="right"/>
            </w:pPr>
            <w:r>
              <w:rPr>
                <w:rFonts w:eastAsiaTheme="minorEastAsia"/>
                <w:color w:val="000000" w:themeColor="text1"/>
                <w:szCs w:val="21"/>
              </w:rPr>
              <w:t>180,000</w:t>
            </w:r>
          </w:p>
        </w:tc>
        <w:tc>
          <w:tcPr>
            <w:tcW w:w="1503" w:type="dxa"/>
            <w:vAlign w:val="center"/>
          </w:tcPr>
          <w:p w:rsidR="00C74511" w:rsidRDefault="00517A6E">
            <w:pPr>
              <w:jc w:val="right"/>
            </w:pPr>
            <w:r>
              <w:rPr>
                <w:rFonts w:eastAsiaTheme="minorEastAsia"/>
                <w:color w:val="000000" w:themeColor="text1"/>
                <w:szCs w:val="21"/>
              </w:rPr>
              <w:t>18,191,016.99</w:t>
            </w:r>
          </w:p>
        </w:tc>
        <w:tc>
          <w:tcPr>
            <w:tcW w:w="1503" w:type="dxa"/>
            <w:vAlign w:val="center"/>
          </w:tcPr>
          <w:p w:rsidR="00C74511" w:rsidRDefault="00517A6E">
            <w:pPr>
              <w:jc w:val="right"/>
            </w:pPr>
            <w:r>
              <w:rPr>
                <w:rFonts w:eastAsiaTheme="minorEastAsia"/>
                <w:color w:val="000000" w:themeColor="text1"/>
                <w:szCs w:val="21"/>
              </w:rPr>
              <w:t>5.31</w:t>
            </w:r>
          </w:p>
        </w:tc>
      </w:tr>
      <w:tr w:rsidR="00C74511">
        <w:tc>
          <w:tcPr>
            <w:tcW w:w="1504" w:type="dxa"/>
            <w:vAlign w:val="center"/>
          </w:tcPr>
          <w:p w:rsidR="00C74511" w:rsidRDefault="00517A6E">
            <w:pPr>
              <w:jc w:val="center"/>
            </w:pPr>
            <w:r>
              <w:rPr>
                <w:rFonts w:eastAsiaTheme="minorEastAsia"/>
                <w:color w:val="000000" w:themeColor="text1"/>
                <w:szCs w:val="21"/>
              </w:rPr>
              <w:t>3</w:t>
            </w:r>
          </w:p>
        </w:tc>
        <w:tc>
          <w:tcPr>
            <w:tcW w:w="1504" w:type="dxa"/>
            <w:vAlign w:val="center"/>
          </w:tcPr>
          <w:p w:rsidR="00C74511" w:rsidRDefault="00517A6E">
            <w:pPr>
              <w:jc w:val="center"/>
            </w:pPr>
            <w:r>
              <w:rPr>
                <w:rFonts w:eastAsiaTheme="minorEastAsia"/>
                <w:color w:val="000000" w:themeColor="text1"/>
                <w:szCs w:val="21"/>
              </w:rPr>
              <w:t>188139</w:t>
            </w:r>
          </w:p>
        </w:tc>
        <w:tc>
          <w:tcPr>
            <w:tcW w:w="1504" w:type="dxa"/>
            <w:vAlign w:val="center"/>
          </w:tcPr>
          <w:p w:rsidR="00C74511" w:rsidRDefault="00517A6E">
            <w:pPr>
              <w:jc w:val="center"/>
            </w:pPr>
            <w:r>
              <w:rPr>
                <w:rFonts w:eastAsiaTheme="minorEastAsia"/>
                <w:color w:val="000000" w:themeColor="text1"/>
                <w:szCs w:val="21"/>
              </w:rPr>
              <w:t>21</w:t>
            </w:r>
            <w:r>
              <w:rPr>
                <w:rFonts w:eastAsiaTheme="minorEastAsia"/>
                <w:color w:val="000000" w:themeColor="text1"/>
                <w:szCs w:val="21"/>
              </w:rPr>
              <w:t>国电</w:t>
            </w:r>
            <w:r>
              <w:rPr>
                <w:rFonts w:eastAsiaTheme="minorEastAsia"/>
                <w:color w:val="000000" w:themeColor="text1"/>
                <w:szCs w:val="21"/>
              </w:rPr>
              <w:t>01</w:t>
            </w:r>
          </w:p>
        </w:tc>
        <w:tc>
          <w:tcPr>
            <w:tcW w:w="1503" w:type="dxa"/>
            <w:vAlign w:val="center"/>
          </w:tcPr>
          <w:p w:rsidR="00C74511" w:rsidRDefault="00517A6E">
            <w:pPr>
              <w:jc w:val="right"/>
            </w:pPr>
            <w:r>
              <w:rPr>
                <w:rFonts w:eastAsiaTheme="minorEastAsia"/>
                <w:color w:val="000000" w:themeColor="text1"/>
                <w:szCs w:val="21"/>
              </w:rPr>
              <w:t>150,000</w:t>
            </w:r>
          </w:p>
        </w:tc>
        <w:tc>
          <w:tcPr>
            <w:tcW w:w="1503" w:type="dxa"/>
            <w:vAlign w:val="center"/>
          </w:tcPr>
          <w:p w:rsidR="00C74511" w:rsidRDefault="00517A6E">
            <w:pPr>
              <w:jc w:val="right"/>
            </w:pPr>
            <w:r>
              <w:rPr>
                <w:rFonts w:eastAsiaTheme="minorEastAsia"/>
                <w:color w:val="000000" w:themeColor="text1"/>
                <w:szCs w:val="21"/>
              </w:rPr>
              <w:t>15,364,627.40</w:t>
            </w:r>
          </w:p>
        </w:tc>
        <w:tc>
          <w:tcPr>
            <w:tcW w:w="1503" w:type="dxa"/>
            <w:vAlign w:val="center"/>
          </w:tcPr>
          <w:p w:rsidR="00C74511" w:rsidRDefault="00517A6E">
            <w:pPr>
              <w:jc w:val="right"/>
            </w:pPr>
            <w:r>
              <w:rPr>
                <w:rFonts w:eastAsiaTheme="minorEastAsia"/>
                <w:color w:val="000000" w:themeColor="text1"/>
                <w:szCs w:val="21"/>
              </w:rPr>
              <w:t>4.48</w:t>
            </w:r>
          </w:p>
        </w:tc>
      </w:tr>
      <w:tr w:rsidR="00C74511">
        <w:tc>
          <w:tcPr>
            <w:tcW w:w="1504" w:type="dxa"/>
            <w:vAlign w:val="center"/>
          </w:tcPr>
          <w:p w:rsidR="00C74511" w:rsidRDefault="00517A6E">
            <w:pPr>
              <w:jc w:val="center"/>
            </w:pPr>
            <w:r>
              <w:rPr>
                <w:rFonts w:eastAsiaTheme="minorEastAsia"/>
                <w:color w:val="000000" w:themeColor="text1"/>
                <w:szCs w:val="21"/>
              </w:rPr>
              <w:t>4</w:t>
            </w:r>
          </w:p>
        </w:tc>
        <w:tc>
          <w:tcPr>
            <w:tcW w:w="1504" w:type="dxa"/>
            <w:vAlign w:val="center"/>
          </w:tcPr>
          <w:p w:rsidR="00C74511" w:rsidRDefault="00517A6E">
            <w:pPr>
              <w:jc w:val="center"/>
            </w:pPr>
            <w:r>
              <w:rPr>
                <w:rFonts w:eastAsiaTheme="minorEastAsia"/>
                <w:color w:val="000000" w:themeColor="text1"/>
                <w:szCs w:val="21"/>
              </w:rPr>
              <w:t>012384379</w:t>
            </w:r>
          </w:p>
        </w:tc>
        <w:tc>
          <w:tcPr>
            <w:tcW w:w="1504" w:type="dxa"/>
            <w:vAlign w:val="center"/>
          </w:tcPr>
          <w:p w:rsidR="00C74511" w:rsidRDefault="00517A6E">
            <w:pPr>
              <w:jc w:val="center"/>
            </w:pPr>
            <w:r>
              <w:rPr>
                <w:rFonts w:eastAsiaTheme="minorEastAsia"/>
                <w:color w:val="000000" w:themeColor="text1"/>
                <w:szCs w:val="21"/>
              </w:rPr>
              <w:t>23</w:t>
            </w:r>
            <w:r>
              <w:rPr>
                <w:rFonts w:eastAsiaTheme="minorEastAsia"/>
                <w:color w:val="000000" w:themeColor="text1"/>
                <w:szCs w:val="21"/>
              </w:rPr>
              <w:t>深圳地铁</w:t>
            </w:r>
            <w:r>
              <w:rPr>
                <w:rFonts w:eastAsiaTheme="minorEastAsia"/>
                <w:color w:val="000000" w:themeColor="text1"/>
                <w:szCs w:val="21"/>
              </w:rPr>
              <w:t>SCP009</w:t>
            </w:r>
          </w:p>
        </w:tc>
        <w:tc>
          <w:tcPr>
            <w:tcW w:w="1503" w:type="dxa"/>
            <w:vAlign w:val="center"/>
          </w:tcPr>
          <w:p w:rsidR="00C74511" w:rsidRDefault="00517A6E">
            <w:pPr>
              <w:jc w:val="right"/>
            </w:pPr>
            <w:r>
              <w:rPr>
                <w:rFonts w:eastAsiaTheme="minorEastAsia"/>
                <w:color w:val="000000" w:themeColor="text1"/>
                <w:szCs w:val="21"/>
              </w:rPr>
              <w:t>150,000</w:t>
            </w:r>
          </w:p>
        </w:tc>
        <w:tc>
          <w:tcPr>
            <w:tcW w:w="1503" w:type="dxa"/>
            <w:vAlign w:val="center"/>
          </w:tcPr>
          <w:p w:rsidR="00C74511" w:rsidRDefault="00517A6E">
            <w:pPr>
              <w:jc w:val="right"/>
            </w:pPr>
            <w:r>
              <w:rPr>
                <w:rFonts w:eastAsiaTheme="minorEastAsia"/>
                <w:color w:val="000000" w:themeColor="text1"/>
                <w:szCs w:val="21"/>
              </w:rPr>
              <w:t>15,142,004.92</w:t>
            </w:r>
          </w:p>
        </w:tc>
        <w:tc>
          <w:tcPr>
            <w:tcW w:w="1503" w:type="dxa"/>
            <w:vAlign w:val="center"/>
          </w:tcPr>
          <w:p w:rsidR="00C74511" w:rsidRDefault="00517A6E">
            <w:pPr>
              <w:jc w:val="right"/>
            </w:pPr>
            <w:r>
              <w:rPr>
                <w:rFonts w:eastAsiaTheme="minorEastAsia"/>
                <w:color w:val="000000" w:themeColor="text1"/>
                <w:szCs w:val="21"/>
              </w:rPr>
              <w:t>4.42</w:t>
            </w:r>
          </w:p>
        </w:tc>
      </w:tr>
      <w:tr w:rsidR="00C74511">
        <w:tc>
          <w:tcPr>
            <w:tcW w:w="1504" w:type="dxa"/>
            <w:vAlign w:val="center"/>
          </w:tcPr>
          <w:p w:rsidR="00C74511" w:rsidRDefault="00517A6E">
            <w:pPr>
              <w:jc w:val="center"/>
            </w:pPr>
            <w:r>
              <w:rPr>
                <w:rFonts w:eastAsiaTheme="minorEastAsia"/>
                <w:color w:val="000000" w:themeColor="text1"/>
                <w:szCs w:val="21"/>
              </w:rPr>
              <w:t>5</w:t>
            </w:r>
          </w:p>
        </w:tc>
        <w:tc>
          <w:tcPr>
            <w:tcW w:w="1504" w:type="dxa"/>
            <w:vAlign w:val="center"/>
          </w:tcPr>
          <w:p w:rsidR="00C74511" w:rsidRDefault="00517A6E">
            <w:pPr>
              <w:jc w:val="center"/>
            </w:pPr>
            <w:r>
              <w:rPr>
                <w:rFonts w:eastAsiaTheme="minorEastAsia"/>
                <w:color w:val="000000" w:themeColor="text1"/>
                <w:szCs w:val="21"/>
              </w:rPr>
              <w:t>102280788</w:t>
            </w:r>
          </w:p>
        </w:tc>
        <w:tc>
          <w:tcPr>
            <w:tcW w:w="1504" w:type="dxa"/>
            <w:vAlign w:val="center"/>
          </w:tcPr>
          <w:p w:rsidR="00C74511" w:rsidRDefault="00517A6E">
            <w:pPr>
              <w:jc w:val="center"/>
            </w:pPr>
            <w:r>
              <w:rPr>
                <w:rFonts w:eastAsiaTheme="minorEastAsia"/>
                <w:color w:val="000000" w:themeColor="text1"/>
                <w:szCs w:val="21"/>
              </w:rPr>
              <w:t>22</w:t>
            </w:r>
            <w:r>
              <w:rPr>
                <w:rFonts w:eastAsiaTheme="minorEastAsia"/>
                <w:color w:val="000000" w:themeColor="text1"/>
                <w:szCs w:val="21"/>
              </w:rPr>
              <w:t>中电投</w:t>
            </w:r>
            <w:r>
              <w:rPr>
                <w:rFonts w:eastAsiaTheme="minorEastAsia"/>
                <w:color w:val="000000" w:themeColor="text1"/>
                <w:szCs w:val="21"/>
              </w:rPr>
              <w:t>MTN006</w:t>
            </w:r>
          </w:p>
        </w:tc>
        <w:tc>
          <w:tcPr>
            <w:tcW w:w="1503" w:type="dxa"/>
            <w:vAlign w:val="center"/>
          </w:tcPr>
          <w:p w:rsidR="00C74511" w:rsidRDefault="00517A6E">
            <w:pPr>
              <w:jc w:val="right"/>
            </w:pPr>
            <w:r>
              <w:rPr>
                <w:rFonts w:eastAsiaTheme="minorEastAsia"/>
                <w:color w:val="000000" w:themeColor="text1"/>
                <w:szCs w:val="21"/>
              </w:rPr>
              <w:t>140,000</w:t>
            </w:r>
          </w:p>
        </w:tc>
        <w:tc>
          <w:tcPr>
            <w:tcW w:w="1503" w:type="dxa"/>
            <w:vAlign w:val="center"/>
          </w:tcPr>
          <w:p w:rsidR="00C74511" w:rsidRDefault="00517A6E">
            <w:pPr>
              <w:jc w:val="right"/>
            </w:pPr>
            <w:r>
              <w:rPr>
                <w:rFonts w:eastAsiaTheme="minorEastAsia"/>
                <w:color w:val="000000" w:themeColor="text1"/>
                <w:szCs w:val="21"/>
              </w:rPr>
              <w:t>14,373,218.58</w:t>
            </w:r>
          </w:p>
        </w:tc>
        <w:tc>
          <w:tcPr>
            <w:tcW w:w="1503" w:type="dxa"/>
            <w:vAlign w:val="center"/>
          </w:tcPr>
          <w:p w:rsidR="00C74511" w:rsidRDefault="00517A6E">
            <w:pPr>
              <w:jc w:val="right"/>
            </w:pPr>
            <w:r>
              <w:rPr>
                <w:rFonts w:eastAsiaTheme="minorEastAsia"/>
                <w:color w:val="000000" w:themeColor="text1"/>
                <w:szCs w:val="21"/>
              </w:rPr>
              <w:t>4.19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lastRenderedPageBreak/>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93,386.08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940,170.45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56,318.21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1,089,874.74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221,294,285.93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67,584,209.78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123,784.85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1,820,307.93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20,682,189.76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19,135,436.72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200,735,881.02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50,269,080.99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1,585,756.02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1,585,756.02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0.63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C74511">
        <w:tc>
          <w:tcPr>
            <w:tcW w:w="993" w:type="dxa"/>
            <w:vMerge w:val="restart"/>
            <w:vAlign w:val="center"/>
          </w:tcPr>
          <w:p w:rsidR="00C74511" w:rsidRDefault="00517A6E">
            <w:r>
              <w:rPr>
                <w:bCs/>
                <w:color w:val="000000"/>
                <w:kern w:val="0"/>
                <w:szCs w:val="21"/>
              </w:rPr>
              <w:t>机构</w:t>
            </w:r>
          </w:p>
        </w:tc>
        <w:tc>
          <w:tcPr>
            <w:tcW w:w="992" w:type="dxa"/>
            <w:vAlign w:val="center"/>
          </w:tcPr>
          <w:p w:rsidR="00C74511" w:rsidRDefault="00517A6E">
            <w:pPr>
              <w:jc w:val="center"/>
            </w:pPr>
            <w:r>
              <w:rPr>
                <w:color w:val="000000"/>
                <w:kern w:val="0"/>
                <w:szCs w:val="21"/>
              </w:rPr>
              <w:t>1</w:t>
            </w:r>
          </w:p>
        </w:tc>
        <w:tc>
          <w:tcPr>
            <w:tcW w:w="1843" w:type="dxa"/>
            <w:vAlign w:val="center"/>
          </w:tcPr>
          <w:p w:rsidR="00C74511" w:rsidRDefault="00517A6E">
            <w:pPr>
              <w:jc w:val="center"/>
            </w:pPr>
            <w:r>
              <w:rPr>
                <w:color w:val="000000"/>
                <w:kern w:val="0"/>
                <w:szCs w:val="21"/>
              </w:rPr>
              <w:t>20240101-20240331</w:t>
            </w:r>
          </w:p>
        </w:tc>
        <w:tc>
          <w:tcPr>
            <w:tcW w:w="851" w:type="dxa"/>
            <w:vAlign w:val="center"/>
          </w:tcPr>
          <w:p w:rsidR="00C74511" w:rsidRDefault="00517A6E">
            <w:pPr>
              <w:jc w:val="center"/>
            </w:pPr>
            <w:r>
              <w:rPr>
                <w:color w:val="000000"/>
                <w:kern w:val="0"/>
                <w:szCs w:val="21"/>
              </w:rPr>
              <w:t>71,112,928.46</w:t>
            </w:r>
          </w:p>
        </w:tc>
        <w:tc>
          <w:tcPr>
            <w:tcW w:w="850" w:type="dxa"/>
            <w:vAlign w:val="center"/>
          </w:tcPr>
          <w:p w:rsidR="00C74511" w:rsidRDefault="00517A6E">
            <w:pPr>
              <w:jc w:val="center"/>
            </w:pPr>
            <w:r>
              <w:rPr>
                <w:color w:val="000000"/>
                <w:kern w:val="0"/>
                <w:szCs w:val="21"/>
              </w:rPr>
              <w:t>0.00</w:t>
            </w:r>
          </w:p>
        </w:tc>
        <w:tc>
          <w:tcPr>
            <w:tcW w:w="1134" w:type="dxa"/>
            <w:vAlign w:val="center"/>
          </w:tcPr>
          <w:p w:rsidR="00C74511" w:rsidRDefault="00517A6E">
            <w:pPr>
              <w:jc w:val="center"/>
            </w:pPr>
            <w:r>
              <w:rPr>
                <w:color w:val="000000"/>
                <w:kern w:val="0"/>
                <w:szCs w:val="21"/>
              </w:rPr>
              <w:t>0.00</w:t>
            </w:r>
          </w:p>
        </w:tc>
        <w:tc>
          <w:tcPr>
            <w:tcW w:w="1419" w:type="dxa"/>
            <w:vAlign w:val="center"/>
          </w:tcPr>
          <w:p w:rsidR="00C74511" w:rsidRDefault="00517A6E">
            <w:pPr>
              <w:jc w:val="center"/>
            </w:pPr>
            <w:r>
              <w:rPr>
                <w:color w:val="000000"/>
                <w:kern w:val="0"/>
                <w:szCs w:val="21"/>
              </w:rPr>
              <w:t>71,112,928.46</w:t>
            </w:r>
          </w:p>
        </w:tc>
        <w:tc>
          <w:tcPr>
            <w:tcW w:w="1130" w:type="dxa"/>
            <w:vAlign w:val="center"/>
          </w:tcPr>
          <w:p w:rsidR="00C74511" w:rsidRDefault="00517A6E">
            <w:pPr>
              <w:jc w:val="center"/>
            </w:pPr>
            <w:r>
              <w:rPr>
                <w:color w:val="000000"/>
                <w:kern w:val="0"/>
                <w:szCs w:val="21"/>
              </w:rPr>
              <w:t>28.33%</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《摩根安裕回报混合型证券投资基金基金合同》；</w:t>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3.</w:t>
      </w:r>
      <w:r>
        <w:rPr>
          <w:rFonts w:eastAsiaTheme="minorEastAsia"/>
          <w:color w:val="000000" w:themeColor="text1"/>
          <w:szCs w:val="21"/>
        </w:rPr>
        <w:t>《摩根安裕回报混合型证券投资基金托管协议》；</w:t>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C74511" w:rsidRDefault="00517A6E">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17A6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17A6E">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17A6E">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摩根安裕回报混合型证券投资基金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17A6E"/>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4511"/>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E589D-20A3-4123-8B4B-0D4EEEA6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15</Pages>
  <Words>1360</Words>
  <Characters>7758</Characters>
  <Application>Microsoft Office Word</Application>
  <DocSecurity>0</DocSecurity>
  <Lines>64</Lines>
  <Paragraphs>18</Paragraphs>
  <ScaleCrop>false</ScaleCrop>
  <Company>TRT. Ltd. Co.</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2024-04-19T05:22:00Z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