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上投摩根量化多因子灵活配置混合型证券投资基金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上投摩根量化多因子混合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19</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15,307,438.47</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采用量化投资对基金资产进行积极管理，力争获取超越业绩基准的投资收益。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进行个股选择，并结合适当的资产配置策略搭建基金投资组合。</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eastAsiaTheme="minorEastAsia"/>
                <w:color w:val="000000" w:themeColor="text1"/>
                <w:kern w:val="0"/>
              </w:rPr>
              <w:lastRenderedPageBreak/>
              <w:t>例，并动态优化投资组合。</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在股票投资过程中，本基金将运用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选股构建股票投资组合的投资策略，对基金资产进行积极管理，力争获取超越业绩基准的投资收益。</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本基金通过基金管理人量化投资团队开发的</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进行股票选择并据此构建股票投资组合。</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在实际运行过程中将进行定期动态调整，力争股票配置最优化，以期持续超越业绩比较基准收益率的投资目标。</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、债券投资策略</w:t>
            </w:r>
          </w:p>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、其他投资策略：包括存托凭证投资策略、股指期货投资策略、资产支持证券投资策略、股票期权投资策略等。</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 xml:space="preserve">800 </w:t>
            </w:r>
            <w:r w:rsidRPr="00FF6B9A">
              <w:rPr>
                <w:rFonts w:eastAsiaTheme="minorEastAsia"/>
                <w:color w:val="000000" w:themeColor="text1"/>
                <w:kern w:val="0"/>
              </w:rPr>
              <w:t>指数收益率</w:t>
            </w:r>
            <w:r w:rsidRPr="00FF6B9A">
              <w:rPr>
                <w:rFonts w:eastAsiaTheme="minorEastAsia"/>
                <w:color w:val="000000" w:themeColor="text1"/>
                <w:kern w:val="0"/>
              </w:rPr>
              <w:t>×60%+</w:t>
            </w:r>
            <w:r w:rsidRPr="00FF6B9A">
              <w:rPr>
                <w:rFonts w:eastAsiaTheme="minorEastAsia"/>
                <w:color w:val="000000" w:themeColor="text1"/>
                <w:kern w:val="0"/>
              </w:rPr>
              <w:t>中债总指数收益率</w:t>
            </w:r>
            <w:r w:rsidRPr="00FF6B9A">
              <w:rPr>
                <w:rFonts w:eastAsiaTheme="minorEastAsia"/>
                <w:color w:val="000000" w:themeColor="text1"/>
                <w:kern w:val="0"/>
              </w:rPr>
              <w:t>×40%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402B06" w:rsidRDefault="00647952">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647952" w:rsidRPr="00FF6B9A" w:rsidTr="00647952">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647952" w:rsidRPr="00FF6B9A" w:rsidTr="0064795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-772,577.21</w:t>
            </w:r>
          </w:p>
        </w:tc>
      </w:tr>
      <w:tr w:rsidR="00647952" w:rsidRPr="00FF6B9A" w:rsidTr="0064795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-2,250,226.28</w:t>
            </w:r>
          </w:p>
        </w:tc>
      </w:tr>
      <w:tr w:rsidR="00647952" w:rsidRPr="00FF6B9A" w:rsidTr="0064795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-0.1462</w:t>
            </w:r>
          </w:p>
        </w:tc>
      </w:tr>
      <w:tr w:rsidR="00647952" w:rsidRPr="00FF6B9A" w:rsidTr="0064795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20,608,709.13</w:t>
            </w:r>
          </w:p>
        </w:tc>
      </w:tr>
      <w:tr w:rsidR="00647952" w:rsidRPr="00FF6B9A" w:rsidTr="00647952">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1.3463</w:t>
            </w:r>
          </w:p>
        </w:tc>
      </w:tr>
    </w:tbl>
    <w:p w:rsidR="00402B06" w:rsidRDefault="0064795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402B06">
        <w:tc>
          <w:tcPr>
            <w:tcW w:w="1395" w:type="dxa"/>
            <w:vAlign w:val="center"/>
          </w:tcPr>
          <w:p w:rsidR="00402B06" w:rsidRDefault="00647952">
            <w:pPr>
              <w:jc w:val="left"/>
            </w:pPr>
            <w:r>
              <w:rPr>
                <w:rFonts w:eastAsiaTheme="minorEastAsia"/>
                <w:color w:val="000000" w:themeColor="text1"/>
                <w:kern w:val="0"/>
              </w:rPr>
              <w:t>过去三个月</w:t>
            </w:r>
          </w:p>
        </w:tc>
        <w:tc>
          <w:tcPr>
            <w:tcW w:w="1092" w:type="dxa"/>
            <w:vAlign w:val="center"/>
          </w:tcPr>
          <w:p w:rsidR="00402B06" w:rsidRDefault="00647952">
            <w:pPr>
              <w:jc w:val="center"/>
            </w:pPr>
            <w:r>
              <w:rPr>
                <w:rFonts w:eastAsiaTheme="minorEastAsia"/>
                <w:color w:val="000000" w:themeColor="text1"/>
                <w:kern w:val="0"/>
              </w:rPr>
              <w:t>-9.75%</w:t>
            </w:r>
          </w:p>
        </w:tc>
        <w:tc>
          <w:tcPr>
            <w:tcW w:w="1161" w:type="dxa"/>
            <w:vAlign w:val="center"/>
          </w:tcPr>
          <w:p w:rsidR="00402B06" w:rsidRDefault="00647952">
            <w:pPr>
              <w:jc w:val="center"/>
            </w:pPr>
            <w:r>
              <w:rPr>
                <w:rFonts w:eastAsiaTheme="minorEastAsia"/>
                <w:color w:val="000000" w:themeColor="text1"/>
                <w:kern w:val="0"/>
              </w:rPr>
              <w:t>1.41%</w:t>
            </w:r>
          </w:p>
        </w:tc>
        <w:tc>
          <w:tcPr>
            <w:tcW w:w="1181" w:type="dxa"/>
            <w:vAlign w:val="center"/>
          </w:tcPr>
          <w:p w:rsidR="00402B06" w:rsidRDefault="00647952">
            <w:pPr>
              <w:jc w:val="center"/>
            </w:pPr>
            <w:r>
              <w:rPr>
                <w:rFonts w:eastAsiaTheme="minorEastAsia"/>
                <w:color w:val="000000" w:themeColor="text1"/>
                <w:kern w:val="0"/>
              </w:rPr>
              <w:t>-8.77%</w:t>
            </w:r>
          </w:p>
        </w:tc>
        <w:tc>
          <w:tcPr>
            <w:tcW w:w="1188" w:type="dxa"/>
            <w:vAlign w:val="center"/>
          </w:tcPr>
          <w:p w:rsidR="00402B06" w:rsidRDefault="00647952">
            <w:pPr>
              <w:jc w:val="center"/>
            </w:pPr>
            <w:r>
              <w:rPr>
                <w:rFonts w:eastAsiaTheme="minorEastAsia"/>
                <w:color w:val="000000" w:themeColor="text1"/>
                <w:kern w:val="0"/>
              </w:rPr>
              <w:t>0.87%</w:t>
            </w:r>
          </w:p>
        </w:tc>
        <w:tc>
          <w:tcPr>
            <w:tcW w:w="1199" w:type="dxa"/>
            <w:vAlign w:val="center"/>
          </w:tcPr>
          <w:p w:rsidR="00402B06" w:rsidRDefault="00647952">
            <w:pPr>
              <w:jc w:val="center"/>
            </w:pPr>
            <w:r>
              <w:rPr>
                <w:rFonts w:eastAsiaTheme="minorEastAsia"/>
                <w:color w:val="000000" w:themeColor="text1"/>
                <w:kern w:val="0"/>
              </w:rPr>
              <w:t>-0.98%</w:t>
            </w:r>
          </w:p>
        </w:tc>
        <w:tc>
          <w:tcPr>
            <w:tcW w:w="1204" w:type="dxa"/>
            <w:vAlign w:val="center"/>
          </w:tcPr>
          <w:p w:rsidR="00402B06" w:rsidRDefault="00647952">
            <w:pPr>
              <w:jc w:val="center"/>
            </w:pPr>
            <w:r>
              <w:rPr>
                <w:rFonts w:eastAsiaTheme="minorEastAsia"/>
                <w:color w:val="000000" w:themeColor="text1"/>
                <w:kern w:val="0"/>
              </w:rPr>
              <w:t>0.54%</w:t>
            </w:r>
          </w:p>
        </w:tc>
      </w:tr>
      <w:tr w:rsidR="00402B06">
        <w:tc>
          <w:tcPr>
            <w:tcW w:w="1395" w:type="dxa"/>
            <w:vAlign w:val="center"/>
          </w:tcPr>
          <w:p w:rsidR="00402B06" w:rsidRDefault="00647952">
            <w:pPr>
              <w:jc w:val="left"/>
            </w:pPr>
            <w:r>
              <w:rPr>
                <w:rFonts w:eastAsiaTheme="minorEastAsia"/>
                <w:color w:val="000000" w:themeColor="text1"/>
                <w:kern w:val="0"/>
              </w:rPr>
              <w:t>过去六个月</w:t>
            </w:r>
          </w:p>
        </w:tc>
        <w:tc>
          <w:tcPr>
            <w:tcW w:w="1092" w:type="dxa"/>
            <w:vAlign w:val="center"/>
          </w:tcPr>
          <w:p w:rsidR="00402B06" w:rsidRDefault="00647952">
            <w:pPr>
              <w:jc w:val="center"/>
            </w:pPr>
            <w:r>
              <w:rPr>
                <w:rFonts w:eastAsiaTheme="minorEastAsia"/>
                <w:color w:val="000000" w:themeColor="text1"/>
                <w:kern w:val="0"/>
              </w:rPr>
              <w:t>-8.17%</w:t>
            </w:r>
          </w:p>
        </w:tc>
        <w:tc>
          <w:tcPr>
            <w:tcW w:w="1161" w:type="dxa"/>
            <w:vAlign w:val="center"/>
          </w:tcPr>
          <w:p w:rsidR="00402B06" w:rsidRDefault="00647952">
            <w:pPr>
              <w:jc w:val="center"/>
            </w:pPr>
            <w:r>
              <w:rPr>
                <w:rFonts w:eastAsiaTheme="minorEastAsia"/>
                <w:color w:val="000000" w:themeColor="text1"/>
                <w:kern w:val="0"/>
              </w:rPr>
              <w:t>1.12%</w:t>
            </w:r>
          </w:p>
        </w:tc>
        <w:tc>
          <w:tcPr>
            <w:tcW w:w="1181" w:type="dxa"/>
            <w:vAlign w:val="center"/>
          </w:tcPr>
          <w:p w:rsidR="00402B06" w:rsidRDefault="00647952">
            <w:pPr>
              <w:jc w:val="center"/>
            </w:pPr>
            <w:r>
              <w:rPr>
                <w:rFonts w:eastAsiaTheme="minorEastAsia"/>
                <w:color w:val="000000" w:themeColor="text1"/>
                <w:kern w:val="0"/>
              </w:rPr>
              <w:t>-7.43%</w:t>
            </w:r>
          </w:p>
        </w:tc>
        <w:tc>
          <w:tcPr>
            <w:tcW w:w="1188" w:type="dxa"/>
            <w:vAlign w:val="center"/>
          </w:tcPr>
          <w:p w:rsidR="00402B06" w:rsidRDefault="00647952">
            <w:pPr>
              <w:jc w:val="center"/>
            </w:pPr>
            <w:r>
              <w:rPr>
                <w:rFonts w:eastAsiaTheme="minorEastAsia"/>
                <w:color w:val="000000" w:themeColor="text1"/>
                <w:kern w:val="0"/>
              </w:rPr>
              <w:t>0.69%</w:t>
            </w:r>
          </w:p>
        </w:tc>
        <w:tc>
          <w:tcPr>
            <w:tcW w:w="1199" w:type="dxa"/>
            <w:vAlign w:val="center"/>
          </w:tcPr>
          <w:p w:rsidR="00402B06" w:rsidRDefault="00647952">
            <w:pPr>
              <w:jc w:val="center"/>
            </w:pPr>
            <w:r>
              <w:rPr>
                <w:rFonts w:eastAsiaTheme="minorEastAsia"/>
                <w:color w:val="000000" w:themeColor="text1"/>
                <w:kern w:val="0"/>
              </w:rPr>
              <w:t>-0.74%</w:t>
            </w:r>
          </w:p>
        </w:tc>
        <w:tc>
          <w:tcPr>
            <w:tcW w:w="1204" w:type="dxa"/>
            <w:vAlign w:val="center"/>
          </w:tcPr>
          <w:p w:rsidR="00402B06" w:rsidRDefault="00647952">
            <w:pPr>
              <w:jc w:val="center"/>
            </w:pPr>
            <w:r>
              <w:rPr>
                <w:rFonts w:eastAsiaTheme="minorEastAsia"/>
                <w:color w:val="000000" w:themeColor="text1"/>
                <w:kern w:val="0"/>
              </w:rPr>
              <w:t>0.43%</w:t>
            </w:r>
          </w:p>
        </w:tc>
      </w:tr>
      <w:tr w:rsidR="00402B06">
        <w:tc>
          <w:tcPr>
            <w:tcW w:w="1395" w:type="dxa"/>
            <w:vAlign w:val="center"/>
          </w:tcPr>
          <w:p w:rsidR="00402B06" w:rsidRDefault="00647952">
            <w:pPr>
              <w:jc w:val="left"/>
            </w:pPr>
            <w:r>
              <w:rPr>
                <w:rFonts w:eastAsiaTheme="minorEastAsia"/>
                <w:color w:val="000000" w:themeColor="text1"/>
                <w:kern w:val="0"/>
              </w:rPr>
              <w:t>过去一年</w:t>
            </w:r>
          </w:p>
        </w:tc>
        <w:tc>
          <w:tcPr>
            <w:tcW w:w="1092" w:type="dxa"/>
            <w:vAlign w:val="center"/>
          </w:tcPr>
          <w:p w:rsidR="00402B06" w:rsidRDefault="00647952">
            <w:pPr>
              <w:jc w:val="center"/>
            </w:pPr>
            <w:r>
              <w:rPr>
                <w:rFonts w:eastAsiaTheme="minorEastAsia"/>
                <w:color w:val="000000" w:themeColor="text1"/>
                <w:kern w:val="0"/>
              </w:rPr>
              <w:t>2.76%</w:t>
            </w:r>
          </w:p>
        </w:tc>
        <w:tc>
          <w:tcPr>
            <w:tcW w:w="1161" w:type="dxa"/>
            <w:vAlign w:val="center"/>
          </w:tcPr>
          <w:p w:rsidR="00402B06" w:rsidRDefault="00647952">
            <w:pPr>
              <w:jc w:val="center"/>
            </w:pPr>
            <w:r>
              <w:rPr>
                <w:rFonts w:eastAsiaTheme="minorEastAsia"/>
                <w:color w:val="000000" w:themeColor="text1"/>
                <w:kern w:val="0"/>
              </w:rPr>
              <w:t>1.11%</w:t>
            </w:r>
          </w:p>
        </w:tc>
        <w:tc>
          <w:tcPr>
            <w:tcW w:w="1181" w:type="dxa"/>
            <w:vAlign w:val="center"/>
          </w:tcPr>
          <w:p w:rsidR="00402B06" w:rsidRDefault="00647952">
            <w:pPr>
              <w:jc w:val="center"/>
            </w:pPr>
            <w:r>
              <w:rPr>
                <w:rFonts w:eastAsiaTheme="minorEastAsia"/>
                <w:color w:val="000000" w:themeColor="text1"/>
                <w:kern w:val="0"/>
              </w:rPr>
              <w:t>-6.67%</w:t>
            </w:r>
          </w:p>
        </w:tc>
        <w:tc>
          <w:tcPr>
            <w:tcW w:w="1188" w:type="dxa"/>
            <w:vAlign w:val="center"/>
          </w:tcPr>
          <w:p w:rsidR="00402B06" w:rsidRDefault="00647952">
            <w:pPr>
              <w:jc w:val="center"/>
            </w:pPr>
            <w:r>
              <w:rPr>
                <w:rFonts w:eastAsiaTheme="minorEastAsia"/>
                <w:color w:val="000000" w:themeColor="text1"/>
                <w:kern w:val="0"/>
              </w:rPr>
              <w:t>0.64%</w:t>
            </w:r>
          </w:p>
        </w:tc>
        <w:tc>
          <w:tcPr>
            <w:tcW w:w="1199" w:type="dxa"/>
            <w:vAlign w:val="center"/>
          </w:tcPr>
          <w:p w:rsidR="00402B06" w:rsidRDefault="00647952">
            <w:pPr>
              <w:jc w:val="center"/>
            </w:pPr>
            <w:r>
              <w:rPr>
                <w:rFonts w:eastAsiaTheme="minorEastAsia"/>
                <w:color w:val="000000" w:themeColor="text1"/>
                <w:kern w:val="0"/>
              </w:rPr>
              <w:t>9.43%</w:t>
            </w:r>
          </w:p>
        </w:tc>
        <w:tc>
          <w:tcPr>
            <w:tcW w:w="1204" w:type="dxa"/>
            <w:vAlign w:val="center"/>
          </w:tcPr>
          <w:p w:rsidR="00402B06" w:rsidRDefault="00647952">
            <w:pPr>
              <w:jc w:val="center"/>
            </w:pPr>
            <w:r>
              <w:rPr>
                <w:rFonts w:eastAsiaTheme="minorEastAsia"/>
                <w:color w:val="000000" w:themeColor="text1"/>
                <w:kern w:val="0"/>
              </w:rPr>
              <w:t>0.47%</w:t>
            </w:r>
          </w:p>
        </w:tc>
      </w:tr>
      <w:tr w:rsidR="00402B06">
        <w:tc>
          <w:tcPr>
            <w:tcW w:w="1395" w:type="dxa"/>
            <w:vAlign w:val="center"/>
          </w:tcPr>
          <w:p w:rsidR="00402B06" w:rsidRDefault="00647952">
            <w:pPr>
              <w:jc w:val="left"/>
            </w:pPr>
            <w:r>
              <w:rPr>
                <w:rFonts w:eastAsiaTheme="minorEastAsia"/>
                <w:color w:val="000000" w:themeColor="text1"/>
                <w:kern w:val="0"/>
              </w:rPr>
              <w:t>过去三年</w:t>
            </w:r>
          </w:p>
        </w:tc>
        <w:tc>
          <w:tcPr>
            <w:tcW w:w="1092" w:type="dxa"/>
            <w:vAlign w:val="center"/>
          </w:tcPr>
          <w:p w:rsidR="00402B06" w:rsidRDefault="00647952">
            <w:pPr>
              <w:jc w:val="center"/>
            </w:pPr>
            <w:r>
              <w:rPr>
                <w:rFonts w:eastAsiaTheme="minorEastAsia"/>
                <w:color w:val="000000" w:themeColor="text1"/>
                <w:kern w:val="0"/>
              </w:rPr>
              <w:t>42.13%</w:t>
            </w:r>
          </w:p>
        </w:tc>
        <w:tc>
          <w:tcPr>
            <w:tcW w:w="1161" w:type="dxa"/>
            <w:vAlign w:val="center"/>
          </w:tcPr>
          <w:p w:rsidR="00402B06" w:rsidRDefault="00647952">
            <w:pPr>
              <w:jc w:val="center"/>
            </w:pPr>
            <w:r>
              <w:rPr>
                <w:rFonts w:eastAsiaTheme="minorEastAsia"/>
                <w:color w:val="000000" w:themeColor="text1"/>
                <w:kern w:val="0"/>
              </w:rPr>
              <w:t>1.21%</w:t>
            </w:r>
          </w:p>
        </w:tc>
        <w:tc>
          <w:tcPr>
            <w:tcW w:w="1181" w:type="dxa"/>
            <w:vAlign w:val="center"/>
          </w:tcPr>
          <w:p w:rsidR="00402B06" w:rsidRDefault="00647952">
            <w:pPr>
              <w:jc w:val="center"/>
            </w:pPr>
            <w:r>
              <w:rPr>
                <w:rFonts w:eastAsiaTheme="minorEastAsia"/>
                <w:color w:val="000000" w:themeColor="text1"/>
                <w:kern w:val="0"/>
              </w:rPr>
              <w:t>7.19%</w:t>
            </w:r>
          </w:p>
        </w:tc>
        <w:tc>
          <w:tcPr>
            <w:tcW w:w="1188" w:type="dxa"/>
            <w:vAlign w:val="center"/>
          </w:tcPr>
          <w:p w:rsidR="00402B06" w:rsidRDefault="00647952">
            <w:pPr>
              <w:jc w:val="center"/>
            </w:pPr>
            <w:r>
              <w:rPr>
                <w:rFonts w:eastAsiaTheme="minorEastAsia"/>
                <w:color w:val="000000" w:themeColor="text1"/>
                <w:kern w:val="0"/>
              </w:rPr>
              <w:t>0.75%</w:t>
            </w:r>
          </w:p>
        </w:tc>
        <w:tc>
          <w:tcPr>
            <w:tcW w:w="1199" w:type="dxa"/>
            <w:vAlign w:val="center"/>
          </w:tcPr>
          <w:p w:rsidR="00402B06" w:rsidRDefault="00647952">
            <w:pPr>
              <w:jc w:val="center"/>
            </w:pPr>
            <w:r>
              <w:rPr>
                <w:rFonts w:eastAsiaTheme="minorEastAsia"/>
                <w:color w:val="000000" w:themeColor="text1"/>
                <w:kern w:val="0"/>
              </w:rPr>
              <w:t>34.94%</w:t>
            </w:r>
          </w:p>
        </w:tc>
        <w:tc>
          <w:tcPr>
            <w:tcW w:w="1204" w:type="dxa"/>
            <w:vAlign w:val="center"/>
          </w:tcPr>
          <w:p w:rsidR="00402B06" w:rsidRDefault="00647952">
            <w:pPr>
              <w:jc w:val="center"/>
            </w:pPr>
            <w:r>
              <w:rPr>
                <w:rFonts w:eastAsiaTheme="minorEastAsia"/>
                <w:color w:val="000000" w:themeColor="text1"/>
                <w:kern w:val="0"/>
              </w:rPr>
              <w:t>0.46%</w:t>
            </w:r>
          </w:p>
        </w:tc>
      </w:tr>
      <w:tr w:rsidR="00402B06">
        <w:tc>
          <w:tcPr>
            <w:tcW w:w="1395" w:type="dxa"/>
            <w:vAlign w:val="center"/>
          </w:tcPr>
          <w:p w:rsidR="00402B06" w:rsidRDefault="00647952">
            <w:pPr>
              <w:jc w:val="left"/>
            </w:pPr>
            <w:r>
              <w:rPr>
                <w:rFonts w:eastAsiaTheme="minorEastAsia"/>
                <w:color w:val="000000" w:themeColor="text1"/>
                <w:kern w:val="0"/>
              </w:rPr>
              <w:t>过去五年</w:t>
            </w:r>
          </w:p>
        </w:tc>
        <w:tc>
          <w:tcPr>
            <w:tcW w:w="1092" w:type="dxa"/>
            <w:vAlign w:val="center"/>
          </w:tcPr>
          <w:p w:rsidR="00402B06" w:rsidRDefault="00647952">
            <w:pPr>
              <w:jc w:val="center"/>
            </w:pPr>
            <w:r>
              <w:rPr>
                <w:rFonts w:eastAsiaTheme="minorEastAsia"/>
                <w:color w:val="000000" w:themeColor="text1"/>
                <w:kern w:val="0"/>
              </w:rPr>
              <w:t>-</w:t>
            </w:r>
          </w:p>
        </w:tc>
        <w:tc>
          <w:tcPr>
            <w:tcW w:w="1161" w:type="dxa"/>
            <w:vAlign w:val="center"/>
          </w:tcPr>
          <w:p w:rsidR="00402B06" w:rsidRDefault="00647952">
            <w:pPr>
              <w:jc w:val="center"/>
            </w:pPr>
            <w:r>
              <w:rPr>
                <w:rFonts w:eastAsiaTheme="minorEastAsia"/>
                <w:color w:val="000000" w:themeColor="text1"/>
                <w:kern w:val="0"/>
              </w:rPr>
              <w:t>-</w:t>
            </w:r>
          </w:p>
        </w:tc>
        <w:tc>
          <w:tcPr>
            <w:tcW w:w="1181" w:type="dxa"/>
            <w:vAlign w:val="center"/>
          </w:tcPr>
          <w:p w:rsidR="00402B06" w:rsidRDefault="00647952">
            <w:pPr>
              <w:jc w:val="center"/>
            </w:pPr>
            <w:r>
              <w:rPr>
                <w:rFonts w:eastAsiaTheme="minorEastAsia"/>
                <w:color w:val="000000" w:themeColor="text1"/>
                <w:kern w:val="0"/>
              </w:rPr>
              <w:t>-</w:t>
            </w:r>
          </w:p>
        </w:tc>
        <w:tc>
          <w:tcPr>
            <w:tcW w:w="1188" w:type="dxa"/>
            <w:vAlign w:val="center"/>
          </w:tcPr>
          <w:p w:rsidR="00402B06" w:rsidRDefault="00647952">
            <w:pPr>
              <w:jc w:val="center"/>
            </w:pPr>
            <w:r>
              <w:rPr>
                <w:rFonts w:eastAsiaTheme="minorEastAsia"/>
                <w:color w:val="000000" w:themeColor="text1"/>
                <w:kern w:val="0"/>
              </w:rPr>
              <w:t>-</w:t>
            </w:r>
          </w:p>
        </w:tc>
        <w:tc>
          <w:tcPr>
            <w:tcW w:w="1199" w:type="dxa"/>
            <w:vAlign w:val="center"/>
          </w:tcPr>
          <w:p w:rsidR="00402B06" w:rsidRDefault="00647952">
            <w:pPr>
              <w:jc w:val="center"/>
            </w:pPr>
            <w:r>
              <w:rPr>
                <w:rFonts w:eastAsiaTheme="minorEastAsia"/>
                <w:color w:val="000000" w:themeColor="text1"/>
                <w:kern w:val="0"/>
              </w:rPr>
              <w:t>-</w:t>
            </w:r>
          </w:p>
        </w:tc>
        <w:tc>
          <w:tcPr>
            <w:tcW w:w="1204" w:type="dxa"/>
            <w:vAlign w:val="center"/>
          </w:tcPr>
          <w:p w:rsidR="00402B06" w:rsidRDefault="00647952">
            <w:pPr>
              <w:jc w:val="center"/>
            </w:pPr>
            <w:r>
              <w:rPr>
                <w:rFonts w:eastAsiaTheme="minorEastAsia"/>
                <w:color w:val="000000" w:themeColor="text1"/>
                <w:kern w:val="0"/>
              </w:rPr>
              <w:t>-</w:t>
            </w:r>
          </w:p>
        </w:tc>
      </w:tr>
      <w:tr w:rsidR="00402B06">
        <w:tc>
          <w:tcPr>
            <w:tcW w:w="1395" w:type="dxa"/>
            <w:vAlign w:val="center"/>
          </w:tcPr>
          <w:p w:rsidR="00402B06" w:rsidRDefault="00647952">
            <w:pPr>
              <w:jc w:val="left"/>
            </w:pPr>
            <w:r>
              <w:rPr>
                <w:rFonts w:eastAsiaTheme="minorEastAsia"/>
                <w:color w:val="000000" w:themeColor="text1"/>
                <w:kern w:val="0"/>
              </w:rPr>
              <w:t>自基金合同生效起至今</w:t>
            </w:r>
          </w:p>
        </w:tc>
        <w:tc>
          <w:tcPr>
            <w:tcW w:w="1092" w:type="dxa"/>
            <w:vAlign w:val="center"/>
          </w:tcPr>
          <w:p w:rsidR="00402B06" w:rsidRDefault="00647952">
            <w:pPr>
              <w:jc w:val="center"/>
            </w:pPr>
            <w:r>
              <w:rPr>
                <w:rFonts w:eastAsiaTheme="minorEastAsia"/>
                <w:color w:val="000000" w:themeColor="text1"/>
                <w:kern w:val="0"/>
              </w:rPr>
              <w:t>34.63%</w:t>
            </w:r>
          </w:p>
        </w:tc>
        <w:tc>
          <w:tcPr>
            <w:tcW w:w="1161" w:type="dxa"/>
            <w:vAlign w:val="center"/>
          </w:tcPr>
          <w:p w:rsidR="00402B06" w:rsidRDefault="00647952">
            <w:pPr>
              <w:jc w:val="center"/>
            </w:pPr>
            <w:r>
              <w:rPr>
                <w:rFonts w:eastAsiaTheme="minorEastAsia"/>
                <w:color w:val="000000" w:themeColor="text1"/>
                <w:kern w:val="0"/>
              </w:rPr>
              <w:t>1.25%</w:t>
            </w:r>
          </w:p>
        </w:tc>
        <w:tc>
          <w:tcPr>
            <w:tcW w:w="1181" w:type="dxa"/>
            <w:vAlign w:val="center"/>
          </w:tcPr>
          <w:p w:rsidR="00402B06" w:rsidRDefault="00647952">
            <w:pPr>
              <w:jc w:val="center"/>
            </w:pPr>
            <w:r>
              <w:rPr>
                <w:rFonts w:eastAsiaTheme="minorEastAsia"/>
                <w:color w:val="000000" w:themeColor="text1"/>
                <w:kern w:val="0"/>
              </w:rPr>
              <w:t>3.41%</w:t>
            </w:r>
          </w:p>
        </w:tc>
        <w:tc>
          <w:tcPr>
            <w:tcW w:w="1188" w:type="dxa"/>
            <w:vAlign w:val="center"/>
          </w:tcPr>
          <w:p w:rsidR="00402B06" w:rsidRDefault="00647952">
            <w:pPr>
              <w:jc w:val="center"/>
            </w:pPr>
            <w:r>
              <w:rPr>
                <w:rFonts w:eastAsiaTheme="minorEastAsia"/>
                <w:color w:val="000000" w:themeColor="text1"/>
                <w:kern w:val="0"/>
              </w:rPr>
              <w:t>0.78%</w:t>
            </w:r>
          </w:p>
        </w:tc>
        <w:tc>
          <w:tcPr>
            <w:tcW w:w="1199" w:type="dxa"/>
            <w:vAlign w:val="center"/>
          </w:tcPr>
          <w:p w:rsidR="00402B06" w:rsidRDefault="00647952">
            <w:pPr>
              <w:jc w:val="center"/>
            </w:pPr>
            <w:r>
              <w:rPr>
                <w:rFonts w:eastAsiaTheme="minorEastAsia"/>
                <w:color w:val="000000" w:themeColor="text1"/>
                <w:kern w:val="0"/>
              </w:rPr>
              <w:t>31.22%</w:t>
            </w:r>
          </w:p>
        </w:tc>
        <w:tc>
          <w:tcPr>
            <w:tcW w:w="1204" w:type="dxa"/>
            <w:vAlign w:val="center"/>
          </w:tcPr>
          <w:p w:rsidR="00402B06" w:rsidRDefault="00647952">
            <w:pPr>
              <w:jc w:val="center"/>
            </w:pPr>
            <w:r>
              <w:rPr>
                <w:rFonts w:eastAsiaTheme="minorEastAsia"/>
                <w:color w:val="000000" w:themeColor="text1"/>
                <w:kern w:val="0"/>
              </w:rPr>
              <w:t>0.47%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上投摩根量化多因子灵活配置混合型证券投资基金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02B06" w:rsidRDefault="0064795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402B06">
        <w:tc>
          <w:tcPr>
            <w:tcW w:w="851" w:type="dxa"/>
            <w:vAlign w:val="center"/>
          </w:tcPr>
          <w:p w:rsidR="00402B06" w:rsidRDefault="00647952">
            <w:pPr>
              <w:jc w:val="center"/>
            </w:pPr>
            <w:r>
              <w:rPr>
                <w:rFonts w:eastAsiaTheme="minorEastAsia"/>
                <w:color w:val="000000" w:themeColor="text1"/>
              </w:rPr>
              <w:t>胡迪</w:t>
            </w:r>
          </w:p>
        </w:tc>
        <w:tc>
          <w:tcPr>
            <w:tcW w:w="850" w:type="dxa"/>
            <w:vAlign w:val="center"/>
          </w:tcPr>
          <w:p w:rsidR="00402B06" w:rsidRDefault="00647952">
            <w:pPr>
              <w:jc w:val="center"/>
            </w:pPr>
            <w:r>
              <w:rPr>
                <w:rFonts w:eastAsiaTheme="minorEastAsia"/>
                <w:color w:val="000000" w:themeColor="text1"/>
              </w:rPr>
              <w:t>本基金基金经理、指数及量化投资部总监</w:t>
            </w:r>
          </w:p>
        </w:tc>
        <w:tc>
          <w:tcPr>
            <w:tcW w:w="1560" w:type="dxa"/>
            <w:vAlign w:val="center"/>
          </w:tcPr>
          <w:p w:rsidR="00402B06" w:rsidRDefault="00647952">
            <w:pPr>
              <w:jc w:val="center"/>
            </w:pPr>
            <w:r>
              <w:rPr>
                <w:rFonts w:eastAsiaTheme="minorEastAsia"/>
                <w:color w:val="000000" w:themeColor="text1"/>
              </w:rPr>
              <w:t>2021-01-07</w:t>
            </w:r>
          </w:p>
        </w:tc>
        <w:tc>
          <w:tcPr>
            <w:tcW w:w="1559" w:type="dxa"/>
            <w:vAlign w:val="center"/>
          </w:tcPr>
          <w:p w:rsidR="00402B06" w:rsidRDefault="00647952">
            <w:pPr>
              <w:jc w:val="center"/>
            </w:pPr>
            <w:r>
              <w:rPr>
                <w:rFonts w:eastAsiaTheme="minorEastAsia"/>
                <w:color w:val="000000" w:themeColor="text1"/>
              </w:rPr>
              <w:t>-</w:t>
            </w:r>
          </w:p>
        </w:tc>
        <w:tc>
          <w:tcPr>
            <w:tcW w:w="1417" w:type="dxa"/>
            <w:vAlign w:val="center"/>
          </w:tcPr>
          <w:p w:rsidR="00402B06" w:rsidRDefault="00647952">
            <w:pPr>
              <w:jc w:val="center"/>
            </w:pPr>
            <w:r>
              <w:rPr>
                <w:rFonts w:eastAsiaTheme="minorEastAsia"/>
                <w:color w:val="000000" w:themeColor="text1"/>
              </w:rPr>
              <w:t>14</w:t>
            </w:r>
            <w:r>
              <w:rPr>
                <w:rFonts w:eastAsiaTheme="minorEastAsia"/>
                <w:color w:val="000000" w:themeColor="text1"/>
              </w:rPr>
              <w:t>年</w:t>
            </w:r>
          </w:p>
        </w:tc>
        <w:tc>
          <w:tcPr>
            <w:tcW w:w="2694" w:type="dxa"/>
            <w:vAlign w:val="center"/>
          </w:tcPr>
          <w:p w:rsidR="00402B06" w:rsidRDefault="00647952">
            <w:r>
              <w:rPr>
                <w:rFonts w:eastAsiaTheme="minorEastAsia"/>
                <w:color w:val="000000" w:themeColor="text1"/>
              </w:rPr>
              <w:t>胡迪女士，</w:t>
            </w:r>
            <w:r>
              <w:rPr>
                <w:rFonts w:eastAsiaTheme="minorEastAsia"/>
                <w:color w:val="000000" w:themeColor="text1"/>
              </w:rPr>
              <w:t>CFA</w:t>
            </w:r>
            <w:r>
              <w:rPr>
                <w:rFonts w:eastAsiaTheme="minorEastAsia"/>
                <w:color w:val="000000" w:themeColor="text1"/>
              </w:rPr>
              <w:t>，</w:t>
            </w:r>
            <w:r>
              <w:rPr>
                <w:rFonts w:eastAsiaTheme="minorEastAsia"/>
                <w:color w:val="000000" w:themeColor="text1"/>
              </w:rPr>
              <w:t>FRM</w:t>
            </w:r>
            <w:r>
              <w:rPr>
                <w:rFonts w:eastAsiaTheme="minorEastAsia"/>
                <w:color w:val="000000" w:themeColor="text1"/>
              </w:rPr>
              <w:t>，美国哥伦比亚大学金融工程硕士，现任指数及量化投资部总监。胡迪女士自</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月在纽约美林证券担任全球资产管理部高级经理；自</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月在纽约标准普尔担任量化投资主管；自</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月在中国国际金融股份有限公司担任资产管理部执行总经理；自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月加入上投摩根基金管理有限公司，现任指数及量化投资部总监，自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股交易型开放式指数证券投资基金联接基金、上投摩根标普港股通低波红利指数型证券投资基金基金经理</w:t>
            </w:r>
            <w:r>
              <w:rPr>
                <w:rFonts w:eastAsiaTheme="minorEastAsia"/>
                <w:color w:val="000000" w:themeColor="text1"/>
              </w:rPr>
              <w:t>,</w:t>
            </w:r>
            <w:r>
              <w:rPr>
                <w:rFonts w:eastAsiaTheme="minorEastAsia"/>
                <w:color w:val="000000" w:themeColor="text1"/>
              </w:rPr>
              <w:t>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月起同时担任上投摩根富时发达市场</w:t>
            </w:r>
            <w:r>
              <w:rPr>
                <w:rFonts w:eastAsiaTheme="minorEastAsia"/>
                <w:color w:val="000000" w:themeColor="text1"/>
              </w:rPr>
              <w:t>REITs</w:t>
            </w:r>
            <w:r>
              <w:rPr>
                <w:rFonts w:eastAsiaTheme="minorEastAsia"/>
                <w:color w:val="000000" w:themeColor="text1"/>
              </w:rPr>
              <w:t>指数型证券投资基金（</w:t>
            </w:r>
            <w:r>
              <w:rPr>
                <w:rFonts w:eastAsiaTheme="minorEastAsia"/>
                <w:color w:val="000000" w:themeColor="text1"/>
              </w:rPr>
              <w:t>QDII)</w:t>
            </w:r>
            <w:r>
              <w:rPr>
                <w:rFonts w:eastAsiaTheme="minorEastAsia"/>
                <w:color w:val="000000" w:themeColor="text1"/>
              </w:rPr>
              <w:t>、上投摩根中证沪港深科技</w:t>
            </w:r>
            <w:r>
              <w:rPr>
                <w:rFonts w:eastAsiaTheme="minorEastAsia"/>
                <w:color w:val="000000" w:themeColor="text1"/>
              </w:rPr>
              <w:t>100</w:t>
            </w:r>
            <w:r>
              <w:rPr>
                <w:rFonts w:eastAsiaTheme="minorEastAsia"/>
                <w:color w:val="000000" w:themeColor="text1"/>
              </w:rPr>
              <w:t>交易型开放式指数证券投资基金基金经理，自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月起同时担任上投摩根恒生科技交易型开放式指数证券投资基金（</w:t>
            </w:r>
            <w:r>
              <w:rPr>
                <w:rFonts w:eastAsiaTheme="minorEastAsia"/>
                <w:color w:val="000000" w:themeColor="text1"/>
              </w:rPr>
              <w:t>QDII</w:t>
            </w:r>
            <w:r>
              <w:rPr>
                <w:rFonts w:eastAsiaTheme="minorEastAsia"/>
                <w:color w:val="000000" w:themeColor="text1"/>
              </w:rPr>
              <w:t>）基金经理。</w:t>
            </w:r>
          </w:p>
        </w:tc>
      </w:tr>
      <w:tr w:rsidR="00402B06">
        <w:tc>
          <w:tcPr>
            <w:tcW w:w="851" w:type="dxa"/>
            <w:vAlign w:val="center"/>
          </w:tcPr>
          <w:p w:rsidR="00402B06" w:rsidRDefault="00647952">
            <w:pPr>
              <w:jc w:val="center"/>
            </w:pPr>
            <w:r>
              <w:rPr>
                <w:rFonts w:eastAsiaTheme="minorEastAsia"/>
                <w:color w:val="000000" w:themeColor="text1"/>
              </w:rPr>
              <w:t>何智豪</w:t>
            </w:r>
          </w:p>
        </w:tc>
        <w:tc>
          <w:tcPr>
            <w:tcW w:w="850" w:type="dxa"/>
            <w:vAlign w:val="center"/>
          </w:tcPr>
          <w:p w:rsidR="00402B06" w:rsidRDefault="00647952">
            <w:pPr>
              <w:jc w:val="center"/>
            </w:pPr>
            <w:r>
              <w:rPr>
                <w:rFonts w:eastAsiaTheme="minorEastAsia"/>
                <w:color w:val="000000" w:themeColor="text1"/>
              </w:rPr>
              <w:t>本基金基金经理</w:t>
            </w:r>
          </w:p>
        </w:tc>
        <w:tc>
          <w:tcPr>
            <w:tcW w:w="1560" w:type="dxa"/>
            <w:vAlign w:val="center"/>
          </w:tcPr>
          <w:p w:rsidR="00402B06" w:rsidRDefault="00647952">
            <w:pPr>
              <w:jc w:val="center"/>
            </w:pPr>
            <w:r>
              <w:rPr>
                <w:rFonts w:eastAsiaTheme="minorEastAsia"/>
                <w:color w:val="000000" w:themeColor="text1"/>
              </w:rPr>
              <w:t>2021-02-05</w:t>
            </w:r>
          </w:p>
        </w:tc>
        <w:tc>
          <w:tcPr>
            <w:tcW w:w="1559" w:type="dxa"/>
            <w:vAlign w:val="center"/>
          </w:tcPr>
          <w:p w:rsidR="00402B06" w:rsidRDefault="00647952">
            <w:pPr>
              <w:jc w:val="center"/>
            </w:pPr>
            <w:r>
              <w:rPr>
                <w:rFonts w:eastAsiaTheme="minorEastAsia"/>
                <w:color w:val="000000" w:themeColor="text1"/>
              </w:rPr>
              <w:t>-</w:t>
            </w:r>
          </w:p>
        </w:tc>
        <w:tc>
          <w:tcPr>
            <w:tcW w:w="1417" w:type="dxa"/>
            <w:vAlign w:val="center"/>
          </w:tcPr>
          <w:p w:rsidR="00402B06" w:rsidRDefault="00647952">
            <w:pPr>
              <w:jc w:val="center"/>
            </w:pPr>
            <w:r>
              <w:rPr>
                <w:rFonts w:eastAsiaTheme="minorEastAsia"/>
                <w:color w:val="000000" w:themeColor="text1"/>
              </w:rPr>
              <w:t>8</w:t>
            </w:r>
            <w:r>
              <w:rPr>
                <w:rFonts w:eastAsiaTheme="minorEastAsia"/>
                <w:color w:val="000000" w:themeColor="text1"/>
              </w:rPr>
              <w:t>年</w:t>
            </w:r>
          </w:p>
        </w:tc>
        <w:tc>
          <w:tcPr>
            <w:tcW w:w="2694" w:type="dxa"/>
            <w:vAlign w:val="center"/>
          </w:tcPr>
          <w:p w:rsidR="00402B06" w:rsidRDefault="00647952">
            <w:r>
              <w:rPr>
                <w:rFonts w:eastAsiaTheme="minorEastAsia"/>
                <w:color w:val="000000" w:themeColor="text1"/>
              </w:rPr>
              <w:t>何智豪先生，复旦大学应用数学硕士，现任指数及量化投资部基金经理。何智豪先生自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月，在中国国际金融股份有限公司担任组合与量化策略研究员、资产管理部高级经理；自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月起加入上投摩根基金管理有限公司。自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月起同时担任上投摩根量化多因子灵活配置混合型证券投资基金、上投摩根优选多因子股票型证券投资基金、上投摩根中证消费服务领先指数证券投资基金、上投摩根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股交易型开放式指数证券投资基金联接基金、上投摩根标普港股通低波红利指数型证券投资基金基金经理，自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月起同时担任上投摩根中证沪港深科技</w:t>
            </w:r>
            <w:r>
              <w:rPr>
                <w:rFonts w:eastAsiaTheme="minorEastAsia"/>
                <w:color w:val="000000" w:themeColor="text1"/>
              </w:rPr>
              <w:t>100</w:t>
            </w:r>
            <w:r>
              <w:rPr>
                <w:rFonts w:eastAsiaTheme="minorEastAsia"/>
                <w:color w:val="000000" w:themeColor="text1"/>
              </w:rPr>
              <w:t>交易型开放式指数证券投资基金、上投摩根恒生科技交易型开放式指数证券投资基金（</w:t>
            </w:r>
            <w:r>
              <w:rPr>
                <w:rFonts w:eastAsiaTheme="minorEastAsia"/>
                <w:color w:val="000000" w:themeColor="text1"/>
              </w:rPr>
              <w:t>QDII</w:t>
            </w:r>
            <w:r>
              <w:rPr>
                <w:rFonts w:eastAsiaTheme="minorEastAsia"/>
                <w:color w:val="000000" w:themeColor="text1"/>
              </w:rPr>
              <w:t>）基金经理。</w:t>
            </w:r>
          </w:p>
        </w:tc>
      </w:tr>
    </w:tbl>
    <w:p w:rsidR="00402B06" w:rsidRDefault="0064795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量化多因子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2022</w:t>
      </w:r>
      <w:r>
        <w:rPr>
          <w:rFonts w:eastAsiaTheme="minorEastAsia"/>
          <w:color w:val="000000" w:themeColor="text1"/>
        </w:rPr>
        <w:t>年一季度，</w:t>
      </w:r>
      <w:r>
        <w:rPr>
          <w:rFonts w:eastAsiaTheme="minorEastAsia"/>
          <w:color w:val="000000" w:themeColor="text1"/>
        </w:rPr>
        <w:t>A</w:t>
      </w:r>
      <w:r>
        <w:rPr>
          <w:rFonts w:eastAsiaTheme="minorEastAsia"/>
          <w:color w:val="000000" w:themeColor="text1"/>
        </w:rPr>
        <w:t>股内外环境均承压，指数下行压力显现。在经济增长压力加大，国内疫情扩散背景下，结合俄乌局势紧张，美联储加息临近等影响，虽然季末金融委会议表态提升市场信心，市场筑底回升，但当季各宽基指数跌幅仍在</w:t>
      </w:r>
      <w:r>
        <w:rPr>
          <w:rFonts w:eastAsiaTheme="minorEastAsia"/>
          <w:color w:val="000000" w:themeColor="text1"/>
        </w:rPr>
        <w:t>10%</w:t>
      </w:r>
      <w:r>
        <w:rPr>
          <w:rFonts w:eastAsiaTheme="minorEastAsia"/>
          <w:color w:val="000000" w:themeColor="text1"/>
        </w:rPr>
        <w:t>以上。分行业看，银行、地产等防御性板块在政策加持下展现出极强的抗跌能力，下游消费板块仍然延续</w:t>
      </w:r>
      <w:r>
        <w:rPr>
          <w:rFonts w:eastAsiaTheme="minorEastAsia"/>
          <w:color w:val="000000" w:themeColor="text1"/>
        </w:rPr>
        <w:t>2021</w:t>
      </w:r>
      <w:r>
        <w:rPr>
          <w:rFonts w:eastAsiaTheme="minorEastAsia"/>
          <w:color w:val="000000" w:themeColor="text1"/>
        </w:rPr>
        <w:t>年颓势，而成长性较强的新能源、半导体等在不确定性加剧的环境中进一步消化前期估值。从风格上来看，成长股集中回调，小市值以及低估值个股强势崛起，体现</w:t>
      </w:r>
      <w:r>
        <w:rPr>
          <w:rFonts w:eastAsiaTheme="minorEastAsia"/>
          <w:color w:val="000000" w:themeColor="text1"/>
        </w:rPr>
        <w:t>2020</w:t>
      </w:r>
      <w:r>
        <w:rPr>
          <w:rFonts w:eastAsiaTheme="minorEastAsia"/>
          <w:color w:val="000000" w:themeColor="text1"/>
        </w:rPr>
        <w:t>年以来随环境和</w:t>
      </w:r>
      <w:r>
        <w:rPr>
          <w:rFonts w:eastAsiaTheme="minorEastAsia"/>
          <w:color w:val="000000" w:themeColor="text1"/>
        </w:rPr>
        <w:t>A</w:t>
      </w:r>
      <w:r>
        <w:rPr>
          <w:rFonts w:eastAsiaTheme="minorEastAsia"/>
          <w:color w:val="000000" w:themeColor="text1"/>
        </w:rPr>
        <w:t>股估值变化，资金逐步从拥抱成长确定性走向权衡业绩性价比。综合看，在宏观经济下行压力和政策转身，以及外部环境面临挑战的持续冲突中，市场运行的长期逻辑（追求增长）和短期逻辑（寻求安全边际）也相互冲突，使得个股的短期表现以业绩驱动为主，本季度呈现出更加注重市场情绪变化和避险需求的特征，市场焦点扩散，且热点行情持续性不佳，超额收益的获取好于</w:t>
      </w:r>
      <w:r>
        <w:rPr>
          <w:rFonts w:eastAsiaTheme="minorEastAsia"/>
          <w:color w:val="000000" w:themeColor="text1"/>
        </w:rPr>
        <w:t>2021</w:t>
      </w:r>
      <w:r>
        <w:rPr>
          <w:rFonts w:eastAsiaTheme="minorEastAsia"/>
          <w:color w:val="000000" w:themeColor="text1"/>
        </w:rPr>
        <w:t>年四季度，但仍有一定挑战。本基金由于选股从多因子角度出发，偏重基本面因素，在行业板块分布和风格因子配置上相对均衡。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目前看，经历一季度调整后，在政策呵护和流动性提振下，中长期看</w:t>
      </w:r>
      <w:r w:rsidRPr="00FF6B9A">
        <w:rPr>
          <w:rFonts w:eastAsiaTheme="minorEastAsia"/>
          <w:color w:val="000000" w:themeColor="text1"/>
        </w:rPr>
        <w:t>A</w:t>
      </w:r>
      <w:r w:rsidRPr="00FF6B9A">
        <w:rPr>
          <w:rFonts w:eastAsiaTheme="minorEastAsia"/>
          <w:color w:val="000000" w:themeColor="text1"/>
        </w:rPr>
        <w:t>股已具备良好的投资性价比，二季度时的</w:t>
      </w:r>
      <w:r w:rsidRPr="00FF6B9A">
        <w:rPr>
          <w:rFonts w:eastAsiaTheme="minorEastAsia"/>
          <w:color w:val="000000" w:themeColor="text1"/>
        </w:rPr>
        <w:t>A</w:t>
      </w:r>
      <w:r w:rsidRPr="00FF6B9A">
        <w:rPr>
          <w:rFonts w:eastAsiaTheme="minorEastAsia"/>
          <w:color w:val="000000" w:themeColor="text1"/>
        </w:rPr>
        <w:t>股将迎来近年来较好的投资时机。在这样的市场中，一方面，投资高质量的成长因子不会过时，估值和业绩增速匹配的公司，特别是业绩初步兑现的新兴产业中，存在长期</w:t>
      </w:r>
      <w:r w:rsidRPr="00FF6B9A">
        <w:rPr>
          <w:rFonts w:eastAsiaTheme="minorEastAsia"/>
          <w:color w:val="000000" w:themeColor="text1"/>
        </w:rPr>
        <w:t>Alpha</w:t>
      </w:r>
      <w:r w:rsidRPr="00FF6B9A">
        <w:rPr>
          <w:rFonts w:eastAsiaTheme="minorEastAsia"/>
          <w:color w:val="000000" w:themeColor="text1"/>
        </w:rPr>
        <w:t>，短期内虽有延续波动的可能性，但仍然可以中长线布局。另一方面，在政策影响加强的环境中，政策持续呵护且估值偏低的行业如地产等也值得关注。在具体投资策略上，我们仍将坚持基本面出发的多因子选股策略，将研究往更高维度，更深层次延展，一方面自底向上总结基本面行业规律，一方面自顶向下研究单一风格分域统计规律，综合考虑个股的成长性、盈利能力、估值及买卖时点等多方面因素，力争构造风险收益特征优于市场基准的投资组合。</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本报告期上投摩根量化多因子混合份额净值增长率为</w:t>
      </w:r>
      <w:r w:rsidRPr="00FF6B9A">
        <w:rPr>
          <w:rFonts w:eastAsiaTheme="minorEastAsia"/>
          <w:color w:val="000000" w:themeColor="text1"/>
        </w:rPr>
        <w:t>:-9.75%</w:t>
      </w:r>
      <w:r w:rsidRPr="00FF6B9A">
        <w:rPr>
          <w:rFonts w:eastAsiaTheme="minorEastAsia"/>
          <w:color w:val="000000" w:themeColor="text1"/>
        </w:rPr>
        <w:t>，同期业绩比较基准收益率为</w:t>
      </w:r>
      <w:r w:rsidRPr="00FF6B9A">
        <w:rPr>
          <w:rFonts w:eastAsiaTheme="minorEastAsia"/>
          <w:color w:val="000000" w:themeColor="text1"/>
        </w:rPr>
        <w:t>:-8.77%</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报告期内，本基金存在连续六十个工作日基金资产净值低于五千万元的情况，出现该情况的时间范围为</w:t>
      </w:r>
      <w:r>
        <w:rPr>
          <w:rFonts w:eastAsiaTheme="minorEastAsia"/>
          <w:color w:val="000000" w:themeColor="text1"/>
          <w:kern w:val="0"/>
        </w:rPr>
        <w:t>2022</w:t>
      </w:r>
      <w:r>
        <w:rPr>
          <w:rFonts w:eastAsiaTheme="minorEastAsia"/>
          <w:color w:val="000000" w:themeColor="text1"/>
          <w:kern w:val="0"/>
        </w:rPr>
        <w:t>年</w:t>
      </w:r>
      <w:r>
        <w:rPr>
          <w:rFonts w:eastAsiaTheme="minorEastAsia"/>
          <w:color w:val="000000" w:themeColor="text1"/>
          <w:kern w:val="0"/>
        </w:rPr>
        <w:t>01</w:t>
      </w:r>
      <w:r>
        <w:rPr>
          <w:rFonts w:eastAsiaTheme="minorEastAsia"/>
          <w:color w:val="000000" w:themeColor="text1"/>
          <w:kern w:val="0"/>
        </w:rPr>
        <w:t>月</w:t>
      </w:r>
      <w:r>
        <w:rPr>
          <w:rFonts w:eastAsiaTheme="minorEastAsia"/>
          <w:color w:val="000000" w:themeColor="text1"/>
          <w:kern w:val="0"/>
        </w:rPr>
        <w:t>01</w:t>
      </w:r>
      <w:r>
        <w:rPr>
          <w:rFonts w:eastAsiaTheme="minorEastAsia"/>
          <w:color w:val="000000" w:themeColor="text1"/>
          <w:kern w:val="0"/>
        </w:rPr>
        <w:t>日至</w:t>
      </w:r>
      <w:r>
        <w:rPr>
          <w:rFonts w:eastAsiaTheme="minorEastAsia"/>
          <w:color w:val="000000" w:themeColor="text1"/>
          <w:kern w:val="0"/>
        </w:rPr>
        <w:t>2022</w:t>
      </w:r>
      <w:r>
        <w:rPr>
          <w:rFonts w:eastAsiaTheme="minorEastAsia"/>
          <w:color w:val="000000" w:themeColor="text1"/>
          <w:kern w:val="0"/>
        </w:rPr>
        <w:t>年</w:t>
      </w:r>
      <w:r>
        <w:rPr>
          <w:rFonts w:eastAsiaTheme="minorEastAsia"/>
          <w:color w:val="000000" w:themeColor="text1"/>
          <w:kern w:val="0"/>
        </w:rPr>
        <w:t>03</w:t>
      </w:r>
      <w:r>
        <w:rPr>
          <w:rFonts w:eastAsiaTheme="minorEastAsia"/>
          <w:color w:val="000000" w:themeColor="text1"/>
          <w:kern w:val="0"/>
        </w:rPr>
        <w:t>月</w:t>
      </w:r>
      <w:r>
        <w:rPr>
          <w:rFonts w:eastAsiaTheme="minorEastAsia"/>
          <w:color w:val="000000" w:themeColor="text1"/>
          <w:kern w:val="0"/>
        </w:rPr>
        <w:t>31</w:t>
      </w:r>
      <w:r>
        <w:rPr>
          <w:rFonts w:eastAsiaTheme="minorEastAsia"/>
          <w:color w:val="000000" w:themeColor="text1"/>
          <w:kern w:val="0"/>
        </w:rPr>
        <w:t>日。</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基金管理人拟调整本基金运作方式，加大营销力度，提升基金规模，方案已报监管机关。</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19,071,448.05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91.78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19,071,448.05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91.78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219,523.31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219,523.31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1,480,024.90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7.12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7,861.51</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20,778,857.77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113,623.42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0.55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403,636.00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1.96</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11,344,898.07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55.05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467,989.00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678,960.00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894,915.82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765,625.50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1,745,857.00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1,004,028.40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4.87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333,032.40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74,989.20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561,237.00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148,970.24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33,550.00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500,136.00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19,071,448.05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92.54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402B06">
        <w:tc>
          <w:tcPr>
            <w:tcW w:w="817" w:type="dxa"/>
            <w:vAlign w:val="center"/>
          </w:tcPr>
          <w:p w:rsidR="00402B06" w:rsidRDefault="00647952">
            <w:pPr>
              <w:jc w:val="center"/>
            </w:pPr>
            <w:r>
              <w:rPr>
                <w:rFonts w:eastAsiaTheme="minorEastAsia"/>
                <w:kern w:val="0"/>
                <w:sz w:val="24"/>
                <w:szCs w:val="24"/>
              </w:rPr>
              <w:t>1</w:t>
            </w:r>
          </w:p>
        </w:tc>
        <w:tc>
          <w:tcPr>
            <w:tcW w:w="1276" w:type="dxa"/>
            <w:vAlign w:val="center"/>
          </w:tcPr>
          <w:p w:rsidR="00402B06" w:rsidRDefault="00647952">
            <w:pPr>
              <w:jc w:val="center"/>
            </w:pPr>
            <w:r>
              <w:rPr>
                <w:rFonts w:eastAsiaTheme="minorEastAsia"/>
                <w:kern w:val="0"/>
                <w:sz w:val="24"/>
                <w:szCs w:val="24"/>
              </w:rPr>
              <w:t>000090</w:t>
            </w:r>
          </w:p>
        </w:tc>
        <w:tc>
          <w:tcPr>
            <w:tcW w:w="1701" w:type="dxa"/>
            <w:vAlign w:val="center"/>
          </w:tcPr>
          <w:p w:rsidR="00402B06" w:rsidRDefault="00647952">
            <w:pPr>
              <w:jc w:val="center"/>
            </w:pPr>
            <w:r>
              <w:rPr>
                <w:rFonts w:eastAsiaTheme="minorEastAsia"/>
                <w:kern w:val="0"/>
                <w:sz w:val="24"/>
                <w:szCs w:val="24"/>
              </w:rPr>
              <w:t>天健集团</w:t>
            </w:r>
          </w:p>
        </w:tc>
        <w:tc>
          <w:tcPr>
            <w:tcW w:w="1276" w:type="dxa"/>
            <w:vAlign w:val="center"/>
          </w:tcPr>
          <w:p w:rsidR="00402B06" w:rsidRDefault="00647952">
            <w:pPr>
              <w:jc w:val="right"/>
            </w:pPr>
            <w:r>
              <w:rPr>
                <w:rFonts w:eastAsiaTheme="minorEastAsia"/>
                <w:kern w:val="0"/>
                <w:sz w:val="24"/>
                <w:szCs w:val="24"/>
              </w:rPr>
              <w:t>98,400.00</w:t>
            </w:r>
          </w:p>
        </w:tc>
        <w:tc>
          <w:tcPr>
            <w:tcW w:w="1842" w:type="dxa"/>
            <w:vAlign w:val="center"/>
          </w:tcPr>
          <w:p w:rsidR="00402B06" w:rsidRDefault="00647952">
            <w:pPr>
              <w:jc w:val="right"/>
            </w:pPr>
            <w:r>
              <w:rPr>
                <w:rFonts w:eastAsiaTheme="minorEastAsia"/>
                <w:kern w:val="0"/>
                <w:sz w:val="24"/>
                <w:szCs w:val="24"/>
              </w:rPr>
              <w:t>678,960.00</w:t>
            </w:r>
          </w:p>
        </w:tc>
        <w:tc>
          <w:tcPr>
            <w:tcW w:w="1616" w:type="dxa"/>
            <w:vAlign w:val="center"/>
          </w:tcPr>
          <w:p w:rsidR="00402B06" w:rsidRDefault="00647952">
            <w:pPr>
              <w:jc w:val="right"/>
            </w:pPr>
            <w:r>
              <w:rPr>
                <w:rFonts w:eastAsiaTheme="minorEastAsia"/>
                <w:kern w:val="0"/>
                <w:sz w:val="24"/>
                <w:szCs w:val="24"/>
              </w:rPr>
              <w:t>3.29</w:t>
            </w:r>
          </w:p>
        </w:tc>
      </w:tr>
      <w:tr w:rsidR="00402B06">
        <w:tc>
          <w:tcPr>
            <w:tcW w:w="817" w:type="dxa"/>
            <w:vAlign w:val="center"/>
          </w:tcPr>
          <w:p w:rsidR="00402B06" w:rsidRDefault="00647952">
            <w:pPr>
              <w:jc w:val="center"/>
            </w:pPr>
            <w:r>
              <w:rPr>
                <w:rFonts w:eastAsiaTheme="minorEastAsia"/>
                <w:kern w:val="0"/>
                <w:sz w:val="24"/>
                <w:szCs w:val="24"/>
              </w:rPr>
              <w:t>2</w:t>
            </w:r>
          </w:p>
        </w:tc>
        <w:tc>
          <w:tcPr>
            <w:tcW w:w="1276" w:type="dxa"/>
            <w:vAlign w:val="center"/>
          </w:tcPr>
          <w:p w:rsidR="00402B06" w:rsidRDefault="00647952">
            <w:pPr>
              <w:jc w:val="center"/>
            </w:pPr>
            <w:r>
              <w:rPr>
                <w:rFonts w:eastAsiaTheme="minorEastAsia"/>
                <w:kern w:val="0"/>
                <w:sz w:val="24"/>
                <w:szCs w:val="24"/>
              </w:rPr>
              <w:t>600546</w:t>
            </w:r>
          </w:p>
        </w:tc>
        <w:tc>
          <w:tcPr>
            <w:tcW w:w="1701" w:type="dxa"/>
            <w:vAlign w:val="center"/>
          </w:tcPr>
          <w:p w:rsidR="00402B06" w:rsidRDefault="00647952">
            <w:pPr>
              <w:jc w:val="center"/>
            </w:pPr>
            <w:r>
              <w:rPr>
                <w:rFonts w:eastAsiaTheme="minorEastAsia"/>
                <w:kern w:val="0"/>
                <w:sz w:val="24"/>
                <w:szCs w:val="24"/>
              </w:rPr>
              <w:t>山煤国际</w:t>
            </w:r>
          </w:p>
        </w:tc>
        <w:tc>
          <w:tcPr>
            <w:tcW w:w="1276" w:type="dxa"/>
            <w:vAlign w:val="center"/>
          </w:tcPr>
          <w:p w:rsidR="00402B06" w:rsidRDefault="00647952">
            <w:pPr>
              <w:jc w:val="right"/>
            </w:pPr>
            <w:r>
              <w:rPr>
                <w:rFonts w:eastAsiaTheme="minorEastAsia"/>
                <w:kern w:val="0"/>
                <w:sz w:val="24"/>
                <w:szCs w:val="24"/>
              </w:rPr>
              <w:t>48,500.00</w:t>
            </w:r>
          </w:p>
        </w:tc>
        <w:tc>
          <w:tcPr>
            <w:tcW w:w="1842" w:type="dxa"/>
            <w:vAlign w:val="center"/>
          </w:tcPr>
          <w:p w:rsidR="00402B06" w:rsidRDefault="00647952">
            <w:pPr>
              <w:jc w:val="right"/>
            </w:pPr>
            <w:r>
              <w:rPr>
                <w:rFonts w:eastAsiaTheme="minorEastAsia"/>
                <w:kern w:val="0"/>
                <w:sz w:val="24"/>
                <w:szCs w:val="24"/>
              </w:rPr>
              <w:t>669,300.00</w:t>
            </w:r>
          </w:p>
        </w:tc>
        <w:tc>
          <w:tcPr>
            <w:tcW w:w="1616" w:type="dxa"/>
            <w:vAlign w:val="center"/>
          </w:tcPr>
          <w:p w:rsidR="00402B06" w:rsidRDefault="00647952">
            <w:pPr>
              <w:jc w:val="right"/>
            </w:pPr>
            <w:r>
              <w:rPr>
                <w:rFonts w:eastAsiaTheme="minorEastAsia"/>
                <w:kern w:val="0"/>
                <w:sz w:val="24"/>
                <w:szCs w:val="24"/>
              </w:rPr>
              <w:t>3.25</w:t>
            </w:r>
          </w:p>
        </w:tc>
      </w:tr>
      <w:tr w:rsidR="00402B06">
        <w:tc>
          <w:tcPr>
            <w:tcW w:w="817" w:type="dxa"/>
            <w:vAlign w:val="center"/>
          </w:tcPr>
          <w:p w:rsidR="00402B06" w:rsidRDefault="00647952">
            <w:pPr>
              <w:jc w:val="center"/>
            </w:pPr>
            <w:r>
              <w:rPr>
                <w:rFonts w:eastAsiaTheme="minorEastAsia"/>
                <w:kern w:val="0"/>
                <w:sz w:val="24"/>
                <w:szCs w:val="24"/>
              </w:rPr>
              <w:t>3</w:t>
            </w:r>
          </w:p>
        </w:tc>
        <w:tc>
          <w:tcPr>
            <w:tcW w:w="1276" w:type="dxa"/>
            <w:vAlign w:val="center"/>
          </w:tcPr>
          <w:p w:rsidR="00402B06" w:rsidRDefault="00647952">
            <w:pPr>
              <w:jc w:val="center"/>
            </w:pPr>
            <w:r>
              <w:rPr>
                <w:rFonts w:eastAsiaTheme="minorEastAsia"/>
                <w:kern w:val="0"/>
                <w:sz w:val="24"/>
                <w:szCs w:val="24"/>
              </w:rPr>
              <w:t>600233</w:t>
            </w:r>
          </w:p>
        </w:tc>
        <w:tc>
          <w:tcPr>
            <w:tcW w:w="1701" w:type="dxa"/>
            <w:vAlign w:val="center"/>
          </w:tcPr>
          <w:p w:rsidR="00402B06" w:rsidRDefault="00647952">
            <w:pPr>
              <w:jc w:val="center"/>
            </w:pPr>
            <w:r>
              <w:rPr>
                <w:rFonts w:eastAsiaTheme="minorEastAsia"/>
                <w:kern w:val="0"/>
                <w:sz w:val="24"/>
                <w:szCs w:val="24"/>
              </w:rPr>
              <w:t>圆通速递</w:t>
            </w:r>
          </w:p>
        </w:tc>
        <w:tc>
          <w:tcPr>
            <w:tcW w:w="1276" w:type="dxa"/>
            <w:vAlign w:val="center"/>
          </w:tcPr>
          <w:p w:rsidR="00402B06" w:rsidRDefault="00647952">
            <w:pPr>
              <w:jc w:val="right"/>
            </w:pPr>
            <w:r>
              <w:rPr>
                <w:rFonts w:eastAsiaTheme="minorEastAsia"/>
                <w:kern w:val="0"/>
                <w:sz w:val="24"/>
                <w:szCs w:val="24"/>
              </w:rPr>
              <w:t>38,300.00</w:t>
            </w:r>
          </w:p>
        </w:tc>
        <w:tc>
          <w:tcPr>
            <w:tcW w:w="1842" w:type="dxa"/>
            <w:vAlign w:val="center"/>
          </w:tcPr>
          <w:p w:rsidR="00402B06" w:rsidRDefault="00647952">
            <w:pPr>
              <w:jc w:val="right"/>
            </w:pPr>
            <w:r>
              <w:rPr>
                <w:rFonts w:eastAsiaTheme="minorEastAsia"/>
                <w:kern w:val="0"/>
                <w:sz w:val="24"/>
                <w:szCs w:val="24"/>
              </w:rPr>
              <w:t>660,675.00</w:t>
            </w:r>
          </w:p>
        </w:tc>
        <w:tc>
          <w:tcPr>
            <w:tcW w:w="1616" w:type="dxa"/>
            <w:vAlign w:val="center"/>
          </w:tcPr>
          <w:p w:rsidR="00402B06" w:rsidRDefault="00647952">
            <w:pPr>
              <w:jc w:val="right"/>
            </w:pPr>
            <w:r>
              <w:rPr>
                <w:rFonts w:eastAsiaTheme="minorEastAsia"/>
                <w:kern w:val="0"/>
                <w:sz w:val="24"/>
                <w:szCs w:val="24"/>
              </w:rPr>
              <w:t>3.21</w:t>
            </w:r>
          </w:p>
        </w:tc>
      </w:tr>
      <w:tr w:rsidR="00402B06">
        <w:tc>
          <w:tcPr>
            <w:tcW w:w="817" w:type="dxa"/>
            <w:vAlign w:val="center"/>
          </w:tcPr>
          <w:p w:rsidR="00402B06" w:rsidRDefault="00647952">
            <w:pPr>
              <w:jc w:val="center"/>
            </w:pPr>
            <w:r>
              <w:rPr>
                <w:rFonts w:eastAsiaTheme="minorEastAsia"/>
                <w:kern w:val="0"/>
                <w:sz w:val="24"/>
                <w:szCs w:val="24"/>
              </w:rPr>
              <w:t>4</w:t>
            </w:r>
          </w:p>
        </w:tc>
        <w:tc>
          <w:tcPr>
            <w:tcW w:w="1276" w:type="dxa"/>
            <w:vAlign w:val="center"/>
          </w:tcPr>
          <w:p w:rsidR="00402B06" w:rsidRDefault="00647952">
            <w:pPr>
              <w:jc w:val="center"/>
            </w:pPr>
            <w:r>
              <w:rPr>
                <w:rFonts w:eastAsiaTheme="minorEastAsia"/>
                <w:kern w:val="0"/>
                <w:sz w:val="24"/>
                <w:szCs w:val="24"/>
              </w:rPr>
              <w:t>600718</w:t>
            </w:r>
          </w:p>
        </w:tc>
        <w:tc>
          <w:tcPr>
            <w:tcW w:w="1701" w:type="dxa"/>
            <w:vAlign w:val="center"/>
          </w:tcPr>
          <w:p w:rsidR="00402B06" w:rsidRDefault="00647952">
            <w:pPr>
              <w:jc w:val="center"/>
            </w:pPr>
            <w:r>
              <w:rPr>
                <w:rFonts w:eastAsiaTheme="minorEastAsia"/>
                <w:kern w:val="0"/>
                <w:sz w:val="24"/>
                <w:szCs w:val="24"/>
              </w:rPr>
              <w:t>东软集团</w:t>
            </w:r>
          </w:p>
        </w:tc>
        <w:tc>
          <w:tcPr>
            <w:tcW w:w="1276" w:type="dxa"/>
            <w:vAlign w:val="center"/>
          </w:tcPr>
          <w:p w:rsidR="00402B06" w:rsidRDefault="00647952">
            <w:pPr>
              <w:jc w:val="right"/>
            </w:pPr>
            <w:r>
              <w:rPr>
                <w:rFonts w:eastAsiaTheme="minorEastAsia"/>
                <w:kern w:val="0"/>
                <w:sz w:val="24"/>
                <w:szCs w:val="24"/>
              </w:rPr>
              <w:t>50,500.00</w:t>
            </w:r>
          </w:p>
        </w:tc>
        <w:tc>
          <w:tcPr>
            <w:tcW w:w="1842" w:type="dxa"/>
            <w:vAlign w:val="center"/>
          </w:tcPr>
          <w:p w:rsidR="00402B06" w:rsidRDefault="00647952">
            <w:pPr>
              <w:jc w:val="right"/>
            </w:pPr>
            <w:r>
              <w:rPr>
                <w:rFonts w:eastAsiaTheme="minorEastAsia"/>
                <w:kern w:val="0"/>
                <w:sz w:val="24"/>
                <w:szCs w:val="24"/>
              </w:rPr>
              <w:t>598,930.00</w:t>
            </w:r>
          </w:p>
        </w:tc>
        <w:tc>
          <w:tcPr>
            <w:tcW w:w="1616" w:type="dxa"/>
            <w:vAlign w:val="center"/>
          </w:tcPr>
          <w:p w:rsidR="00402B06" w:rsidRDefault="00647952">
            <w:pPr>
              <w:jc w:val="right"/>
            </w:pPr>
            <w:r>
              <w:rPr>
                <w:rFonts w:eastAsiaTheme="minorEastAsia"/>
                <w:kern w:val="0"/>
                <w:sz w:val="24"/>
                <w:szCs w:val="24"/>
              </w:rPr>
              <w:t>2.91</w:t>
            </w:r>
          </w:p>
        </w:tc>
      </w:tr>
      <w:tr w:rsidR="00402B06">
        <w:tc>
          <w:tcPr>
            <w:tcW w:w="817" w:type="dxa"/>
            <w:vAlign w:val="center"/>
          </w:tcPr>
          <w:p w:rsidR="00402B06" w:rsidRDefault="00647952">
            <w:pPr>
              <w:jc w:val="center"/>
            </w:pPr>
            <w:r>
              <w:rPr>
                <w:rFonts w:eastAsiaTheme="minorEastAsia"/>
                <w:kern w:val="0"/>
                <w:sz w:val="24"/>
                <w:szCs w:val="24"/>
              </w:rPr>
              <w:t>5</w:t>
            </w:r>
          </w:p>
        </w:tc>
        <w:tc>
          <w:tcPr>
            <w:tcW w:w="1276" w:type="dxa"/>
            <w:vAlign w:val="center"/>
          </w:tcPr>
          <w:p w:rsidR="00402B06" w:rsidRDefault="00647952">
            <w:pPr>
              <w:jc w:val="center"/>
            </w:pPr>
            <w:r>
              <w:rPr>
                <w:rFonts w:eastAsiaTheme="minorEastAsia"/>
                <w:kern w:val="0"/>
                <w:sz w:val="24"/>
                <w:szCs w:val="24"/>
              </w:rPr>
              <w:t>000725</w:t>
            </w:r>
          </w:p>
        </w:tc>
        <w:tc>
          <w:tcPr>
            <w:tcW w:w="1701" w:type="dxa"/>
            <w:vAlign w:val="center"/>
          </w:tcPr>
          <w:p w:rsidR="00402B06" w:rsidRDefault="00647952">
            <w:pPr>
              <w:jc w:val="center"/>
            </w:pPr>
            <w:r>
              <w:rPr>
                <w:rFonts w:eastAsiaTheme="minorEastAsia"/>
                <w:kern w:val="0"/>
                <w:sz w:val="24"/>
                <w:szCs w:val="24"/>
              </w:rPr>
              <w:t>京东方</w:t>
            </w:r>
            <w:r>
              <w:rPr>
                <w:rFonts w:eastAsiaTheme="minorEastAsia"/>
                <w:kern w:val="0"/>
                <w:sz w:val="24"/>
                <w:szCs w:val="24"/>
              </w:rPr>
              <w:t>A</w:t>
            </w:r>
          </w:p>
        </w:tc>
        <w:tc>
          <w:tcPr>
            <w:tcW w:w="1276" w:type="dxa"/>
            <w:vAlign w:val="center"/>
          </w:tcPr>
          <w:p w:rsidR="00402B06" w:rsidRDefault="00647952">
            <w:pPr>
              <w:jc w:val="right"/>
            </w:pPr>
            <w:r>
              <w:rPr>
                <w:rFonts w:eastAsiaTheme="minorEastAsia"/>
                <w:kern w:val="0"/>
                <w:sz w:val="24"/>
                <w:szCs w:val="24"/>
              </w:rPr>
              <w:t>129,870.00</w:t>
            </w:r>
          </w:p>
        </w:tc>
        <w:tc>
          <w:tcPr>
            <w:tcW w:w="1842" w:type="dxa"/>
            <w:vAlign w:val="center"/>
          </w:tcPr>
          <w:p w:rsidR="00402B06" w:rsidRDefault="00647952">
            <w:pPr>
              <w:jc w:val="right"/>
            </w:pPr>
            <w:r>
              <w:rPr>
                <w:rFonts w:eastAsiaTheme="minorEastAsia"/>
                <w:kern w:val="0"/>
                <w:sz w:val="24"/>
                <w:szCs w:val="24"/>
              </w:rPr>
              <w:t>559,739.70</w:t>
            </w:r>
          </w:p>
        </w:tc>
        <w:tc>
          <w:tcPr>
            <w:tcW w:w="1616" w:type="dxa"/>
            <w:vAlign w:val="center"/>
          </w:tcPr>
          <w:p w:rsidR="00402B06" w:rsidRDefault="00647952">
            <w:pPr>
              <w:jc w:val="right"/>
            </w:pPr>
            <w:r>
              <w:rPr>
                <w:rFonts w:eastAsiaTheme="minorEastAsia"/>
                <w:kern w:val="0"/>
                <w:sz w:val="24"/>
                <w:szCs w:val="24"/>
              </w:rPr>
              <w:t>2.72</w:t>
            </w:r>
          </w:p>
        </w:tc>
      </w:tr>
      <w:tr w:rsidR="00402B06">
        <w:tc>
          <w:tcPr>
            <w:tcW w:w="817" w:type="dxa"/>
            <w:vAlign w:val="center"/>
          </w:tcPr>
          <w:p w:rsidR="00402B06" w:rsidRDefault="00647952">
            <w:pPr>
              <w:jc w:val="center"/>
            </w:pPr>
            <w:r>
              <w:rPr>
                <w:rFonts w:eastAsiaTheme="minorEastAsia"/>
                <w:kern w:val="0"/>
                <w:sz w:val="24"/>
                <w:szCs w:val="24"/>
              </w:rPr>
              <w:t>6</w:t>
            </w:r>
          </w:p>
        </w:tc>
        <w:tc>
          <w:tcPr>
            <w:tcW w:w="1276" w:type="dxa"/>
            <w:vAlign w:val="center"/>
          </w:tcPr>
          <w:p w:rsidR="00402B06" w:rsidRDefault="00647952">
            <w:pPr>
              <w:jc w:val="center"/>
            </w:pPr>
            <w:r>
              <w:rPr>
                <w:rFonts w:eastAsiaTheme="minorEastAsia"/>
                <w:kern w:val="0"/>
                <w:sz w:val="24"/>
                <w:szCs w:val="24"/>
              </w:rPr>
              <w:t>600160</w:t>
            </w:r>
          </w:p>
        </w:tc>
        <w:tc>
          <w:tcPr>
            <w:tcW w:w="1701" w:type="dxa"/>
            <w:vAlign w:val="center"/>
          </w:tcPr>
          <w:p w:rsidR="00402B06" w:rsidRDefault="00647952">
            <w:pPr>
              <w:jc w:val="center"/>
            </w:pPr>
            <w:r>
              <w:rPr>
                <w:rFonts w:eastAsiaTheme="minorEastAsia"/>
                <w:kern w:val="0"/>
                <w:sz w:val="24"/>
                <w:szCs w:val="24"/>
              </w:rPr>
              <w:t>巨化股份</w:t>
            </w:r>
          </w:p>
        </w:tc>
        <w:tc>
          <w:tcPr>
            <w:tcW w:w="1276" w:type="dxa"/>
            <w:vAlign w:val="center"/>
          </w:tcPr>
          <w:p w:rsidR="00402B06" w:rsidRDefault="00647952">
            <w:pPr>
              <w:jc w:val="right"/>
            </w:pPr>
            <w:r>
              <w:rPr>
                <w:rFonts w:eastAsiaTheme="minorEastAsia"/>
                <w:kern w:val="0"/>
                <w:sz w:val="24"/>
                <w:szCs w:val="24"/>
              </w:rPr>
              <w:t>42,700.00</w:t>
            </w:r>
          </w:p>
        </w:tc>
        <w:tc>
          <w:tcPr>
            <w:tcW w:w="1842" w:type="dxa"/>
            <w:vAlign w:val="center"/>
          </w:tcPr>
          <w:p w:rsidR="00402B06" w:rsidRDefault="00647952">
            <w:pPr>
              <w:jc w:val="right"/>
            </w:pPr>
            <w:r>
              <w:rPr>
                <w:rFonts w:eastAsiaTheme="minorEastAsia"/>
                <w:kern w:val="0"/>
                <w:sz w:val="24"/>
                <w:szCs w:val="24"/>
              </w:rPr>
              <w:t>557,662.00</w:t>
            </w:r>
          </w:p>
        </w:tc>
        <w:tc>
          <w:tcPr>
            <w:tcW w:w="1616" w:type="dxa"/>
            <w:vAlign w:val="center"/>
          </w:tcPr>
          <w:p w:rsidR="00402B06" w:rsidRDefault="00647952">
            <w:pPr>
              <w:jc w:val="right"/>
            </w:pPr>
            <w:r>
              <w:rPr>
                <w:rFonts w:eastAsiaTheme="minorEastAsia"/>
                <w:kern w:val="0"/>
                <w:sz w:val="24"/>
                <w:szCs w:val="24"/>
              </w:rPr>
              <w:t>2.71</w:t>
            </w:r>
          </w:p>
        </w:tc>
      </w:tr>
      <w:tr w:rsidR="00402B06">
        <w:tc>
          <w:tcPr>
            <w:tcW w:w="817" w:type="dxa"/>
            <w:vAlign w:val="center"/>
          </w:tcPr>
          <w:p w:rsidR="00402B06" w:rsidRDefault="00647952">
            <w:pPr>
              <w:jc w:val="center"/>
            </w:pPr>
            <w:r>
              <w:rPr>
                <w:rFonts w:eastAsiaTheme="minorEastAsia"/>
                <w:kern w:val="0"/>
                <w:sz w:val="24"/>
                <w:szCs w:val="24"/>
              </w:rPr>
              <w:t>7</w:t>
            </w:r>
          </w:p>
        </w:tc>
        <w:tc>
          <w:tcPr>
            <w:tcW w:w="1276" w:type="dxa"/>
            <w:vAlign w:val="center"/>
          </w:tcPr>
          <w:p w:rsidR="00402B06" w:rsidRDefault="00647952">
            <w:pPr>
              <w:jc w:val="center"/>
            </w:pPr>
            <w:r>
              <w:rPr>
                <w:rFonts w:eastAsiaTheme="minorEastAsia"/>
                <w:kern w:val="0"/>
                <w:sz w:val="24"/>
                <w:szCs w:val="24"/>
              </w:rPr>
              <w:t>600873</w:t>
            </w:r>
          </w:p>
        </w:tc>
        <w:tc>
          <w:tcPr>
            <w:tcW w:w="1701" w:type="dxa"/>
            <w:vAlign w:val="center"/>
          </w:tcPr>
          <w:p w:rsidR="00402B06" w:rsidRDefault="00647952">
            <w:pPr>
              <w:jc w:val="center"/>
            </w:pPr>
            <w:r>
              <w:rPr>
                <w:rFonts w:eastAsiaTheme="minorEastAsia"/>
                <w:kern w:val="0"/>
                <w:sz w:val="24"/>
                <w:szCs w:val="24"/>
              </w:rPr>
              <w:t>梅花生物</w:t>
            </w:r>
          </w:p>
        </w:tc>
        <w:tc>
          <w:tcPr>
            <w:tcW w:w="1276" w:type="dxa"/>
            <w:vAlign w:val="center"/>
          </w:tcPr>
          <w:p w:rsidR="00402B06" w:rsidRDefault="00647952">
            <w:pPr>
              <w:jc w:val="right"/>
            </w:pPr>
            <w:r>
              <w:rPr>
                <w:rFonts w:eastAsiaTheme="minorEastAsia"/>
                <w:kern w:val="0"/>
                <w:sz w:val="24"/>
                <w:szCs w:val="24"/>
              </w:rPr>
              <w:t>58,800.00</w:t>
            </w:r>
          </w:p>
        </w:tc>
        <w:tc>
          <w:tcPr>
            <w:tcW w:w="1842" w:type="dxa"/>
            <w:vAlign w:val="center"/>
          </w:tcPr>
          <w:p w:rsidR="00402B06" w:rsidRDefault="00647952">
            <w:pPr>
              <w:jc w:val="right"/>
            </w:pPr>
            <w:r>
              <w:rPr>
                <w:rFonts w:eastAsiaTheme="minorEastAsia"/>
                <w:kern w:val="0"/>
                <w:sz w:val="24"/>
                <w:szCs w:val="24"/>
              </w:rPr>
              <w:t>533,904.00</w:t>
            </w:r>
          </w:p>
        </w:tc>
        <w:tc>
          <w:tcPr>
            <w:tcW w:w="1616" w:type="dxa"/>
            <w:vAlign w:val="center"/>
          </w:tcPr>
          <w:p w:rsidR="00402B06" w:rsidRDefault="00647952">
            <w:pPr>
              <w:jc w:val="right"/>
            </w:pPr>
            <w:r>
              <w:rPr>
                <w:rFonts w:eastAsiaTheme="minorEastAsia"/>
                <w:kern w:val="0"/>
                <w:sz w:val="24"/>
                <w:szCs w:val="24"/>
              </w:rPr>
              <w:t>2.59</w:t>
            </w:r>
          </w:p>
        </w:tc>
      </w:tr>
      <w:tr w:rsidR="00402B06">
        <w:tc>
          <w:tcPr>
            <w:tcW w:w="817" w:type="dxa"/>
            <w:vAlign w:val="center"/>
          </w:tcPr>
          <w:p w:rsidR="00402B06" w:rsidRDefault="00647952">
            <w:pPr>
              <w:jc w:val="center"/>
            </w:pPr>
            <w:r>
              <w:rPr>
                <w:rFonts w:eastAsiaTheme="minorEastAsia"/>
                <w:kern w:val="0"/>
                <w:sz w:val="24"/>
                <w:szCs w:val="24"/>
              </w:rPr>
              <w:t>8</w:t>
            </w:r>
          </w:p>
        </w:tc>
        <w:tc>
          <w:tcPr>
            <w:tcW w:w="1276" w:type="dxa"/>
            <w:vAlign w:val="center"/>
          </w:tcPr>
          <w:p w:rsidR="00402B06" w:rsidRDefault="00647952">
            <w:pPr>
              <w:jc w:val="center"/>
            </w:pPr>
            <w:r>
              <w:rPr>
                <w:rFonts w:eastAsiaTheme="minorEastAsia"/>
                <w:kern w:val="0"/>
                <w:sz w:val="24"/>
                <w:szCs w:val="24"/>
              </w:rPr>
              <w:t>603259</w:t>
            </w:r>
          </w:p>
        </w:tc>
        <w:tc>
          <w:tcPr>
            <w:tcW w:w="1701" w:type="dxa"/>
            <w:vAlign w:val="center"/>
          </w:tcPr>
          <w:p w:rsidR="00402B06" w:rsidRDefault="00647952">
            <w:pPr>
              <w:jc w:val="center"/>
            </w:pPr>
            <w:r>
              <w:rPr>
                <w:rFonts w:eastAsiaTheme="minorEastAsia"/>
                <w:kern w:val="0"/>
                <w:sz w:val="24"/>
                <w:szCs w:val="24"/>
              </w:rPr>
              <w:t>药明康德</w:t>
            </w:r>
          </w:p>
        </w:tc>
        <w:tc>
          <w:tcPr>
            <w:tcW w:w="1276" w:type="dxa"/>
            <w:vAlign w:val="center"/>
          </w:tcPr>
          <w:p w:rsidR="00402B06" w:rsidRDefault="00647952">
            <w:pPr>
              <w:jc w:val="right"/>
            </w:pPr>
            <w:r>
              <w:rPr>
                <w:rFonts w:eastAsiaTheme="minorEastAsia"/>
                <w:kern w:val="0"/>
                <w:sz w:val="24"/>
                <w:szCs w:val="24"/>
              </w:rPr>
              <w:t>4,700.00</w:t>
            </w:r>
          </w:p>
        </w:tc>
        <w:tc>
          <w:tcPr>
            <w:tcW w:w="1842" w:type="dxa"/>
            <w:vAlign w:val="center"/>
          </w:tcPr>
          <w:p w:rsidR="00402B06" w:rsidRDefault="00647952">
            <w:pPr>
              <w:jc w:val="right"/>
            </w:pPr>
            <w:r>
              <w:rPr>
                <w:rFonts w:eastAsiaTheme="minorEastAsia"/>
                <w:kern w:val="0"/>
                <w:sz w:val="24"/>
                <w:szCs w:val="24"/>
              </w:rPr>
              <w:t>528,186.00</w:t>
            </w:r>
          </w:p>
        </w:tc>
        <w:tc>
          <w:tcPr>
            <w:tcW w:w="1616" w:type="dxa"/>
            <w:vAlign w:val="center"/>
          </w:tcPr>
          <w:p w:rsidR="00402B06" w:rsidRDefault="00647952">
            <w:pPr>
              <w:jc w:val="right"/>
            </w:pPr>
            <w:r>
              <w:rPr>
                <w:rFonts w:eastAsiaTheme="minorEastAsia"/>
                <w:kern w:val="0"/>
                <w:sz w:val="24"/>
                <w:szCs w:val="24"/>
              </w:rPr>
              <w:t>2.56</w:t>
            </w:r>
          </w:p>
        </w:tc>
      </w:tr>
      <w:tr w:rsidR="00402B06">
        <w:tc>
          <w:tcPr>
            <w:tcW w:w="817" w:type="dxa"/>
            <w:vAlign w:val="center"/>
          </w:tcPr>
          <w:p w:rsidR="00402B06" w:rsidRDefault="00647952">
            <w:pPr>
              <w:jc w:val="center"/>
            </w:pPr>
            <w:r>
              <w:rPr>
                <w:rFonts w:eastAsiaTheme="minorEastAsia"/>
                <w:kern w:val="0"/>
                <w:sz w:val="24"/>
                <w:szCs w:val="24"/>
              </w:rPr>
              <w:t>9</w:t>
            </w:r>
          </w:p>
        </w:tc>
        <w:tc>
          <w:tcPr>
            <w:tcW w:w="1276" w:type="dxa"/>
            <w:vAlign w:val="center"/>
          </w:tcPr>
          <w:p w:rsidR="00402B06" w:rsidRDefault="00647952">
            <w:pPr>
              <w:jc w:val="center"/>
            </w:pPr>
            <w:r>
              <w:rPr>
                <w:rFonts w:eastAsiaTheme="minorEastAsia"/>
                <w:kern w:val="0"/>
                <w:sz w:val="24"/>
                <w:szCs w:val="24"/>
              </w:rPr>
              <w:t>002008</w:t>
            </w:r>
          </w:p>
        </w:tc>
        <w:tc>
          <w:tcPr>
            <w:tcW w:w="1701" w:type="dxa"/>
            <w:vAlign w:val="center"/>
          </w:tcPr>
          <w:p w:rsidR="00402B06" w:rsidRDefault="00647952">
            <w:pPr>
              <w:jc w:val="center"/>
            </w:pPr>
            <w:r>
              <w:rPr>
                <w:rFonts w:eastAsiaTheme="minorEastAsia"/>
                <w:kern w:val="0"/>
                <w:sz w:val="24"/>
                <w:szCs w:val="24"/>
              </w:rPr>
              <w:t>大族激光</w:t>
            </w:r>
          </w:p>
        </w:tc>
        <w:tc>
          <w:tcPr>
            <w:tcW w:w="1276" w:type="dxa"/>
            <w:vAlign w:val="center"/>
          </w:tcPr>
          <w:p w:rsidR="00402B06" w:rsidRDefault="00647952">
            <w:pPr>
              <w:jc w:val="right"/>
            </w:pPr>
            <w:r>
              <w:rPr>
                <w:rFonts w:eastAsiaTheme="minorEastAsia"/>
                <w:kern w:val="0"/>
                <w:sz w:val="24"/>
                <w:szCs w:val="24"/>
              </w:rPr>
              <w:t>12,700.00</w:t>
            </w:r>
          </w:p>
        </w:tc>
        <w:tc>
          <w:tcPr>
            <w:tcW w:w="1842" w:type="dxa"/>
            <w:vAlign w:val="center"/>
          </w:tcPr>
          <w:p w:rsidR="00402B06" w:rsidRDefault="00647952">
            <w:pPr>
              <w:jc w:val="right"/>
            </w:pPr>
            <w:r>
              <w:rPr>
                <w:rFonts w:eastAsiaTheme="minorEastAsia"/>
                <w:kern w:val="0"/>
                <w:sz w:val="24"/>
                <w:szCs w:val="24"/>
              </w:rPr>
              <w:t>487,172.00</w:t>
            </w:r>
          </w:p>
        </w:tc>
        <w:tc>
          <w:tcPr>
            <w:tcW w:w="1616" w:type="dxa"/>
            <w:vAlign w:val="center"/>
          </w:tcPr>
          <w:p w:rsidR="00402B06" w:rsidRDefault="00647952">
            <w:pPr>
              <w:jc w:val="right"/>
            </w:pPr>
            <w:r>
              <w:rPr>
                <w:rFonts w:eastAsiaTheme="minorEastAsia"/>
                <w:kern w:val="0"/>
                <w:sz w:val="24"/>
                <w:szCs w:val="24"/>
              </w:rPr>
              <w:t>2.36</w:t>
            </w:r>
          </w:p>
        </w:tc>
      </w:tr>
      <w:tr w:rsidR="00402B06">
        <w:tc>
          <w:tcPr>
            <w:tcW w:w="817" w:type="dxa"/>
            <w:vAlign w:val="center"/>
          </w:tcPr>
          <w:p w:rsidR="00402B06" w:rsidRDefault="00647952">
            <w:pPr>
              <w:jc w:val="center"/>
            </w:pPr>
            <w:r>
              <w:rPr>
                <w:rFonts w:eastAsiaTheme="minorEastAsia"/>
                <w:kern w:val="0"/>
                <w:sz w:val="24"/>
                <w:szCs w:val="24"/>
              </w:rPr>
              <w:t>10</w:t>
            </w:r>
          </w:p>
        </w:tc>
        <w:tc>
          <w:tcPr>
            <w:tcW w:w="1276" w:type="dxa"/>
            <w:vAlign w:val="center"/>
          </w:tcPr>
          <w:p w:rsidR="00402B06" w:rsidRDefault="00647952">
            <w:pPr>
              <w:jc w:val="center"/>
            </w:pPr>
            <w:r>
              <w:rPr>
                <w:rFonts w:eastAsiaTheme="minorEastAsia"/>
                <w:kern w:val="0"/>
                <w:sz w:val="24"/>
                <w:szCs w:val="24"/>
              </w:rPr>
              <w:t>300633</w:t>
            </w:r>
          </w:p>
        </w:tc>
        <w:tc>
          <w:tcPr>
            <w:tcW w:w="1701" w:type="dxa"/>
            <w:vAlign w:val="center"/>
          </w:tcPr>
          <w:p w:rsidR="00402B06" w:rsidRDefault="00647952">
            <w:pPr>
              <w:jc w:val="center"/>
            </w:pPr>
            <w:r>
              <w:rPr>
                <w:rFonts w:eastAsiaTheme="minorEastAsia"/>
                <w:kern w:val="0"/>
                <w:sz w:val="24"/>
                <w:szCs w:val="24"/>
              </w:rPr>
              <w:t>开立医疗</w:t>
            </w:r>
          </w:p>
        </w:tc>
        <w:tc>
          <w:tcPr>
            <w:tcW w:w="1276" w:type="dxa"/>
            <w:vAlign w:val="center"/>
          </w:tcPr>
          <w:p w:rsidR="00402B06" w:rsidRDefault="00647952">
            <w:pPr>
              <w:jc w:val="right"/>
            </w:pPr>
            <w:r>
              <w:rPr>
                <w:rFonts w:eastAsiaTheme="minorEastAsia"/>
                <w:kern w:val="0"/>
                <w:sz w:val="24"/>
                <w:szCs w:val="24"/>
              </w:rPr>
              <w:t>14,700.00</w:t>
            </w:r>
          </w:p>
        </w:tc>
        <w:tc>
          <w:tcPr>
            <w:tcW w:w="1842" w:type="dxa"/>
            <w:vAlign w:val="center"/>
          </w:tcPr>
          <w:p w:rsidR="00402B06" w:rsidRDefault="00647952">
            <w:pPr>
              <w:jc w:val="right"/>
            </w:pPr>
            <w:r>
              <w:rPr>
                <w:rFonts w:eastAsiaTheme="minorEastAsia"/>
                <w:kern w:val="0"/>
                <w:sz w:val="24"/>
                <w:szCs w:val="24"/>
              </w:rPr>
              <w:t>405,720.00</w:t>
            </w:r>
          </w:p>
        </w:tc>
        <w:tc>
          <w:tcPr>
            <w:tcW w:w="1616" w:type="dxa"/>
            <w:vAlign w:val="center"/>
          </w:tcPr>
          <w:p w:rsidR="00402B06" w:rsidRDefault="00647952">
            <w:pPr>
              <w:jc w:val="right"/>
            </w:pPr>
            <w:r>
              <w:rPr>
                <w:rFonts w:eastAsiaTheme="minorEastAsia"/>
                <w:kern w:val="0"/>
                <w:sz w:val="24"/>
                <w:szCs w:val="24"/>
              </w:rPr>
              <w:t>1.97</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204,488.44</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0.99</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15,034.87</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0.07</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219,523.31</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402B06">
        <w:tc>
          <w:tcPr>
            <w:tcW w:w="1252" w:type="dxa"/>
            <w:vAlign w:val="center"/>
          </w:tcPr>
          <w:p w:rsidR="00402B06" w:rsidRDefault="00647952">
            <w:pPr>
              <w:jc w:val="center"/>
            </w:pPr>
            <w:r>
              <w:rPr>
                <w:rFonts w:eastAsiaTheme="minorEastAsia"/>
                <w:color w:val="000000" w:themeColor="text1"/>
                <w:kern w:val="0"/>
              </w:rPr>
              <w:t>1</w:t>
            </w:r>
          </w:p>
        </w:tc>
        <w:tc>
          <w:tcPr>
            <w:tcW w:w="1310" w:type="dxa"/>
            <w:vAlign w:val="center"/>
          </w:tcPr>
          <w:p w:rsidR="00402B06" w:rsidRDefault="00647952">
            <w:pPr>
              <w:jc w:val="center"/>
            </w:pPr>
            <w:r>
              <w:rPr>
                <w:rFonts w:eastAsiaTheme="minorEastAsia"/>
                <w:color w:val="000000" w:themeColor="text1"/>
                <w:kern w:val="0"/>
              </w:rPr>
              <w:t>019654</w:t>
            </w:r>
          </w:p>
        </w:tc>
        <w:tc>
          <w:tcPr>
            <w:tcW w:w="1282" w:type="dxa"/>
            <w:vAlign w:val="center"/>
          </w:tcPr>
          <w:p w:rsidR="00402B06" w:rsidRDefault="00647952">
            <w:pPr>
              <w:jc w:val="center"/>
            </w:pPr>
            <w:r>
              <w:rPr>
                <w:rFonts w:eastAsiaTheme="minorEastAsia"/>
                <w:color w:val="000000" w:themeColor="text1"/>
                <w:kern w:val="0"/>
              </w:rPr>
              <w:t>21</w:t>
            </w:r>
            <w:r>
              <w:rPr>
                <w:rFonts w:eastAsiaTheme="minorEastAsia"/>
                <w:color w:val="000000" w:themeColor="text1"/>
                <w:kern w:val="0"/>
              </w:rPr>
              <w:t>国债</w:t>
            </w:r>
            <w:r>
              <w:rPr>
                <w:rFonts w:eastAsiaTheme="minorEastAsia"/>
                <w:color w:val="000000" w:themeColor="text1"/>
                <w:kern w:val="0"/>
              </w:rPr>
              <w:t>06</w:t>
            </w:r>
          </w:p>
        </w:tc>
        <w:tc>
          <w:tcPr>
            <w:tcW w:w="1426" w:type="dxa"/>
            <w:vAlign w:val="center"/>
          </w:tcPr>
          <w:p w:rsidR="00402B06" w:rsidRDefault="00647952">
            <w:pPr>
              <w:jc w:val="right"/>
            </w:pPr>
            <w:r>
              <w:rPr>
                <w:rFonts w:eastAsiaTheme="minorEastAsia"/>
                <w:color w:val="000000" w:themeColor="text1"/>
                <w:kern w:val="0"/>
              </w:rPr>
              <w:t>2,000</w:t>
            </w:r>
          </w:p>
        </w:tc>
        <w:tc>
          <w:tcPr>
            <w:tcW w:w="1646" w:type="dxa"/>
            <w:vAlign w:val="center"/>
          </w:tcPr>
          <w:p w:rsidR="00402B06" w:rsidRDefault="00647952">
            <w:pPr>
              <w:jc w:val="right"/>
            </w:pPr>
            <w:r>
              <w:rPr>
                <w:rFonts w:eastAsiaTheme="minorEastAsia"/>
                <w:color w:val="000000" w:themeColor="text1"/>
                <w:kern w:val="0"/>
              </w:rPr>
              <w:t>204,488.44</w:t>
            </w:r>
          </w:p>
        </w:tc>
        <w:tc>
          <w:tcPr>
            <w:tcW w:w="1612" w:type="dxa"/>
            <w:vAlign w:val="center"/>
          </w:tcPr>
          <w:p w:rsidR="00402B06" w:rsidRDefault="00647952">
            <w:pPr>
              <w:jc w:val="right"/>
            </w:pPr>
            <w:r>
              <w:rPr>
                <w:rFonts w:eastAsiaTheme="minorEastAsia"/>
                <w:color w:val="000000" w:themeColor="text1"/>
                <w:kern w:val="0"/>
              </w:rPr>
              <w:t>0.99</w:t>
            </w:r>
          </w:p>
        </w:tc>
      </w:tr>
      <w:tr w:rsidR="00402B06">
        <w:tc>
          <w:tcPr>
            <w:tcW w:w="1252" w:type="dxa"/>
            <w:vAlign w:val="center"/>
          </w:tcPr>
          <w:p w:rsidR="00402B06" w:rsidRDefault="00647952">
            <w:pPr>
              <w:jc w:val="center"/>
            </w:pPr>
            <w:r>
              <w:rPr>
                <w:rFonts w:eastAsiaTheme="minorEastAsia"/>
                <w:color w:val="000000" w:themeColor="text1"/>
                <w:kern w:val="0"/>
              </w:rPr>
              <w:t>2</w:t>
            </w:r>
          </w:p>
        </w:tc>
        <w:tc>
          <w:tcPr>
            <w:tcW w:w="1310" w:type="dxa"/>
            <w:vAlign w:val="center"/>
          </w:tcPr>
          <w:p w:rsidR="00402B06" w:rsidRDefault="00647952">
            <w:pPr>
              <w:jc w:val="center"/>
            </w:pPr>
            <w:r>
              <w:rPr>
                <w:rFonts w:eastAsiaTheme="minorEastAsia"/>
                <w:color w:val="000000" w:themeColor="text1"/>
                <w:kern w:val="0"/>
              </w:rPr>
              <w:t>123107</w:t>
            </w:r>
          </w:p>
        </w:tc>
        <w:tc>
          <w:tcPr>
            <w:tcW w:w="1282" w:type="dxa"/>
            <w:vAlign w:val="center"/>
          </w:tcPr>
          <w:p w:rsidR="00402B06" w:rsidRDefault="00647952">
            <w:pPr>
              <w:jc w:val="center"/>
            </w:pPr>
            <w:r>
              <w:rPr>
                <w:rFonts w:eastAsiaTheme="minorEastAsia"/>
                <w:color w:val="000000" w:themeColor="text1"/>
                <w:kern w:val="0"/>
              </w:rPr>
              <w:t>温氏转债</w:t>
            </w:r>
          </w:p>
        </w:tc>
        <w:tc>
          <w:tcPr>
            <w:tcW w:w="1426" w:type="dxa"/>
            <w:vAlign w:val="center"/>
          </w:tcPr>
          <w:p w:rsidR="00402B06" w:rsidRDefault="00647952">
            <w:pPr>
              <w:jc w:val="right"/>
            </w:pPr>
            <w:r>
              <w:rPr>
                <w:rFonts w:eastAsiaTheme="minorEastAsia"/>
                <w:color w:val="000000" w:themeColor="text1"/>
                <w:kern w:val="0"/>
              </w:rPr>
              <w:t>79</w:t>
            </w:r>
          </w:p>
        </w:tc>
        <w:tc>
          <w:tcPr>
            <w:tcW w:w="1646" w:type="dxa"/>
            <w:vAlign w:val="center"/>
          </w:tcPr>
          <w:p w:rsidR="00402B06" w:rsidRDefault="00647952">
            <w:pPr>
              <w:jc w:val="right"/>
            </w:pPr>
            <w:r>
              <w:rPr>
                <w:rFonts w:eastAsiaTheme="minorEastAsia"/>
                <w:color w:val="000000" w:themeColor="text1"/>
                <w:kern w:val="0"/>
              </w:rPr>
              <w:t>10,135.96</w:t>
            </w:r>
          </w:p>
        </w:tc>
        <w:tc>
          <w:tcPr>
            <w:tcW w:w="1612" w:type="dxa"/>
            <w:vAlign w:val="center"/>
          </w:tcPr>
          <w:p w:rsidR="00402B06" w:rsidRDefault="00647952">
            <w:pPr>
              <w:jc w:val="right"/>
            </w:pPr>
            <w:r>
              <w:rPr>
                <w:rFonts w:eastAsiaTheme="minorEastAsia"/>
                <w:color w:val="000000" w:themeColor="text1"/>
                <w:kern w:val="0"/>
              </w:rPr>
              <w:t>0.05</w:t>
            </w:r>
          </w:p>
        </w:tc>
      </w:tr>
      <w:tr w:rsidR="00402B06">
        <w:tc>
          <w:tcPr>
            <w:tcW w:w="1252" w:type="dxa"/>
            <w:vAlign w:val="center"/>
          </w:tcPr>
          <w:p w:rsidR="00402B06" w:rsidRDefault="00647952">
            <w:pPr>
              <w:jc w:val="center"/>
            </w:pPr>
            <w:r>
              <w:rPr>
                <w:rFonts w:eastAsiaTheme="minorEastAsia"/>
                <w:color w:val="000000" w:themeColor="text1"/>
                <w:kern w:val="0"/>
              </w:rPr>
              <w:t>3</w:t>
            </w:r>
          </w:p>
        </w:tc>
        <w:tc>
          <w:tcPr>
            <w:tcW w:w="1310" w:type="dxa"/>
            <w:vAlign w:val="center"/>
          </w:tcPr>
          <w:p w:rsidR="00402B06" w:rsidRDefault="00647952">
            <w:pPr>
              <w:jc w:val="center"/>
            </w:pPr>
            <w:r>
              <w:rPr>
                <w:rFonts w:eastAsiaTheme="minorEastAsia"/>
                <w:color w:val="000000" w:themeColor="text1"/>
                <w:kern w:val="0"/>
              </w:rPr>
              <w:t>110079</w:t>
            </w:r>
          </w:p>
        </w:tc>
        <w:tc>
          <w:tcPr>
            <w:tcW w:w="1282" w:type="dxa"/>
            <w:vAlign w:val="center"/>
          </w:tcPr>
          <w:p w:rsidR="00402B06" w:rsidRDefault="00647952">
            <w:pPr>
              <w:jc w:val="center"/>
            </w:pPr>
            <w:r>
              <w:rPr>
                <w:rFonts w:eastAsiaTheme="minorEastAsia"/>
                <w:color w:val="000000" w:themeColor="text1"/>
                <w:kern w:val="0"/>
              </w:rPr>
              <w:t>杭银转债</w:t>
            </w:r>
          </w:p>
        </w:tc>
        <w:tc>
          <w:tcPr>
            <w:tcW w:w="1426" w:type="dxa"/>
            <w:vAlign w:val="center"/>
          </w:tcPr>
          <w:p w:rsidR="00402B06" w:rsidRDefault="00647952">
            <w:pPr>
              <w:jc w:val="right"/>
            </w:pPr>
            <w:r>
              <w:rPr>
                <w:rFonts w:eastAsiaTheme="minorEastAsia"/>
                <w:color w:val="000000" w:themeColor="text1"/>
                <w:kern w:val="0"/>
              </w:rPr>
              <w:t>40</w:t>
            </w:r>
          </w:p>
        </w:tc>
        <w:tc>
          <w:tcPr>
            <w:tcW w:w="1646" w:type="dxa"/>
            <w:vAlign w:val="center"/>
          </w:tcPr>
          <w:p w:rsidR="00402B06" w:rsidRDefault="00647952">
            <w:pPr>
              <w:jc w:val="right"/>
            </w:pPr>
            <w:r>
              <w:rPr>
                <w:rFonts w:eastAsiaTheme="minorEastAsia"/>
                <w:color w:val="000000" w:themeColor="text1"/>
                <w:kern w:val="0"/>
              </w:rPr>
              <w:t>4,898.91</w:t>
            </w:r>
          </w:p>
        </w:tc>
        <w:tc>
          <w:tcPr>
            <w:tcW w:w="1612" w:type="dxa"/>
            <w:vAlign w:val="center"/>
          </w:tcPr>
          <w:p w:rsidR="00402B06" w:rsidRDefault="00647952">
            <w:pPr>
              <w:jc w:val="right"/>
            </w:pPr>
            <w:r>
              <w:rPr>
                <w:rFonts w:eastAsiaTheme="minorEastAsia"/>
                <w:color w:val="000000" w:themeColor="text1"/>
                <w:kern w:val="0"/>
              </w:rPr>
              <w:t>0.02</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3,130.79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4,730.32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0.40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7,861.51</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402B06">
        <w:tc>
          <w:tcPr>
            <w:tcW w:w="1808" w:type="dxa"/>
            <w:vAlign w:val="center"/>
          </w:tcPr>
          <w:p w:rsidR="00402B06" w:rsidRDefault="00647952">
            <w:pPr>
              <w:jc w:val="center"/>
            </w:pPr>
            <w:r>
              <w:rPr>
                <w:rFonts w:eastAsiaTheme="minorEastAsia"/>
                <w:color w:val="000000" w:themeColor="text1"/>
                <w:kern w:val="0"/>
              </w:rPr>
              <w:t>1</w:t>
            </w:r>
          </w:p>
        </w:tc>
        <w:tc>
          <w:tcPr>
            <w:tcW w:w="1729" w:type="dxa"/>
            <w:vAlign w:val="center"/>
          </w:tcPr>
          <w:p w:rsidR="00402B06" w:rsidRDefault="00647952">
            <w:pPr>
              <w:jc w:val="center"/>
            </w:pPr>
            <w:r>
              <w:rPr>
                <w:rFonts w:eastAsiaTheme="minorEastAsia"/>
                <w:color w:val="000000" w:themeColor="text1"/>
                <w:kern w:val="0"/>
              </w:rPr>
              <w:t>123107</w:t>
            </w:r>
          </w:p>
        </w:tc>
        <w:tc>
          <w:tcPr>
            <w:tcW w:w="1658" w:type="dxa"/>
            <w:vAlign w:val="center"/>
          </w:tcPr>
          <w:p w:rsidR="00402B06" w:rsidRDefault="00647952">
            <w:pPr>
              <w:jc w:val="center"/>
            </w:pPr>
            <w:r>
              <w:rPr>
                <w:rFonts w:eastAsiaTheme="minorEastAsia"/>
                <w:color w:val="000000" w:themeColor="text1"/>
                <w:kern w:val="0"/>
              </w:rPr>
              <w:t>温氏转债</w:t>
            </w:r>
          </w:p>
        </w:tc>
        <w:tc>
          <w:tcPr>
            <w:tcW w:w="1697" w:type="dxa"/>
            <w:vAlign w:val="center"/>
          </w:tcPr>
          <w:p w:rsidR="00402B06" w:rsidRDefault="00647952">
            <w:pPr>
              <w:jc w:val="right"/>
            </w:pPr>
            <w:r w:rsidRPr="00647952">
              <w:rPr>
                <w:rFonts w:eastAsiaTheme="minorEastAsia"/>
                <w:color w:val="000000" w:themeColor="text1"/>
                <w:kern w:val="0"/>
              </w:rPr>
              <w:t>10</w:t>
            </w:r>
            <w:r>
              <w:rPr>
                <w:rFonts w:eastAsiaTheme="minorEastAsia"/>
                <w:color w:val="000000" w:themeColor="text1"/>
                <w:kern w:val="0"/>
              </w:rPr>
              <w:t>,</w:t>
            </w:r>
            <w:r w:rsidRPr="00647952">
              <w:rPr>
                <w:rFonts w:eastAsiaTheme="minorEastAsia"/>
                <w:color w:val="000000" w:themeColor="text1"/>
                <w:kern w:val="0"/>
              </w:rPr>
              <w:t>135.96</w:t>
            </w:r>
          </w:p>
        </w:tc>
        <w:tc>
          <w:tcPr>
            <w:tcW w:w="1621" w:type="dxa"/>
            <w:vAlign w:val="center"/>
          </w:tcPr>
          <w:p w:rsidR="00402B06" w:rsidRDefault="00647952">
            <w:pPr>
              <w:jc w:val="right"/>
            </w:pPr>
            <w:r>
              <w:rPr>
                <w:rFonts w:eastAsiaTheme="minorEastAsia"/>
                <w:color w:val="000000" w:themeColor="text1"/>
                <w:kern w:val="0"/>
              </w:rPr>
              <w:t>0.05</w:t>
            </w:r>
          </w:p>
        </w:tc>
      </w:tr>
      <w:tr w:rsidR="00402B06">
        <w:tc>
          <w:tcPr>
            <w:tcW w:w="1808" w:type="dxa"/>
            <w:vAlign w:val="center"/>
          </w:tcPr>
          <w:p w:rsidR="00402B06" w:rsidRDefault="00647952">
            <w:pPr>
              <w:jc w:val="center"/>
            </w:pPr>
            <w:r>
              <w:rPr>
                <w:rFonts w:eastAsiaTheme="minorEastAsia"/>
                <w:color w:val="000000" w:themeColor="text1"/>
                <w:kern w:val="0"/>
              </w:rPr>
              <w:t>2</w:t>
            </w:r>
          </w:p>
        </w:tc>
        <w:tc>
          <w:tcPr>
            <w:tcW w:w="1729" w:type="dxa"/>
            <w:vAlign w:val="center"/>
          </w:tcPr>
          <w:p w:rsidR="00402B06" w:rsidRDefault="00647952">
            <w:pPr>
              <w:jc w:val="center"/>
            </w:pPr>
            <w:r>
              <w:rPr>
                <w:rFonts w:eastAsiaTheme="minorEastAsia"/>
                <w:color w:val="000000" w:themeColor="text1"/>
                <w:kern w:val="0"/>
              </w:rPr>
              <w:t>110079</w:t>
            </w:r>
          </w:p>
        </w:tc>
        <w:tc>
          <w:tcPr>
            <w:tcW w:w="1658" w:type="dxa"/>
            <w:vAlign w:val="center"/>
          </w:tcPr>
          <w:p w:rsidR="00402B06" w:rsidRDefault="00647952">
            <w:pPr>
              <w:jc w:val="center"/>
            </w:pPr>
            <w:r>
              <w:rPr>
                <w:rFonts w:eastAsiaTheme="minorEastAsia"/>
                <w:color w:val="000000" w:themeColor="text1"/>
                <w:kern w:val="0"/>
              </w:rPr>
              <w:t>杭银转债</w:t>
            </w:r>
          </w:p>
        </w:tc>
        <w:tc>
          <w:tcPr>
            <w:tcW w:w="1697" w:type="dxa"/>
            <w:vAlign w:val="center"/>
          </w:tcPr>
          <w:p w:rsidR="00402B06" w:rsidRDefault="00647952">
            <w:pPr>
              <w:jc w:val="right"/>
            </w:pPr>
            <w:r w:rsidRPr="00647952">
              <w:rPr>
                <w:rFonts w:eastAsiaTheme="minorEastAsia"/>
                <w:color w:val="000000" w:themeColor="text1"/>
                <w:kern w:val="0"/>
              </w:rPr>
              <w:t>4</w:t>
            </w:r>
            <w:r>
              <w:rPr>
                <w:rFonts w:eastAsiaTheme="minorEastAsia"/>
                <w:color w:val="000000" w:themeColor="text1"/>
                <w:kern w:val="0"/>
              </w:rPr>
              <w:t>,</w:t>
            </w:r>
            <w:r w:rsidRPr="00647952">
              <w:rPr>
                <w:rFonts w:eastAsiaTheme="minorEastAsia"/>
                <w:color w:val="000000" w:themeColor="text1"/>
                <w:kern w:val="0"/>
              </w:rPr>
              <w:t>898.91</w:t>
            </w:r>
          </w:p>
        </w:tc>
        <w:tc>
          <w:tcPr>
            <w:tcW w:w="1621" w:type="dxa"/>
            <w:vAlign w:val="center"/>
          </w:tcPr>
          <w:p w:rsidR="00402B06" w:rsidRDefault="00647952">
            <w:pPr>
              <w:jc w:val="right"/>
            </w:pPr>
            <w:r>
              <w:rPr>
                <w:rFonts w:eastAsiaTheme="minorEastAsia"/>
                <w:color w:val="000000" w:themeColor="text1"/>
                <w:kern w:val="0"/>
              </w:rPr>
              <w:t>0.02</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15,565,713.33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549,599.58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807,874.44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15,307,438.47</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、中国证监会准予上投摩根量化多因子灵活配置混合型证券投资基金募集注册的文件</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、《上投摩根量化多因子灵活配置混合型证券投资基金基金合同》</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、《上投摩根量化多因子灵活配置混合型证券投资基金托管协议》</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rsidR="00402B06" w:rsidRDefault="00647952">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852A1" w:rsidRPr="00E852A1">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852A1">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上投摩根量化多因子灵活配置混合型证券投资基金</w:t>
    </w:r>
    <w:r>
      <w:rPr>
        <w:rFonts w:hint="eastAsia"/>
      </w:rPr>
      <w:t>2022</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2B06"/>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47952"/>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852A1"/>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 w:type="paragraph" w:styleId="aff6">
    <w:name w:val="Revision"/>
    <w:hidden/>
    <w:uiPriority w:val="99"/>
    <w:semiHidden/>
    <w:rsid w:val="00E852A1"/>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16003-4307-4C2E-A2E8-1C49A5BB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Chen,Richard</cp:lastModifiedBy>
  <cp:revision>269</cp:revision>
  <dcterms:created xsi:type="dcterms:W3CDTF">2012-10-16T06:07:00Z</dcterms:created>
  <dcterms:modified xsi:type="dcterms:W3CDTF">2022-04-21T02:43:00Z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