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摩根量化多因子灵活配置混合型证券投资基金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2023</w:t>
      </w:r>
      <w:r w:rsidRPr="00FF6B9A">
        <w:rPr>
          <w:rFonts w:eastAsiaTheme="minorEastAsia"/>
          <w:b/>
          <w:color w:val="000000" w:themeColor="text1"/>
          <w:sz w:val="36"/>
          <w:szCs w:val="36"/>
        </w:rPr>
        <w:t>年第</w:t>
      </w:r>
      <w:r w:rsidRPr="00FF6B9A">
        <w:rPr>
          <w:rFonts w:eastAsiaTheme="minorEastAsia"/>
          <w:b/>
          <w:color w:val="000000" w:themeColor="text1"/>
          <w:sz w:val="36"/>
          <w:szCs w:val="36"/>
        </w:rPr>
        <w:t>2</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2023</w:t>
      </w:r>
      <w:r w:rsidRPr="00FF6B9A">
        <w:rPr>
          <w:rFonts w:eastAsiaTheme="minorEastAsia"/>
          <w:b/>
          <w:color w:val="000000" w:themeColor="text1"/>
          <w:sz w:val="36"/>
          <w:szCs w:val="36"/>
        </w:rPr>
        <w:t>年</w:t>
      </w:r>
      <w:r w:rsidRPr="00FF6B9A">
        <w:rPr>
          <w:rFonts w:eastAsiaTheme="minorEastAsia"/>
          <w:b/>
          <w:color w:val="000000" w:themeColor="text1"/>
          <w:sz w:val="36"/>
          <w:szCs w:val="36"/>
        </w:rPr>
        <w:t>6</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基金管理人：摩根基金管理（中国）有限公司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基金托管人：中国工商银行股份有限公司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报告送出日期：二〇二三年七月二十一日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7B2589" w:rsidRDefault="00B951E1">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7B2589" w:rsidRDefault="00B951E1">
      <w:pPr>
        <w:spacing w:line="360" w:lineRule="auto"/>
        <w:ind w:firstLineChars="200" w:firstLine="420"/>
        <w:rPr>
          <w:rFonts w:eastAsiaTheme="minorEastAsia"/>
          <w:color w:val="000000" w:themeColor="text1"/>
        </w:rPr>
      </w:pPr>
      <w:r>
        <w:rPr>
          <w:rFonts w:eastAsiaTheme="minorEastAsia"/>
          <w:color w:val="000000" w:themeColor="text1"/>
        </w:rPr>
        <w:t>基金托管人中国工商银行股份有限公司根据本基金合同规定，于</w:t>
      </w:r>
      <w:r>
        <w:rPr>
          <w:rFonts w:eastAsiaTheme="minorEastAsia"/>
          <w:color w:val="000000" w:themeColor="text1"/>
        </w:rPr>
        <w:t>2023</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w:t>
      </w:r>
      <w:r>
        <w:rPr>
          <w:rFonts w:eastAsiaTheme="minorEastAsia"/>
          <w:color w:val="000000" w:themeColor="text1"/>
        </w:rPr>
        <w:t>20</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7B2589" w:rsidRDefault="00B951E1">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7B2589" w:rsidRDefault="00B951E1">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7B2589" w:rsidRDefault="00B951E1">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2023</w:t>
      </w:r>
      <w:r w:rsidRPr="00FF6B9A">
        <w:rPr>
          <w:rFonts w:eastAsiaTheme="minorEastAsia"/>
          <w:color w:val="000000" w:themeColor="text1"/>
        </w:rPr>
        <w:t>年</w:t>
      </w:r>
      <w:r w:rsidRPr="00FF6B9A">
        <w:rPr>
          <w:rFonts w:eastAsiaTheme="minorEastAsia"/>
          <w:color w:val="000000" w:themeColor="text1"/>
        </w:rPr>
        <w:t>4</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6</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摩根量化多因子混合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005120</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005120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2018</w:t>
            </w:r>
            <w:r w:rsidRPr="00FF6B9A">
              <w:rPr>
                <w:rFonts w:eastAsiaTheme="minorEastAsia"/>
                <w:color w:val="000000" w:themeColor="text1"/>
                <w:kern w:val="0"/>
              </w:rPr>
              <w:t>年</w:t>
            </w:r>
            <w:r w:rsidRPr="00FF6B9A">
              <w:rPr>
                <w:rFonts w:eastAsiaTheme="minorEastAsia"/>
                <w:color w:val="000000" w:themeColor="text1"/>
                <w:kern w:val="0"/>
              </w:rPr>
              <w:t>1</w:t>
            </w:r>
            <w:r w:rsidRPr="00FF6B9A">
              <w:rPr>
                <w:rFonts w:eastAsiaTheme="minorEastAsia"/>
                <w:color w:val="000000" w:themeColor="text1"/>
                <w:kern w:val="0"/>
              </w:rPr>
              <w:t>月</w:t>
            </w:r>
            <w:r w:rsidRPr="00FF6B9A">
              <w:rPr>
                <w:rFonts w:eastAsiaTheme="minorEastAsia"/>
                <w:color w:val="000000" w:themeColor="text1"/>
                <w:kern w:val="0"/>
              </w:rPr>
              <w:t>19</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15,620,917.93</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采用量化投资对基金资产进行积极管理，力争获取超越业绩基准的投资收益。</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7B2589" w:rsidRDefault="00B951E1">
            <w:pPr>
              <w:adjustRightInd w:val="0"/>
              <w:spacing w:before="29" w:line="360" w:lineRule="auto"/>
              <w:ind w:left="17"/>
              <w:rPr>
                <w:rFonts w:eastAsiaTheme="minorEastAsia"/>
                <w:color w:val="000000" w:themeColor="text1"/>
              </w:rPr>
            </w:pPr>
            <w:r>
              <w:rPr>
                <w:rFonts w:eastAsiaTheme="minorEastAsia"/>
                <w:color w:val="000000" w:themeColor="text1"/>
                <w:kern w:val="0"/>
              </w:rPr>
              <w:t>本基金采用</w:t>
            </w: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进行个股选择，并结合适当的资产配置策略搭建基金投资组合。</w:t>
            </w:r>
          </w:p>
          <w:p w:rsidR="007B2589" w:rsidRDefault="00B951E1">
            <w:pPr>
              <w:adjustRightInd w:val="0"/>
              <w:spacing w:before="29" w:line="360" w:lineRule="auto"/>
              <w:ind w:left="17"/>
              <w:rPr>
                <w:rFonts w:eastAsiaTheme="minorEastAsia"/>
                <w:color w:val="000000" w:themeColor="text1"/>
              </w:rPr>
            </w:pPr>
            <w:r>
              <w:rPr>
                <w:rFonts w:eastAsiaTheme="minorEastAsia"/>
                <w:color w:val="000000" w:themeColor="text1"/>
                <w:kern w:val="0"/>
              </w:rPr>
              <w:t>资产配置方面，本基金通过对宏观经济、国家政策、资金面和市场情绪等影响证券市场的等因素进行深入分析，确定基金资产在股票、债券及现金等类别资产间的分配比</w:t>
            </w:r>
            <w:r>
              <w:rPr>
                <w:rFonts w:eastAsiaTheme="minorEastAsia"/>
                <w:color w:val="000000" w:themeColor="text1"/>
                <w:kern w:val="0"/>
              </w:rPr>
              <w:lastRenderedPageBreak/>
              <w:t>例，并动态优化投资组合。</w:t>
            </w:r>
          </w:p>
          <w:p w:rsidR="007B2589" w:rsidRDefault="00B951E1">
            <w:pPr>
              <w:adjustRightInd w:val="0"/>
              <w:spacing w:before="29" w:line="360" w:lineRule="auto"/>
              <w:ind w:left="17"/>
              <w:rPr>
                <w:rFonts w:eastAsiaTheme="minorEastAsia"/>
                <w:color w:val="000000" w:themeColor="text1"/>
              </w:rPr>
            </w:pPr>
            <w:r>
              <w:rPr>
                <w:rFonts w:eastAsiaTheme="minorEastAsia"/>
                <w:color w:val="000000" w:themeColor="text1"/>
                <w:kern w:val="0"/>
              </w:rPr>
              <w:t>在股票投资过程中，本基金将运用</w:t>
            </w: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选股构建股票投资组合的投资策略，对基金资产进行积极管理，力争获取超越业绩基准的投资收益。</w:t>
            </w:r>
          </w:p>
          <w:p w:rsidR="007B2589" w:rsidRDefault="00B951E1">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7B2589" w:rsidRDefault="00B951E1">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 xml:space="preserve"> GDP </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7B2589" w:rsidRDefault="00B951E1">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7B2589" w:rsidRDefault="00B951E1">
            <w:pPr>
              <w:adjustRightInd w:val="0"/>
              <w:spacing w:before="29" w:line="360" w:lineRule="auto"/>
              <w:ind w:left="17"/>
              <w:rPr>
                <w:rFonts w:eastAsiaTheme="minorEastAsia"/>
                <w:color w:val="000000" w:themeColor="text1"/>
              </w:rPr>
            </w:pPr>
            <w:r>
              <w:rPr>
                <w:rFonts w:eastAsiaTheme="minorEastAsia"/>
                <w:color w:val="000000" w:themeColor="text1"/>
                <w:kern w:val="0"/>
              </w:rPr>
              <w:t>本基金通过基金管理人量化投资团队开发的</w:t>
            </w: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进行股票选择并据此构建股票投资组合。</w:t>
            </w: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在实际运行过程中将进行定期动态调整，力争股票配置最优化，以期持续超越业绩比较基准收益率的投资目标。</w:t>
            </w:r>
          </w:p>
          <w:p w:rsidR="007B2589" w:rsidRDefault="00B951E1">
            <w:pPr>
              <w:adjustRightInd w:val="0"/>
              <w:spacing w:before="29" w:line="360" w:lineRule="auto"/>
              <w:ind w:left="17"/>
              <w:rPr>
                <w:rFonts w:eastAsiaTheme="minorEastAsia"/>
                <w:color w:val="000000" w:themeColor="text1"/>
              </w:rPr>
            </w:pP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是基于因子动量的可持续性的逻辑，由本基金管理人量化投资团队开发的更具针对性和实用性的数量化选股模型。通过筛选因子、因子打分、因子动态调整等步骤建立选股模型。通过各个因子的权重对所有个股进行打分，构建在当前市场环境下得分较高的股票组合。并根据市场运行情况，定期更新因子，对备选股票进行重新打分和排序，进行组合调整。</w:t>
            </w:r>
          </w:p>
          <w:p w:rsidR="007B2589" w:rsidRDefault="00B951E1">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、债券投资策略</w:t>
            </w:r>
          </w:p>
          <w:p w:rsidR="007B2589" w:rsidRDefault="00B951E1">
            <w:pPr>
              <w:adjustRightInd w:val="0"/>
              <w:spacing w:before="29" w:line="360" w:lineRule="auto"/>
              <w:ind w:left="17"/>
              <w:rPr>
                <w:rFonts w:eastAsiaTheme="minorEastAsia"/>
                <w:color w:val="000000" w:themeColor="text1"/>
              </w:rPr>
            </w:pPr>
            <w:r>
              <w:rPr>
                <w:rFonts w:eastAsiaTheme="minorEastAsia"/>
                <w:color w:val="000000" w:themeColor="text1"/>
                <w:kern w:val="0"/>
              </w:rPr>
              <w:t>本基金将在控制市场风险与流动性风险的前提下，根据对</w:t>
            </w:r>
            <w:r>
              <w:rPr>
                <w:rFonts w:eastAsiaTheme="minorEastAsia"/>
                <w:color w:val="000000" w:themeColor="text1"/>
                <w:kern w:val="0"/>
              </w:rPr>
              <w:lastRenderedPageBreak/>
              <w:t>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4</w:t>
            </w:r>
            <w:r w:rsidRPr="00FF6B9A">
              <w:rPr>
                <w:rFonts w:eastAsiaTheme="minorEastAsia"/>
                <w:color w:val="000000" w:themeColor="text1"/>
                <w:kern w:val="0"/>
              </w:rPr>
              <w:t>、其他投资策略：包括存托凭证投资策略、股指期货投资策略、资产支持证券投资策略、股票期权投资策略等。</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500</w:t>
            </w:r>
            <w:r w:rsidRPr="00FF6B9A">
              <w:rPr>
                <w:rFonts w:eastAsiaTheme="minorEastAsia"/>
                <w:color w:val="000000" w:themeColor="text1"/>
                <w:kern w:val="0"/>
              </w:rPr>
              <w:t>指数收益率</w:t>
            </w:r>
            <w:r w:rsidRPr="00FF6B9A">
              <w:rPr>
                <w:rFonts w:eastAsiaTheme="minorEastAsia"/>
                <w:color w:val="000000" w:themeColor="text1"/>
                <w:kern w:val="0"/>
              </w:rPr>
              <w:t>×95%+</w:t>
            </w:r>
            <w:r w:rsidRPr="00FF6B9A">
              <w:rPr>
                <w:rFonts w:eastAsiaTheme="minorEastAsia"/>
                <w:color w:val="000000" w:themeColor="text1"/>
                <w:kern w:val="0"/>
              </w:rPr>
              <w:t>银行活期存款利率</w:t>
            </w:r>
            <w:r w:rsidRPr="00FF6B9A">
              <w:rPr>
                <w:rFonts w:eastAsiaTheme="minorEastAsia"/>
                <w:color w:val="000000" w:themeColor="text1"/>
                <w:kern w:val="0"/>
              </w:rPr>
              <w:t>(</w:t>
            </w:r>
            <w:r w:rsidRPr="00FF6B9A">
              <w:rPr>
                <w:rFonts w:eastAsiaTheme="minorEastAsia"/>
                <w:color w:val="000000" w:themeColor="text1"/>
                <w:kern w:val="0"/>
              </w:rPr>
              <w:t>税后</w:t>
            </w:r>
            <w:r w:rsidRPr="00FF6B9A">
              <w:rPr>
                <w:rFonts w:eastAsiaTheme="minorEastAsia"/>
                <w:color w:val="000000" w:themeColor="text1"/>
                <w:kern w:val="0"/>
              </w:rPr>
              <w:t>)×5%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7B2589" w:rsidRDefault="00B951E1">
            <w:pPr>
              <w:adjustRightInd w:val="0"/>
              <w:spacing w:before="29" w:line="360" w:lineRule="auto"/>
              <w:ind w:left="17"/>
              <w:rPr>
                <w:rFonts w:eastAsiaTheme="minorEastAsia"/>
                <w:color w:val="000000" w:themeColor="text1"/>
              </w:rPr>
            </w:pPr>
            <w:r>
              <w:rPr>
                <w:rFonts w:eastAsiaTheme="minorEastAsia"/>
                <w:color w:val="000000" w:themeColor="text1"/>
                <w:kern w:val="0"/>
              </w:rPr>
              <w:t>本基金属于混合型基金产品，预期风险和收益水平高于债券型基金和货币市场基金，低于股票型基金，属于较高风险收益水平的基金产品。</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根据</w:t>
            </w:r>
            <w:r w:rsidRPr="00FF6B9A">
              <w:rPr>
                <w:rFonts w:eastAsiaTheme="minorEastAsia"/>
                <w:color w:val="000000" w:themeColor="text1"/>
                <w:kern w:val="0"/>
              </w:rPr>
              <w:t>2017</w:t>
            </w:r>
            <w:r w:rsidRPr="00FF6B9A">
              <w:rPr>
                <w:rFonts w:eastAsiaTheme="minorEastAsia"/>
                <w:color w:val="000000" w:themeColor="text1"/>
                <w:kern w:val="0"/>
              </w:rPr>
              <w:t>年</w:t>
            </w:r>
            <w:r w:rsidRPr="00FF6B9A">
              <w:rPr>
                <w:rFonts w:eastAsiaTheme="minorEastAsia"/>
                <w:color w:val="000000" w:themeColor="text1"/>
                <w:kern w:val="0"/>
              </w:rPr>
              <w:t>7</w:t>
            </w:r>
            <w:r w:rsidRPr="00FF6B9A">
              <w:rPr>
                <w:rFonts w:eastAsiaTheme="minorEastAsia"/>
                <w:color w:val="000000" w:themeColor="text1"/>
                <w:kern w:val="0"/>
              </w:rPr>
              <w:t>月</w:t>
            </w:r>
            <w:r w:rsidRPr="00FF6B9A">
              <w:rPr>
                <w:rFonts w:eastAsiaTheme="minorEastAsia"/>
                <w:color w:val="000000" w:themeColor="text1"/>
                <w:kern w:val="0"/>
              </w:rPr>
              <w:t>1</w:t>
            </w:r>
            <w:r w:rsidRPr="00FF6B9A">
              <w:rPr>
                <w:rFonts w:eastAsiaTheme="minorEastAsia"/>
                <w:color w:val="000000" w:themeColor="text1"/>
                <w:kern w:val="0"/>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摩根基金管理（中国）有限公司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中国工商银行股份有限公司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B951E1" w:rsidRPr="00FF6B9A" w:rsidTr="00B951E1">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(2023</w:t>
            </w:r>
            <w:r w:rsidRPr="00FF6B9A">
              <w:rPr>
                <w:rFonts w:eastAsiaTheme="minorEastAsia"/>
                <w:color w:val="000000" w:themeColor="text1"/>
              </w:rPr>
              <w:t>年</w:t>
            </w:r>
            <w:r w:rsidRPr="00FF6B9A">
              <w:rPr>
                <w:rFonts w:eastAsiaTheme="minorEastAsia"/>
                <w:color w:val="000000" w:themeColor="text1"/>
              </w:rPr>
              <w:t>4</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-2023</w:t>
            </w:r>
            <w:r w:rsidRPr="00FF6B9A">
              <w:rPr>
                <w:rFonts w:eastAsiaTheme="minorEastAsia"/>
                <w:color w:val="000000" w:themeColor="text1"/>
              </w:rPr>
              <w:t>年</w:t>
            </w:r>
            <w:r w:rsidRPr="00FF6B9A">
              <w:rPr>
                <w:rFonts w:eastAsiaTheme="minorEastAsia"/>
                <w:color w:val="000000" w:themeColor="text1"/>
              </w:rPr>
              <w:t>6</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B951E1" w:rsidRPr="00FF6B9A" w:rsidTr="00B951E1">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-422,430.94</w:t>
            </w:r>
          </w:p>
        </w:tc>
      </w:tr>
      <w:tr w:rsidR="00B951E1" w:rsidRPr="00FF6B9A" w:rsidTr="00B951E1">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-724,245.70</w:t>
            </w:r>
          </w:p>
        </w:tc>
      </w:tr>
      <w:tr w:rsidR="00B951E1" w:rsidRPr="00FF6B9A" w:rsidTr="00B951E1">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lastRenderedPageBreak/>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-0.0473</w:t>
            </w:r>
          </w:p>
        </w:tc>
      </w:tr>
      <w:tr w:rsidR="00B951E1" w:rsidRPr="00FF6B9A" w:rsidTr="00B951E1">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20,058,479.34</w:t>
            </w:r>
          </w:p>
        </w:tc>
      </w:tr>
      <w:tr w:rsidR="00B951E1" w:rsidRPr="00FF6B9A" w:rsidTr="00B951E1">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1.2841</w:t>
            </w:r>
          </w:p>
        </w:tc>
      </w:tr>
    </w:tbl>
    <w:p w:rsidR="007B2589" w:rsidRDefault="00B951E1">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7B2589">
        <w:tc>
          <w:tcPr>
            <w:tcW w:w="1395" w:type="dxa"/>
            <w:vAlign w:val="center"/>
          </w:tcPr>
          <w:p w:rsidR="007B2589" w:rsidRDefault="00B951E1">
            <w:pPr>
              <w:jc w:val="left"/>
            </w:pPr>
            <w:r>
              <w:rPr>
                <w:rFonts w:eastAsiaTheme="minorEastAsia"/>
                <w:color w:val="000000" w:themeColor="text1"/>
                <w:kern w:val="0"/>
              </w:rPr>
              <w:t>过去三个月</w:t>
            </w:r>
          </w:p>
        </w:tc>
        <w:tc>
          <w:tcPr>
            <w:tcW w:w="1092" w:type="dxa"/>
            <w:vAlign w:val="center"/>
          </w:tcPr>
          <w:p w:rsidR="007B2589" w:rsidRDefault="00B951E1">
            <w:pPr>
              <w:jc w:val="center"/>
            </w:pPr>
            <w:r>
              <w:rPr>
                <w:rFonts w:eastAsiaTheme="minorEastAsia"/>
                <w:color w:val="000000" w:themeColor="text1"/>
                <w:kern w:val="0"/>
              </w:rPr>
              <w:t>-3.57%</w:t>
            </w:r>
          </w:p>
        </w:tc>
        <w:tc>
          <w:tcPr>
            <w:tcW w:w="1161" w:type="dxa"/>
            <w:vAlign w:val="center"/>
          </w:tcPr>
          <w:p w:rsidR="007B2589" w:rsidRDefault="00B951E1">
            <w:pPr>
              <w:jc w:val="center"/>
            </w:pPr>
            <w:r>
              <w:rPr>
                <w:rFonts w:eastAsiaTheme="minorEastAsia"/>
                <w:color w:val="000000" w:themeColor="text1"/>
                <w:kern w:val="0"/>
              </w:rPr>
              <w:t>0.79%</w:t>
            </w:r>
          </w:p>
        </w:tc>
        <w:tc>
          <w:tcPr>
            <w:tcW w:w="1181" w:type="dxa"/>
            <w:vAlign w:val="center"/>
          </w:tcPr>
          <w:p w:rsidR="007B2589" w:rsidRDefault="00B951E1">
            <w:pPr>
              <w:jc w:val="center"/>
            </w:pPr>
            <w:r>
              <w:rPr>
                <w:rFonts w:eastAsiaTheme="minorEastAsia"/>
                <w:color w:val="000000" w:themeColor="text1"/>
                <w:kern w:val="0"/>
              </w:rPr>
              <w:t>-5.11%</w:t>
            </w:r>
          </w:p>
        </w:tc>
        <w:tc>
          <w:tcPr>
            <w:tcW w:w="1188" w:type="dxa"/>
            <w:vAlign w:val="center"/>
          </w:tcPr>
          <w:p w:rsidR="007B2589" w:rsidRDefault="00B951E1">
            <w:pPr>
              <w:jc w:val="center"/>
            </w:pPr>
            <w:r>
              <w:rPr>
                <w:rFonts w:eastAsiaTheme="minorEastAsia"/>
                <w:color w:val="000000" w:themeColor="text1"/>
                <w:kern w:val="0"/>
              </w:rPr>
              <w:t>0.78%</w:t>
            </w:r>
          </w:p>
        </w:tc>
        <w:tc>
          <w:tcPr>
            <w:tcW w:w="1199" w:type="dxa"/>
            <w:vAlign w:val="center"/>
          </w:tcPr>
          <w:p w:rsidR="007B2589" w:rsidRDefault="00B951E1">
            <w:pPr>
              <w:jc w:val="center"/>
            </w:pPr>
            <w:r>
              <w:rPr>
                <w:rFonts w:eastAsiaTheme="minorEastAsia"/>
                <w:color w:val="000000" w:themeColor="text1"/>
                <w:kern w:val="0"/>
              </w:rPr>
              <w:t>1.54%</w:t>
            </w:r>
          </w:p>
        </w:tc>
        <w:tc>
          <w:tcPr>
            <w:tcW w:w="1204" w:type="dxa"/>
            <w:vAlign w:val="center"/>
          </w:tcPr>
          <w:p w:rsidR="007B2589" w:rsidRDefault="00B951E1">
            <w:pPr>
              <w:jc w:val="center"/>
            </w:pPr>
            <w:r>
              <w:rPr>
                <w:rFonts w:eastAsiaTheme="minorEastAsia"/>
                <w:color w:val="000000" w:themeColor="text1"/>
                <w:kern w:val="0"/>
              </w:rPr>
              <w:t>0.01%</w:t>
            </w:r>
          </w:p>
        </w:tc>
      </w:tr>
      <w:tr w:rsidR="007B2589">
        <w:tc>
          <w:tcPr>
            <w:tcW w:w="1395" w:type="dxa"/>
            <w:vAlign w:val="center"/>
          </w:tcPr>
          <w:p w:rsidR="007B2589" w:rsidRDefault="00B951E1">
            <w:pPr>
              <w:jc w:val="left"/>
            </w:pPr>
            <w:r>
              <w:rPr>
                <w:rFonts w:eastAsiaTheme="minorEastAsia"/>
                <w:color w:val="000000" w:themeColor="text1"/>
                <w:kern w:val="0"/>
              </w:rPr>
              <w:t>过去六个月</w:t>
            </w:r>
          </w:p>
        </w:tc>
        <w:tc>
          <w:tcPr>
            <w:tcW w:w="1092" w:type="dxa"/>
            <w:vAlign w:val="center"/>
          </w:tcPr>
          <w:p w:rsidR="007B2589" w:rsidRDefault="00B951E1">
            <w:pPr>
              <w:jc w:val="center"/>
            </w:pPr>
            <w:r>
              <w:rPr>
                <w:rFonts w:eastAsiaTheme="minorEastAsia"/>
                <w:color w:val="000000" w:themeColor="text1"/>
                <w:kern w:val="0"/>
              </w:rPr>
              <w:t>1.98%</w:t>
            </w:r>
          </w:p>
        </w:tc>
        <w:tc>
          <w:tcPr>
            <w:tcW w:w="1161" w:type="dxa"/>
            <w:vAlign w:val="center"/>
          </w:tcPr>
          <w:p w:rsidR="007B2589" w:rsidRDefault="00B951E1">
            <w:pPr>
              <w:jc w:val="center"/>
            </w:pPr>
            <w:r>
              <w:rPr>
                <w:rFonts w:eastAsiaTheme="minorEastAsia"/>
                <w:color w:val="000000" w:themeColor="text1"/>
                <w:kern w:val="0"/>
              </w:rPr>
              <w:t>0.75%</w:t>
            </w:r>
          </w:p>
        </w:tc>
        <w:tc>
          <w:tcPr>
            <w:tcW w:w="1181" w:type="dxa"/>
            <w:vAlign w:val="center"/>
          </w:tcPr>
          <w:p w:rsidR="007B2589" w:rsidRDefault="00B951E1">
            <w:pPr>
              <w:jc w:val="center"/>
            </w:pPr>
            <w:r>
              <w:rPr>
                <w:rFonts w:eastAsiaTheme="minorEastAsia"/>
                <w:color w:val="000000" w:themeColor="text1"/>
                <w:kern w:val="0"/>
              </w:rPr>
              <w:t>2.18%</w:t>
            </w:r>
          </w:p>
        </w:tc>
        <w:tc>
          <w:tcPr>
            <w:tcW w:w="1188" w:type="dxa"/>
            <w:vAlign w:val="center"/>
          </w:tcPr>
          <w:p w:rsidR="007B2589" w:rsidRDefault="00B951E1">
            <w:pPr>
              <w:jc w:val="center"/>
            </w:pPr>
            <w:r>
              <w:rPr>
                <w:rFonts w:eastAsiaTheme="minorEastAsia"/>
                <w:color w:val="000000" w:themeColor="text1"/>
                <w:kern w:val="0"/>
              </w:rPr>
              <w:t>0.75%</w:t>
            </w:r>
          </w:p>
        </w:tc>
        <w:tc>
          <w:tcPr>
            <w:tcW w:w="1199" w:type="dxa"/>
            <w:vAlign w:val="center"/>
          </w:tcPr>
          <w:p w:rsidR="007B2589" w:rsidRDefault="00B951E1">
            <w:pPr>
              <w:jc w:val="center"/>
            </w:pPr>
            <w:r>
              <w:rPr>
                <w:rFonts w:eastAsiaTheme="minorEastAsia"/>
                <w:color w:val="000000" w:themeColor="text1"/>
                <w:kern w:val="0"/>
              </w:rPr>
              <w:t>-0.20%</w:t>
            </w:r>
          </w:p>
        </w:tc>
        <w:tc>
          <w:tcPr>
            <w:tcW w:w="1204" w:type="dxa"/>
            <w:vAlign w:val="center"/>
          </w:tcPr>
          <w:p w:rsidR="007B2589" w:rsidRDefault="00B951E1">
            <w:pPr>
              <w:jc w:val="center"/>
            </w:pPr>
            <w:r>
              <w:rPr>
                <w:rFonts w:eastAsiaTheme="minorEastAsia"/>
                <w:color w:val="000000" w:themeColor="text1"/>
                <w:kern w:val="0"/>
              </w:rPr>
              <w:t>0.00%</w:t>
            </w:r>
          </w:p>
        </w:tc>
      </w:tr>
      <w:tr w:rsidR="007B2589">
        <w:tc>
          <w:tcPr>
            <w:tcW w:w="1395" w:type="dxa"/>
            <w:vAlign w:val="center"/>
          </w:tcPr>
          <w:p w:rsidR="007B2589" w:rsidRDefault="00B951E1">
            <w:pPr>
              <w:jc w:val="left"/>
            </w:pPr>
            <w:r>
              <w:rPr>
                <w:rFonts w:eastAsiaTheme="minorEastAsia"/>
                <w:color w:val="000000" w:themeColor="text1"/>
                <w:kern w:val="0"/>
              </w:rPr>
              <w:t>过去一年</w:t>
            </w:r>
          </w:p>
        </w:tc>
        <w:tc>
          <w:tcPr>
            <w:tcW w:w="1092" w:type="dxa"/>
            <w:vAlign w:val="center"/>
          </w:tcPr>
          <w:p w:rsidR="007B2589" w:rsidRDefault="00B951E1">
            <w:pPr>
              <w:jc w:val="center"/>
            </w:pPr>
            <w:r>
              <w:rPr>
                <w:rFonts w:eastAsiaTheme="minorEastAsia"/>
                <w:color w:val="000000" w:themeColor="text1"/>
                <w:kern w:val="0"/>
              </w:rPr>
              <w:t>-7.98%</w:t>
            </w:r>
          </w:p>
        </w:tc>
        <w:tc>
          <w:tcPr>
            <w:tcW w:w="1161" w:type="dxa"/>
            <w:vAlign w:val="center"/>
          </w:tcPr>
          <w:p w:rsidR="007B2589" w:rsidRDefault="00B951E1">
            <w:pPr>
              <w:jc w:val="center"/>
            </w:pPr>
            <w:r>
              <w:rPr>
                <w:rFonts w:eastAsiaTheme="minorEastAsia"/>
                <w:color w:val="000000" w:themeColor="text1"/>
                <w:kern w:val="0"/>
              </w:rPr>
              <w:t>0.93%</w:t>
            </w:r>
          </w:p>
        </w:tc>
        <w:tc>
          <w:tcPr>
            <w:tcW w:w="1181" w:type="dxa"/>
            <w:vAlign w:val="center"/>
          </w:tcPr>
          <w:p w:rsidR="007B2589" w:rsidRDefault="00B951E1">
            <w:pPr>
              <w:jc w:val="center"/>
            </w:pPr>
            <w:r>
              <w:rPr>
                <w:rFonts w:eastAsiaTheme="minorEastAsia"/>
                <w:color w:val="000000" w:themeColor="text1"/>
                <w:kern w:val="0"/>
              </w:rPr>
              <w:t>-8.31%</w:t>
            </w:r>
          </w:p>
        </w:tc>
        <w:tc>
          <w:tcPr>
            <w:tcW w:w="1188" w:type="dxa"/>
            <w:vAlign w:val="center"/>
          </w:tcPr>
          <w:p w:rsidR="007B2589" w:rsidRDefault="00B951E1">
            <w:pPr>
              <w:jc w:val="center"/>
            </w:pPr>
            <w:r>
              <w:rPr>
                <w:rFonts w:eastAsiaTheme="minorEastAsia"/>
                <w:color w:val="000000" w:themeColor="text1"/>
                <w:kern w:val="0"/>
              </w:rPr>
              <w:t>0.82%</w:t>
            </w:r>
          </w:p>
        </w:tc>
        <w:tc>
          <w:tcPr>
            <w:tcW w:w="1199" w:type="dxa"/>
            <w:vAlign w:val="center"/>
          </w:tcPr>
          <w:p w:rsidR="007B2589" w:rsidRDefault="00B951E1">
            <w:pPr>
              <w:jc w:val="center"/>
            </w:pPr>
            <w:r>
              <w:rPr>
                <w:rFonts w:eastAsiaTheme="minorEastAsia"/>
                <w:color w:val="000000" w:themeColor="text1"/>
                <w:kern w:val="0"/>
              </w:rPr>
              <w:t>0.33%</w:t>
            </w:r>
          </w:p>
        </w:tc>
        <w:tc>
          <w:tcPr>
            <w:tcW w:w="1204" w:type="dxa"/>
            <w:vAlign w:val="center"/>
          </w:tcPr>
          <w:p w:rsidR="007B2589" w:rsidRDefault="00B951E1">
            <w:pPr>
              <w:jc w:val="center"/>
            </w:pPr>
            <w:r>
              <w:rPr>
                <w:rFonts w:eastAsiaTheme="minorEastAsia"/>
                <w:color w:val="000000" w:themeColor="text1"/>
                <w:kern w:val="0"/>
              </w:rPr>
              <w:t>0.11%</w:t>
            </w:r>
          </w:p>
        </w:tc>
      </w:tr>
      <w:tr w:rsidR="007B2589">
        <w:tc>
          <w:tcPr>
            <w:tcW w:w="1395" w:type="dxa"/>
            <w:vAlign w:val="center"/>
          </w:tcPr>
          <w:p w:rsidR="007B2589" w:rsidRDefault="00B951E1">
            <w:pPr>
              <w:jc w:val="left"/>
            </w:pPr>
            <w:r>
              <w:rPr>
                <w:rFonts w:eastAsiaTheme="minorEastAsia"/>
                <w:color w:val="000000" w:themeColor="text1"/>
                <w:kern w:val="0"/>
              </w:rPr>
              <w:t>过去三年</w:t>
            </w:r>
          </w:p>
        </w:tc>
        <w:tc>
          <w:tcPr>
            <w:tcW w:w="1092" w:type="dxa"/>
            <w:vAlign w:val="center"/>
          </w:tcPr>
          <w:p w:rsidR="007B2589" w:rsidRDefault="00B951E1">
            <w:pPr>
              <w:jc w:val="center"/>
            </w:pPr>
            <w:r>
              <w:rPr>
                <w:rFonts w:eastAsiaTheme="minorEastAsia"/>
                <w:color w:val="000000" w:themeColor="text1"/>
                <w:kern w:val="0"/>
              </w:rPr>
              <w:t>3.03%</w:t>
            </w:r>
          </w:p>
        </w:tc>
        <w:tc>
          <w:tcPr>
            <w:tcW w:w="1161" w:type="dxa"/>
            <w:vAlign w:val="center"/>
          </w:tcPr>
          <w:p w:rsidR="007B2589" w:rsidRDefault="00B951E1">
            <w:pPr>
              <w:jc w:val="center"/>
            </w:pPr>
            <w:r>
              <w:rPr>
                <w:rFonts w:eastAsiaTheme="minorEastAsia"/>
                <w:color w:val="000000" w:themeColor="text1"/>
                <w:kern w:val="0"/>
              </w:rPr>
              <w:t>1.16%</w:t>
            </w:r>
          </w:p>
        </w:tc>
        <w:tc>
          <w:tcPr>
            <w:tcW w:w="1181" w:type="dxa"/>
            <w:vAlign w:val="center"/>
          </w:tcPr>
          <w:p w:rsidR="007B2589" w:rsidRDefault="00B951E1">
            <w:pPr>
              <w:jc w:val="center"/>
            </w:pPr>
            <w:r>
              <w:rPr>
                <w:rFonts w:eastAsiaTheme="minorEastAsia"/>
                <w:color w:val="000000" w:themeColor="text1"/>
                <w:kern w:val="0"/>
              </w:rPr>
              <w:t>-3.65%</w:t>
            </w:r>
          </w:p>
        </w:tc>
        <w:tc>
          <w:tcPr>
            <w:tcW w:w="1188" w:type="dxa"/>
            <w:vAlign w:val="center"/>
          </w:tcPr>
          <w:p w:rsidR="007B2589" w:rsidRDefault="00B951E1">
            <w:pPr>
              <w:jc w:val="center"/>
            </w:pPr>
            <w:r>
              <w:rPr>
                <w:rFonts w:eastAsiaTheme="minorEastAsia"/>
                <w:color w:val="000000" w:themeColor="text1"/>
                <w:kern w:val="0"/>
              </w:rPr>
              <w:t>0.77%</w:t>
            </w:r>
          </w:p>
        </w:tc>
        <w:tc>
          <w:tcPr>
            <w:tcW w:w="1199" w:type="dxa"/>
            <w:vAlign w:val="center"/>
          </w:tcPr>
          <w:p w:rsidR="007B2589" w:rsidRDefault="00B951E1">
            <w:pPr>
              <w:jc w:val="center"/>
            </w:pPr>
            <w:r>
              <w:rPr>
                <w:rFonts w:eastAsiaTheme="minorEastAsia"/>
                <w:color w:val="000000" w:themeColor="text1"/>
                <w:kern w:val="0"/>
              </w:rPr>
              <w:t>6.68%</w:t>
            </w:r>
          </w:p>
        </w:tc>
        <w:tc>
          <w:tcPr>
            <w:tcW w:w="1204" w:type="dxa"/>
            <w:vAlign w:val="center"/>
          </w:tcPr>
          <w:p w:rsidR="007B2589" w:rsidRDefault="00B951E1">
            <w:pPr>
              <w:jc w:val="center"/>
            </w:pPr>
            <w:r>
              <w:rPr>
                <w:rFonts w:eastAsiaTheme="minorEastAsia"/>
                <w:color w:val="000000" w:themeColor="text1"/>
                <w:kern w:val="0"/>
              </w:rPr>
              <w:t>0.39%</w:t>
            </w:r>
          </w:p>
        </w:tc>
      </w:tr>
      <w:tr w:rsidR="007B2589">
        <w:tc>
          <w:tcPr>
            <w:tcW w:w="1395" w:type="dxa"/>
            <w:vAlign w:val="center"/>
          </w:tcPr>
          <w:p w:rsidR="007B2589" w:rsidRDefault="00B951E1">
            <w:pPr>
              <w:jc w:val="left"/>
            </w:pPr>
            <w:r>
              <w:rPr>
                <w:rFonts w:eastAsiaTheme="minorEastAsia"/>
                <w:color w:val="000000" w:themeColor="text1"/>
                <w:kern w:val="0"/>
              </w:rPr>
              <w:t>过去五年</w:t>
            </w:r>
          </w:p>
        </w:tc>
        <w:tc>
          <w:tcPr>
            <w:tcW w:w="1092" w:type="dxa"/>
            <w:vAlign w:val="center"/>
          </w:tcPr>
          <w:p w:rsidR="007B2589" w:rsidRDefault="00B951E1">
            <w:pPr>
              <w:jc w:val="center"/>
            </w:pPr>
            <w:r>
              <w:rPr>
                <w:rFonts w:eastAsiaTheme="minorEastAsia"/>
                <w:color w:val="000000" w:themeColor="text1"/>
                <w:kern w:val="0"/>
              </w:rPr>
              <w:t>38.58%</w:t>
            </w:r>
          </w:p>
        </w:tc>
        <w:tc>
          <w:tcPr>
            <w:tcW w:w="1161" w:type="dxa"/>
            <w:vAlign w:val="center"/>
          </w:tcPr>
          <w:p w:rsidR="007B2589" w:rsidRDefault="00B951E1">
            <w:pPr>
              <w:jc w:val="center"/>
            </w:pPr>
            <w:r>
              <w:rPr>
                <w:rFonts w:eastAsiaTheme="minorEastAsia"/>
                <w:color w:val="000000" w:themeColor="text1"/>
                <w:kern w:val="0"/>
              </w:rPr>
              <w:t>1.23%</w:t>
            </w:r>
          </w:p>
        </w:tc>
        <w:tc>
          <w:tcPr>
            <w:tcW w:w="1181" w:type="dxa"/>
            <w:vAlign w:val="center"/>
          </w:tcPr>
          <w:p w:rsidR="007B2589" w:rsidRDefault="00B951E1">
            <w:pPr>
              <w:jc w:val="center"/>
            </w:pPr>
            <w:r>
              <w:rPr>
                <w:rFonts w:eastAsiaTheme="minorEastAsia"/>
                <w:color w:val="000000" w:themeColor="text1"/>
                <w:kern w:val="0"/>
              </w:rPr>
              <w:t>8.14%</w:t>
            </w:r>
          </w:p>
        </w:tc>
        <w:tc>
          <w:tcPr>
            <w:tcW w:w="1188" w:type="dxa"/>
            <w:vAlign w:val="center"/>
          </w:tcPr>
          <w:p w:rsidR="007B2589" w:rsidRDefault="00B951E1">
            <w:pPr>
              <w:jc w:val="center"/>
            </w:pPr>
            <w:r>
              <w:rPr>
                <w:rFonts w:eastAsiaTheme="minorEastAsia"/>
                <w:color w:val="000000" w:themeColor="text1"/>
                <w:kern w:val="0"/>
              </w:rPr>
              <w:t>0.79%</w:t>
            </w:r>
          </w:p>
        </w:tc>
        <w:tc>
          <w:tcPr>
            <w:tcW w:w="1199" w:type="dxa"/>
            <w:vAlign w:val="center"/>
          </w:tcPr>
          <w:p w:rsidR="007B2589" w:rsidRDefault="00B951E1">
            <w:pPr>
              <w:jc w:val="center"/>
            </w:pPr>
            <w:r>
              <w:rPr>
                <w:rFonts w:eastAsiaTheme="minorEastAsia"/>
                <w:color w:val="000000" w:themeColor="text1"/>
                <w:kern w:val="0"/>
              </w:rPr>
              <w:t>30.44%</w:t>
            </w:r>
          </w:p>
        </w:tc>
        <w:tc>
          <w:tcPr>
            <w:tcW w:w="1204" w:type="dxa"/>
            <w:vAlign w:val="center"/>
          </w:tcPr>
          <w:p w:rsidR="007B2589" w:rsidRDefault="00B951E1">
            <w:pPr>
              <w:jc w:val="center"/>
            </w:pPr>
            <w:r>
              <w:rPr>
                <w:rFonts w:eastAsiaTheme="minorEastAsia"/>
                <w:color w:val="000000" w:themeColor="text1"/>
                <w:kern w:val="0"/>
              </w:rPr>
              <w:t>0.44%</w:t>
            </w:r>
          </w:p>
        </w:tc>
      </w:tr>
      <w:tr w:rsidR="007B2589">
        <w:tc>
          <w:tcPr>
            <w:tcW w:w="1395" w:type="dxa"/>
            <w:vAlign w:val="center"/>
          </w:tcPr>
          <w:p w:rsidR="007B2589" w:rsidRDefault="00B951E1">
            <w:pPr>
              <w:jc w:val="left"/>
            </w:pPr>
            <w:r>
              <w:rPr>
                <w:rFonts w:eastAsiaTheme="minorEastAsia"/>
                <w:color w:val="000000" w:themeColor="text1"/>
                <w:kern w:val="0"/>
              </w:rPr>
              <w:t>自基金合同生效起至今</w:t>
            </w:r>
          </w:p>
        </w:tc>
        <w:tc>
          <w:tcPr>
            <w:tcW w:w="1092" w:type="dxa"/>
            <w:vAlign w:val="center"/>
          </w:tcPr>
          <w:p w:rsidR="007B2589" w:rsidRDefault="00B951E1">
            <w:pPr>
              <w:jc w:val="center"/>
            </w:pPr>
            <w:r>
              <w:rPr>
                <w:rFonts w:eastAsiaTheme="minorEastAsia"/>
                <w:color w:val="000000" w:themeColor="text1"/>
                <w:kern w:val="0"/>
              </w:rPr>
              <w:t>28.41%</w:t>
            </w:r>
          </w:p>
        </w:tc>
        <w:tc>
          <w:tcPr>
            <w:tcW w:w="1161" w:type="dxa"/>
            <w:vAlign w:val="center"/>
          </w:tcPr>
          <w:p w:rsidR="007B2589" w:rsidRDefault="00B951E1">
            <w:pPr>
              <w:jc w:val="center"/>
            </w:pPr>
            <w:r>
              <w:rPr>
                <w:rFonts w:eastAsiaTheme="minorEastAsia"/>
                <w:color w:val="000000" w:themeColor="text1"/>
                <w:kern w:val="0"/>
              </w:rPr>
              <w:t>1.21%</w:t>
            </w:r>
          </w:p>
        </w:tc>
        <w:tc>
          <w:tcPr>
            <w:tcW w:w="1181" w:type="dxa"/>
            <w:vAlign w:val="center"/>
          </w:tcPr>
          <w:p w:rsidR="007B2589" w:rsidRDefault="00B951E1">
            <w:pPr>
              <w:jc w:val="center"/>
            </w:pPr>
            <w:r>
              <w:rPr>
                <w:rFonts w:eastAsiaTheme="minorEastAsia"/>
                <w:color w:val="000000" w:themeColor="text1"/>
                <w:kern w:val="0"/>
              </w:rPr>
              <w:t>-2.23%</w:t>
            </w:r>
          </w:p>
        </w:tc>
        <w:tc>
          <w:tcPr>
            <w:tcW w:w="1188" w:type="dxa"/>
            <w:vAlign w:val="center"/>
          </w:tcPr>
          <w:p w:rsidR="007B2589" w:rsidRDefault="00B951E1">
            <w:pPr>
              <w:jc w:val="center"/>
            </w:pPr>
            <w:r>
              <w:rPr>
                <w:rFonts w:eastAsiaTheme="minorEastAsia"/>
                <w:color w:val="000000" w:themeColor="text1"/>
                <w:kern w:val="0"/>
              </w:rPr>
              <w:t>0.79%</w:t>
            </w:r>
          </w:p>
        </w:tc>
        <w:tc>
          <w:tcPr>
            <w:tcW w:w="1199" w:type="dxa"/>
            <w:vAlign w:val="center"/>
          </w:tcPr>
          <w:p w:rsidR="007B2589" w:rsidRDefault="00B951E1">
            <w:pPr>
              <w:jc w:val="center"/>
            </w:pPr>
            <w:r>
              <w:rPr>
                <w:rFonts w:eastAsiaTheme="minorEastAsia"/>
                <w:color w:val="000000" w:themeColor="text1"/>
                <w:kern w:val="0"/>
              </w:rPr>
              <w:t>30.64%</w:t>
            </w:r>
          </w:p>
        </w:tc>
        <w:tc>
          <w:tcPr>
            <w:tcW w:w="1204" w:type="dxa"/>
            <w:vAlign w:val="center"/>
          </w:tcPr>
          <w:p w:rsidR="007B2589" w:rsidRDefault="00B951E1">
            <w:pPr>
              <w:jc w:val="center"/>
            </w:pPr>
            <w:r>
              <w:rPr>
                <w:rFonts w:eastAsiaTheme="minorEastAsia"/>
                <w:color w:val="000000" w:themeColor="text1"/>
                <w:kern w:val="0"/>
              </w:rPr>
              <w:t>0.42%</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摩根量化多因子灵活配置混合型证券投资基金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(2018</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19</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2023</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6</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lastRenderedPageBreak/>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7B2589" w:rsidRDefault="00B951E1">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19</w:t>
      </w:r>
      <w:r>
        <w:rPr>
          <w:rFonts w:eastAsiaTheme="minorEastAsia"/>
          <w:color w:val="000000" w:themeColor="text1"/>
        </w:rPr>
        <w:t>日，图示的时间段为合同生效日至本报告期末。</w:t>
      </w:r>
    </w:p>
    <w:p w:rsidR="007B2589" w:rsidRDefault="00B951E1">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本基金建仓期为本基金合同生效日起</w:t>
      </w:r>
      <w:r>
        <w:rPr>
          <w:rFonts w:eastAsiaTheme="minorEastAsia"/>
          <w:color w:val="000000" w:themeColor="text1"/>
        </w:rPr>
        <w:t>6</w:t>
      </w:r>
      <w:r>
        <w:rPr>
          <w:rFonts w:eastAsiaTheme="minorEastAsia"/>
          <w:color w:val="000000" w:themeColor="text1"/>
        </w:rPr>
        <w:t>个月，建仓期结束时资产配置比例符合本基金基金合同规定。</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本基金自</w:t>
      </w:r>
      <w:r w:rsidRPr="00FF6B9A">
        <w:rPr>
          <w:rFonts w:eastAsiaTheme="minorEastAsia"/>
          <w:color w:val="000000" w:themeColor="text1"/>
        </w:rPr>
        <w:t>2022</w:t>
      </w:r>
      <w:r w:rsidRPr="00FF6B9A">
        <w:rPr>
          <w:rFonts w:eastAsiaTheme="minorEastAsia"/>
          <w:color w:val="000000" w:themeColor="text1"/>
        </w:rPr>
        <w:t>年</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9</w:t>
      </w:r>
      <w:r w:rsidRPr="00FF6B9A">
        <w:rPr>
          <w:rFonts w:eastAsiaTheme="minorEastAsia"/>
          <w:color w:val="000000" w:themeColor="text1"/>
        </w:rPr>
        <w:t>日起，将基金业绩比较基准由</w:t>
      </w:r>
      <w:r w:rsidRPr="00FF6B9A">
        <w:rPr>
          <w:rFonts w:eastAsiaTheme="minorEastAsia"/>
          <w:color w:val="000000" w:themeColor="text1"/>
        </w:rPr>
        <w:t>“</w:t>
      </w:r>
      <w:r w:rsidRPr="00FF6B9A">
        <w:rPr>
          <w:rFonts w:eastAsiaTheme="minorEastAsia"/>
          <w:color w:val="000000" w:themeColor="text1"/>
        </w:rPr>
        <w:t>中证</w:t>
      </w:r>
      <w:r w:rsidRPr="00FF6B9A">
        <w:rPr>
          <w:rFonts w:eastAsiaTheme="minorEastAsia"/>
          <w:color w:val="000000" w:themeColor="text1"/>
        </w:rPr>
        <w:t xml:space="preserve"> 800 </w:t>
      </w:r>
      <w:r w:rsidRPr="00FF6B9A">
        <w:rPr>
          <w:rFonts w:eastAsiaTheme="minorEastAsia"/>
          <w:color w:val="000000" w:themeColor="text1"/>
        </w:rPr>
        <w:t>指数收益率</w:t>
      </w:r>
      <w:r w:rsidRPr="00FF6B9A">
        <w:rPr>
          <w:rFonts w:eastAsiaTheme="minorEastAsia"/>
          <w:color w:val="000000" w:themeColor="text1"/>
        </w:rPr>
        <w:t>×60%+</w:t>
      </w:r>
      <w:r w:rsidRPr="00FF6B9A">
        <w:rPr>
          <w:rFonts w:eastAsiaTheme="minorEastAsia"/>
          <w:color w:val="000000" w:themeColor="text1"/>
        </w:rPr>
        <w:t>中债总指数收益率</w:t>
      </w:r>
      <w:r w:rsidRPr="00FF6B9A">
        <w:rPr>
          <w:rFonts w:eastAsiaTheme="minorEastAsia"/>
          <w:color w:val="000000" w:themeColor="text1"/>
        </w:rPr>
        <w:t>×40%”</w:t>
      </w:r>
      <w:r w:rsidRPr="00FF6B9A">
        <w:rPr>
          <w:rFonts w:eastAsiaTheme="minorEastAsia"/>
          <w:color w:val="000000" w:themeColor="text1"/>
        </w:rPr>
        <w:t>变更为</w:t>
      </w:r>
      <w:r w:rsidRPr="00FF6B9A">
        <w:rPr>
          <w:rFonts w:eastAsiaTheme="minorEastAsia"/>
          <w:color w:val="000000" w:themeColor="text1"/>
        </w:rPr>
        <w:t>“</w:t>
      </w:r>
      <w:r w:rsidRPr="00FF6B9A">
        <w:rPr>
          <w:rFonts w:eastAsiaTheme="minorEastAsia"/>
          <w:color w:val="000000" w:themeColor="text1"/>
        </w:rPr>
        <w:t>中证</w:t>
      </w:r>
      <w:r w:rsidRPr="00FF6B9A">
        <w:rPr>
          <w:rFonts w:eastAsiaTheme="minorEastAsia"/>
          <w:color w:val="000000" w:themeColor="text1"/>
        </w:rPr>
        <w:t xml:space="preserve"> 500 </w:t>
      </w:r>
      <w:r w:rsidRPr="00FF6B9A">
        <w:rPr>
          <w:rFonts w:eastAsiaTheme="minorEastAsia"/>
          <w:color w:val="000000" w:themeColor="text1"/>
        </w:rPr>
        <w:t>指数收益率</w:t>
      </w:r>
      <w:r w:rsidRPr="00FF6B9A">
        <w:rPr>
          <w:rFonts w:eastAsiaTheme="minorEastAsia"/>
          <w:color w:val="000000" w:themeColor="text1"/>
        </w:rPr>
        <w:t>×95%+</w:t>
      </w:r>
      <w:r w:rsidRPr="00FF6B9A">
        <w:rPr>
          <w:rFonts w:eastAsiaTheme="minorEastAsia"/>
          <w:color w:val="000000" w:themeColor="text1"/>
        </w:rPr>
        <w:t>银行活期存款利率</w:t>
      </w:r>
      <w:r w:rsidRPr="00FF6B9A">
        <w:rPr>
          <w:rFonts w:eastAsiaTheme="minorEastAsia"/>
          <w:color w:val="000000" w:themeColor="text1"/>
        </w:rPr>
        <w:t>(</w:t>
      </w:r>
      <w:r w:rsidRPr="00FF6B9A">
        <w:rPr>
          <w:rFonts w:eastAsiaTheme="minorEastAsia"/>
          <w:color w:val="000000" w:themeColor="text1"/>
        </w:rPr>
        <w:t>税后</w:t>
      </w:r>
      <w:r w:rsidRPr="00FF6B9A">
        <w:rPr>
          <w:rFonts w:eastAsiaTheme="minorEastAsia"/>
          <w:color w:val="000000" w:themeColor="text1"/>
        </w:rPr>
        <w:t>)×5%”</w:t>
      </w:r>
      <w:r w:rsidRPr="00FF6B9A">
        <w:rPr>
          <w:rFonts w:eastAsiaTheme="minorEastAsia"/>
          <w:color w:val="000000" w:themeColor="text1"/>
        </w:rPr>
        <w:t>。</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7B2589">
        <w:tc>
          <w:tcPr>
            <w:tcW w:w="851" w:type="dxa"/>
            <w:vAlign w:val="center"/>
          </w:tcPr>
          <w:p w:rsidR="007B2589" w:rsidRDefault="00B951E1">
            <w:pPr>
              <w:jc w:val="center"/>
            </w:pPr>
            <w:r>
              <w:rPr>
                <w:rFonts w:eastAsiaTheme="minorEastAsia"/>
                <w:color w:val="000000" w:themeColor="text1"/>
              </w:rPr>
              <w:t>胡迪</w:t>
            </w:r>
          </w:p>
        </w:tc>
        <w:tc>
          <w:tcPr>
            <w:tcW w:w="850" w:type="dxa"/>
            <w:vAlign w:val="center"/>
          </w:tcPr>
          <w:p w:rsidR="007B2589" w:rsidRDefault="00B951E1">
            <w:pPr>
              <w:jc w:val="center"/>
            </w:pPr>
            <w:r>
              <w:rPr>
                <w:rFonts w:eastAsiaTheme="minorEastAsia"/>
                <w:color w:val="000000" w:themeColor="text1"/>
              </w:rPr>
              <w:t>本基金基金经理、指数及量化投资部总监</w:t>
            </w:r>
          </w:p>
        </w:tc>
        <w:tc>
          <w:tcPr>
            <w:tcW w:w="1560" w:type="dxa"/>
            <w:vAlign w:val="center"/>
          </w:tcPr>
          <w:p w:rsidR="007B2589" w:rsidRDefault="00B951E1">
            <w:pPr>
              <w:jc w:val="center"/>
            </w:pPr>
            <w:r>
              <w:rPr>
                <w:rFonts w:eastAsiaTheme="minorEastAsia"/>
                <w:color w:val="000000" w:themeColor="text1"/>
              </w:rPr>
              <w:t>2021-01-07</w:t>
            </w:r>
          </w:p>
        </w:tc>
        <w:tc>
          <w:tcPr>
            <w:tcW w:w="1559" w:type="dxa"/>
            <w:vAlign w:val="center"/>
          </w:tcPr>
          <w:p w:rsidR="007B2589" w:rsidRDefault="00B951E1">
            <w:pPr>
              <w:jc w:val="center"/>
            </w:pPr>
            <w:r>
              <w:rPr>
                <w:rFonts w:eastAsiaTheme="minorEastAsia"/>
                <w:color w:val="000000" w:themeColor="text1"/>
              </w:rPr>
              <w:t>-</w:t>
            </w:r>
          </w:p>
        </w:tc>
        <w:tc>
          <w:tcPr>
            <w:tcW w:w="1417" w:type="dxa"/>
            <w:vAlign w:val="center"/>
          </w:tcPr>
          <w:p w:rsidR="007B2589" w:rsidRDefault="00B951E1">
            <w:pPr>
              <w:jc w:val="center"/>
            </w:pPr>
            <w:r>
              <w:rPr>
                <w:rFonts w:eastAsiaTheme="minorEastAsia"/>
                <w:color w:val="000000" w:themeColor="text1"/>
              </w:rPr>
              <w:t>15</w:t>
            </w:r>
            <w:r>
              <w:rPr>
                <w:rFonts w:eastAsiaTheme="minorEastAsia"/>
                <w:color w:val="000000" w:themeColor="text1"/>
              </w:rPr>
              <w:t>年</w:t>
            </w:r>
          </w:p>
        </w:tc>
        <w:tc>
          <w:tcPr>
            <w:tcW w:w="2694" w:type="dxa"/>
            <w:vAlign w:val="center"/>
          </w:tcPr>
          <w:p w:rsidR="007B2589" w:rsidRDefault="00B951E1">
            <w:r>
              <w:rPr>
                <w:rFonts w:eastAsiaTheme="minorEastAsia"/>
                <w:color w:val="000000" w:themeColor="text1"/>
              </w:rPr>
              <w:t>胡迪女士曾任纽约美林证券全球资产管理部高级经理，纽约标准普尔量化投资主管，中国国际金融股份有限公司资产管理部执行总经理。</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5</w:t>
            </w:r>
            <w:r>
              <w:rPr>
                <w:rFonts w:eastAsiaTheme="minorEastAsia"/>
                <w:color w:val="000000" w:themeColor="text1"/>
              </w:rPr>
              <w:t>月加入摩根基金管理（中国）有限公司（原上投摩根基金管理有限公司），现任指数及量化投资部总监兼基金经理。</w:t>
            </w:r>
          </w:p>
        </w:tc>
      </w:tr>
      <w:tr w:rsidR="007B2589">
        <w:tc>
          <w:tcPr>
            <w:tcW w:w="851" w:type="dxa"/>
            <w:vAlign w:val="center"/>
          </w:tcPr>
          <w:p w:rsidR="007B2589" w:rsidRDefault="00B951E1">
            <w:pPr>
              <w:jc w:val="center"/>
            </w:pPr>
            <w:r>
              <w:rPr>
                <w:rFonts w:eastAsiaTheme="minorEastAsia"/>
                <w:color w:val="000000" w:themeColor="text1"/>
              </w:rPr>
              <w:lastRenderedPageBreak/>
              <w:t>何智豪</w:t>
            </w:r>
          </w:p>
        </w:tc>
        <w:tc>
          <w:tcPr>
            <w:tcW w:w="850" w:type="dxa"/>
            <w:vAlign w:val="center"/>
          </w:tcPr>
          <w:p w:rsidR="007B2589" w:rsidRDefault="00B951E1">
            <w:pPr>
              <w:jc w:val="center"/>
            </w:pPr>
            <w:r>
              <w:rPr>
                <w:rFonts w:eastAsiaTheme="minorEastAsia"/>
                <w:color w:val="000000" w:themeColor="text1"/>
              </w:rPr>
              <w:t>本基金基金经理</w:t>
            </w:r>
          </w:p>
        </w:tc>
        <w:tc>
          <w:tcPr>
            <w:tcW w:w="1560" w:type="dxa"/>
            <w:vAlign w:val="center"/>
          </w:tcPr>
          <w:p w:rsidR="007B2589" w:rsidRDefault="00B951E1">
            <w:pPr>
              <w:jc w:val="center"/>
            </w:pPr>
            <w:r>
              <w:rPr>
                <w:rFonts w:eastAsiaTheme="minorEastAsia"/>
                <w:color w:val="000000" w:themeColor="text1"/>
              </w:rPr>
              <w:t>2021-02-05</w:t>
            </w:r>
          </w:p>
        </w:tc>
        <w:tc>
          <w:tcPr>
            <w:tcW w:w="1559" w:type="dxa"/>
            <w:vAlign w:val="center"/>
          </w:tcPr>
          <w:p w:rsidR="007B2589" w:rsidRDefault="00B951E1">
            <w:pPr>
              <w:jc w:val="center"/>
            </w:pPr>
            <w:r>
              <w:rPr>
                <w:rFonts w:eastAsiaTheme="minorEastAsia"/>
                <w:color w:val="000000" w:themeColor="text1"/>
              </w:rPr>
              <w:t>-</w:t>
            </w:r>
          </w:p>
        </w:tc>
        <w:tc>
          <w:tcPr>
            <w:tcW w:w="1417" w:type="dxa"/>
            <w:vAlign w:val="center"/>
          </w:tcPr>
          <w:p w:rsidR="007B2589" w:rsidRDefault="00B951E1">
            <w:pPr>
              <w:jc w:val="center"/>
            </w:pPr>
            <w:r>
              <w:rPr>
                <w:rFonts w:eastAsiaTheme="minorEastAsia"/>
                <w:color w:val="000000" w:themeColor="text1"/>
              </w:rPr>
              <w:t>9</w:t>
            </w:r>
            <w:r>
              <w:rPr>
                <w:rFonts w:eastAsiaTheme="minorEastAsia"/>
                <w:color w:val="000000" w:themeColor="text1"/>
              </w:rPr>
              <w:t>年</w:t>
            </w:r>
          </w:p>
        </w:tc>
        <w:tc>
          <w:tcPr>
            <w:tcW w:w="2694" w:type="dxa"/>
            <w:vAlign w:val="center"/>
          </w:tcPr>
          <w:p w:rsidR="007B2589" w:rsidRDefault="00B951E1">
            <w:r>
              <w:rPr>
                <w:rFonts w:eastAsiaTheme="minorEastAsia"/>
                <w:color w:val="000000" w:themeColor="text1"/>
              </w:rPr>
              <w:t>何智豪先生曾任中国国际金融股份有限公司组合与量化策略研究员、资产管理部高级经理。</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月起加入摩根基金管理（中国）有限公司（原上投摩根基金管理有限公司），现任基金经理。</w:t>
            </w:r>
          </w:p>
        </w:tc>
      </w:tr>
    </w:tbl>
    <w:p w:rsidR="007B2589" w:rsidRDefault="00B951E1">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2.</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7B2589" w:rsidRDefault="00B951E1">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7B2589" w:rsidRDefault="00B951E1">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7B2589" w:rsidRDefault="00B951E1">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w:t>
      </w:r>
      <w:r>
        <w:rPr>
          <w:rFonts w:eastAsiaTheme="minorEastAsia"/>
          <w:color w:val="000000" w:themeColor="text1"/>
        </w:rPr>
        <w:lastRenderedPageBreak/>
        <w:t>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7B2589" w:rsidRDefault="00B951E1">
      <w:pPr>
        <w:spacing w:line="360" w:lineRule="auto"/>
        <w:ind w:firstLineChars="200" w:firstLine="420"/>
        <w:rPr>
          <w:rFonts w:eastAsiaTheme="minorEastAsia"/>
          <w:color w:val="000000" w:themeColor="text1"/>
        </w:rPr>
      </w:pPr>
      <w:r>
        <w:rPr>
          <w:rFonts w:eastAsiaTheme="minorEastAsia"/>
          <w:color w:val="000000" w:themeColor="text1"/>
        </w:rPr>
        <w:t>二季度</w:t>
      </w:r>
      <w:r>
        <w:rPr>
          <w:rFonts w:eastAsiaTheme="minorEastAsia"/>
          <w:color w:val="000000" w:themeColor="text1"/>
        </w:rPr>
        <w:t>A</w:t>
      </w:r>
      <w:r>
        <w:rPr>
          <w:rFonts w:eastAsiaTheme="minorEastAsia"/>
          <w:color w:val="000000" w:themeColor="text1"/>
        </w:rPr>
        <w:t>股市场整体震荡下行。从行业来看，相比一季度人工智能内容生产（</w:t>
      </w:r>
      <w:r>
        <w:rPr>
          <w:rFonts w:eastAsiaTheme="minorEastAsia"/>
          <w:color w:val="000000" w:themeColor="text1"/>
        </w:rPr>
        <w:t>AI-generated content</w:t>
      </w:r>
      <w:r>
        <w:rPr>
          <w:rFonts w:eastAsiaTheme="minorEastAsia"/>
          <w:color w:val="000000" w:themeColor="text1"/>
        </w:rPr>
        <w:t>，下称</w:t>
      </w:r>
      <w:r>
        <w:rPr>
          <w:rFonts w:eastAsiaTheme="minorEastAsia"/>
          <w:color w:val="000000" w:themeColor="text1"/>
        </w:rPr>
        <w:t>AIGC</w:t>
      </w:r>
      <w:r>
        <w:rPr>
          <w:rFonts w:eastAsiaTheme="minorEastAsia"/>
          <w:color w:val="000000" w:themeColor="text1"/>
        </w:rPr>
        <w:t>）、中特估相关的一枝独秀，二季度各行业表现更为均衡，一方面</w:t>
      </w:r>
      <w:r>
        <w:rPr>
          <w:rFonts w:eastAsiaTheme="minorEastAsia"/>
          <w:color w:val="000000" w:themeColor="text1"/>
        </w:rPr>
        <w:t>AIGC</w:t>
      </w:r>
      <w:r>
        <w:rPr>
          <w:rFonts w:eastAsiaTheme="minorEastAsia"/>
          <w:color w:val="000000" w:themeColor="text1"/>
        </w:rPr>
        <w:t>的直接关联个股转跌，另一方面间接受益于</w:t>
      </w:r>
      <w:r>
        <w:rPr>
          <w:rFonts w:eastAsiaTheme="minorEastAsia"/>
          <w:color w:val="000000" w:themeColor="text1"/>
        </w:rPr>
        <w:t>AIGC</w:t>
      </w:r>
      <w:r>
        <w:rPr>
          <w:rFonts w:eastAsiaTheme="minorEastAsia"/>
          <w:color w:val="000000" w:themeColor="text1"/>
        </w:rPr>
        <w:t>的通信、传媒等板块由于收益的扩散效应涨幅较好，同时经济数据承压背景下，煤炭、建材、化工等顺周期行业表现落后大盘。从风格和超额收益（</w:t>
      </w:r>
      <w:r>
        <w:rPr>
          <w:rFonts w:eastAsiaTheme="minorEastAsia"/>
          <w:color w:val="000000" w:themeColor="text1"/>
        </w:rPr>
        <w:t>alpha</w:t>
      </w:r>
      <w:r>
        <w:rPr>
          <w:rFonts w:eastAsiaTheme="minorEastAsia"/>
          <w:color w:val="000000" w:themeColor="text1"/>
        </w:rPr>
        <w:t>）角度看，二季度成长、超预期等基本面风格有所复苏，大小市值个股上收益无显著区别，由于新热点的缺失，二季度的交易机会更多强调热点的自然扩散和过程中个股收益通过与可比公司对比实现的再平衡，一些根据个股关联网络构造的</w:t>
      </w:r>
      <w:r>
        <w:rPr>
          <w:rFonts w:eastAsiaTheme="minorEastAsia"/>
          <w:color w:val="000000" w:themeColor="text1"/>
        </w:rPr>
        <w:t>alpha</w:t>
      </w:r>
      <w:r>
        <w:rPr>
          <w:rFonts w:eastAsiaTheme="minorEastAsia"/>
          <w:color w:val="000000" w:themeColor="text1"/>
        </w:rPr>
        <w:t>指标表现较为突出。本基金选股从多因子角度出发，基本面和价量</w:t>
      </w:r>
      <w:r>
        <w:rPr>
          <w:rFonts w:eastAsiaTheme="minorEastAsia"/>
          <w:color w:val="000000" w:themeColor="text1"/>
        </w:rPr>
        <w:t>Alpha</w:t>
      </w:r>
      <w:r>
        <w:rPr>
          <w:rFonts w:eastAsiaTheme="minorEastAsia"/>
          <w:color w:val="000000" w:themeColor="text1"/>
        </w:rPr>
        <w:t>配置较为均衡，在行业板块分布和风格因子配置上相对均衡，二季度获得一定超额收益。</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往下半年看，目前处于中美关系暂时缓和的小周期上，国内经济政策以调结构、稳增长为主线，若下半年国内外均延续此趋势，则</w:t>
      </w:r>
      <w:r w:rsidRPr="00FF6B9A">
        <w:rPr>
          <w:rFonts w:eastAsiaTheme="minorEastAsia"/>
          <w:color w:val="000000" w:themeColor="text1"/>
        </w:rPr>
        <w:t>A</w:t>
      </w:r>
      <w:r w:rsidRPr="00FF6B9A">
        <w:rPr>
          <w:rFonts w:eastAsiaTheme="minorEastAsia"/>
          <w:color w:val="000000" w:themeColor="text1"/>
        </w:rPr>
        <w:t>股盈利于二季度触底回升，最终弱修复概率较大。</w:t>
      </w:r>
      <w:r w:rsidRPr="00FF6B9A">
        <w:rPr>
          <w:rFonts w:eastAsiaTheme="minorEastAsia"/>
          <w:color w:val="000000" w:themeColor="text1"/>
        </w:rPr>
        <w:t>A</w:t>
      </w:r>
      <w:r w:rsidRPr="00FF6B9A">
        <w:rPr>
          <w:rFonts w:eastAsiaTheme="minorEastAsia"/>
          <w:color w:val="000000" w:themeColor="text1"/>
        </w:rPr>
        <w:t>股策略上，市场竞争格局愈发饱和的趋势下，中低频基本面和价量</w:t>
      </w:r>
      <w:r w:rsidRPr="00FF6B9A">
        <w:rPr>
          <w:rFonts w:eastAsiaTheme="minorEastAsia"/>
          <w:color w:val="000000" w:themeColor="text1"/>
        </w:rPr>
        <w:t>alpha</w:t>
      </w:r>
      <w:r w:rsidRPr="00FF6B9A">
        <w:rPr>
          <w:rFonts w:eastAsiaTheme="minorEastAsia"/>
          <w:color w:val="000000" w:themeColor="text1"/>
        </w:rPr>
        <w:t>均围绕大小盘不同、价值成长不同、时间周期不同等因素正呈现出分时分域表现的显著差异，这是我们近三年来观察到的市场最为显著的变化，这提示了我们需要用更开放的</w:t>
      </w:r>
      <w:r w:rsidRPr="00FF6B9A">
        <w:rPr>
          <w:rFonts w:eastAsiaTheme="minorEastAsia"/>
          <w:color w:val="000000" w:themeColor="text1"/>
        </w:rPr>
        <w:t>alpha</w:t>
      </w:r>
      <w:r w:rsidRPr="00FF6B9A">
        <w:rPr>
          <w:rFonts w:eastAsiaTheme="minorEastAsia"/>
          <w:color w:val="000000" w:themeColor="text1"/>
        </w:rPr>
        <w:t>构造方式，更包容的收益预测方法论来刻画更高维度、更局部、更为时变的个股收益特征。在具体投资策略上，我们在坚持基本面和价量结合的量化多因子选股策略的同时，从更为条件化，更追求</w:t>
      </w:r>
      <w:r w:rsidRPr="00FF6B9A">
        <w:rPr>
          <w:rFonts w:eastAsiaTheme="minorEastAsia"/>
          <w:color w:val="000000" w:themeColor="text1"/>
        </w:rPr>
        <w:t>alpha</w:t>
      </w:r>
      <w:r w:rsidRPr="00FF6B9A">
        <w:rPr>
          <w:rFonts w:eastAsiaTheme="minorEastAsia"/>
          <w:color w:val="000000" w:themeColor="text1"/>
        </w:rPr>
        <w:t>局部效率的角度出发深入研究，希望构造风险收益特征优于市场基准的投资组合。</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本报告期摩根量化多因子份额净值增长率为</w:t>
      </w:r>
      <w:r w:rsidRPr="00FF6B9A">
        <w:rPr>
          <w:rFonts w:eastAsiaTheme="minorEastAsia"/>
          <w:color w:val="000000" w:themeColor="text1"/>
        </w:rPr>
        <w:t>:-3.57%</w:t>
      </w:r>
      <w:r w:rsidRPr="00FF6B9A">
        <w:rPr>
          <w:rFonts w:eastAsiaTheme="minorEastAsia"/>
          <w:color w:val="000000" w:themeColor="text1"/>
        </w:rPr>
        <w:t>，同期业绩比较基准收益率为</w:t>
      </w:r>
      <w:r w:rsidRPr="00FF6B9A">
        <w:rPr>
          <w:rFonts w:eastAsiaTheme="minorEastAsia"/>
          <w:color w:val="000000" w:themeColor="text1"/>
        </w:rPr>
        <w:t>:-5.11%</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7B2589" w:rsidRDefault="00B951E1">
      <w:pPr>
        <w:spacing w:line="360" w:lineRule="auto"/>
        <w:ind w:firstLineChars="200" w:firstLine="420"/>
        <w:rPr>
          <w:rFonts w:eastAsiaTheme="minorEastAsia"/>
          <w:color w:val="000000" w:themeColor="text1"/>
        </w:rPr>
      </w:pPr>
      <w:r>
        <w:rPr>
          <w:rFonts w:eastAsiaTheme="minorEastAsia"/>
          <w:color w:val="000000" w:themeColor="text1"/>
          <w:kern w:val="0"/>
        </w:rPr>
        <w:t>报告期内，本基金存在连续六十个工作日基金资产净值低于五千万元的情况，出现该情况的时间范围为</w:t>
      </w:r>
      <w:r>
        <w:rPr>
          <w:rFonts w:eastAsiaTheme="minorEastAsia"/>
          <w:color w:val="000000" w:themeColor="text1"/>
          <w:kern w:val="0"/>
        </w:rPr>
        <w:t>2023</w:t>
      </w:r>
      <w:r>
        <w:rPr>
          <w:rFonts w:eastAsiaTheme="minorEastAsia"/>
          <w:color w:val="000000" w:themeColor="text1"/>
          <w:kern w:val="0"/>
        </w:rPr>
        <w:t>年</w:t>
      </w:r>
      <w:r>
        <w:rPr>
          <w:rFonts w:eastAsiaTheme="minorEastAsia"/>
          <w:color w:val="000000" w:themeColor="text1"/>
          <w:kern w:val="0"/>
        </w:rPr>
        <w:t>04</w:t>
      </w:r>
      <w:r>
        <w:rPr>
          <w:rFonts w:eastAsiaTheme="minorEastAsia"/>
          <w:color w:val="000000" w:themeColor="text1"/>
          <w:kern w:val="0"/>
        </w:rPr>
        <w:t>月</w:t>
      </w:r>
      <w:r>
        <w:rPr>
          <w:rFonts w:eastAsiaTheme="minorEastAsia"/>
          <w:color w:val="000000" w:themeColor="text1"/>
          <w:kern w:val="0"/>
        </w:rPr>
        <w:t>03</w:t>
      </w:r>
      <w:r>
        <w:rPr>
          <w:rFonts w:eastAsiaTheme="minorEastAsia"/>
          <w:color w:val="000000" w:themeColor="text1"/>
          <w:kern w:val="0"/>
        </w:rPr>
        <w:t>日至</w:t>
      </w:r>
      <w:r>
        <w:rPr>
          <w:rFonts w:eastAsiaTheme="minorEastAsia"/>
          <w:color w:val="000000" w:themeColor="text1"/>
          <w:kern w:val="0"/>
        </w:rPr>
        <w:t>2023</w:t>
      </w:r>
      <w:r>
        <w:rPr>
          <w:rFonts w:eastAsiaTheme="minorEastAsia"/>
          <w:color w:val="000000" w:themeColor="text1"/>
          <w:kern w:val="0"/>
        </w:rPr>
        <w:t>年</w:t>
      </w:r>
      <w:r>
        <w:rPr>
          <w:rFonts w:eastAsiaTheme="minorEastAsia"/>
          <w:color w:val="000000" w:themeColor="text1"/>
          <w:kern w:val="0"/>
        </w:rPr>
        <w:t>06</w:t>
      </w:r>
      <w:r>
        <w:rPr>
          <w:rFonts w:eastAsiaTheme="minorEastAsia"/>
          <w:color w:val="000000" w:themeColor="text1"/>
          <w:kern w:val="0"/>
        </w:rPr>
        <w:t>月</w:t>
      </w:r>
      <w:r>
        <w:rPr>
          <w:rFonts w:eastAsiaTheme="minorEastAsia"/>
          <w:color w:val="000000" w:themeColor="text1"/>
          <w:kern w:val="0"/>
        </w:rPr>
        <w:t>30</w:t>
      </w:r>
      <w:r>
        <w:rPr>
          <w:rFonts w:eastAsiaTheme="minorEastAsia"/>
          <w:color w:val="000000" w:themeColor="text1"/>
          <w:kern w:val="0"/>
        </w:rPr>
        <w:t>日。</w:t>
      </w:r>
    </w:p>
    <w:p w:rsidR="00D06738" w:rsidRPr="00FF6B9A" w:rsidRDefault="00B951E1">
      <w:pPr>
        <w:spacing w:line="360" w:lineRule="auto"/>
        <w:ind w:firstLineChars="200" w:firstLine="420"/>
        <w:rPr>
          <w:rFonts w:eastAsiaTheme="minorEastAsia"/>
          <w:color w:val="000000" w:themeColor="text1"/>
        </w:rPr>
      </w:pPr>
      <w:r w:rsidRPr="00B951E1">
        <w:rPr>
          <w:rFonts w:eastAsiaTheme="minorEastAsia" w:hint="eastAsia"/>
          <w:color w:val="000000" w:themeColor="text1"/>
          <w:kern w:val="0"/>
        </w:rPr>
        <w:lastRenderedPageBreak/>
        <w:t>若</w:t>
      </w:r>
      <w:r w:rsidRPr="00B951E1">
        <w:rPr>
          <w:rFonts w:eastAsiaTheme="minorEastAsia" w:hint="eastAsia"/>
          <w:color w:val="000000" w:themeColor="text1"/>
          <w:kern w:val="0"/>
        </w:rPr>
        <w:t>2023</w:t>
      </w:r>
      <w:r w:rsidRPr="00B951E1">
        <w:rPr>
          <w:rFonts w:eastAsiaTheme="minorEastAsia" w:hint="eastAsia"/>
          <w:color w:val="000000" w:themeColor="text1"/>
          <w:kern w:val="0"/>
        </w:rPr>
        <w:t>年</w:t>
      </w:r>
      <w:r w:rsidRPr="00B951E1">
        <w:rPr>
          <w:rFonts w:eastAsiaTheme="minorEastAsia" w:hint="eastAsia"/>
          <w:color w:val="000000" w:themeColor="text1"/>
          <w:kern w:val="0"/>
        </w:rPr>
        <w:t>8</w:t>
      </w:r>
      <w:r w:rsidRPr="00B951E1">
        <w:rPr>
          <w:rFonts w:eastAsiaTheme="minorEastAsia" w:hint="eastAsia"/>
          <w:color w:val="000000" w:themeColor="text1"/>
          <w:kern w:val="0"/>
        </w:rPr>
        <w:t>月底仍未达到</w:t>
      </w:r>
      <w:r w:rsidRPr="00B951E1">
        <w:rPr>
          <w:rFonts w:eastAsiaTheme="minorEastAsia" w:hint="eastAsia"/>
          <w:color w:val="000000" w:themeColor="text1"/>
          <w:kern w:val="0"/>
        </w:rPr>
        <w:t>5000</w:t>
      </w:r>
      <w:r w:rsidRPr="00B951E1">
        <w:rPr>
          <w:rFonts w:eastAsiaTheme="minorEastAsia" w:hint="eastAsia"/>
          <w:color w:val="000000" w:themeColor="text1"/>
          <w:kern w:val="0"/>
        </w:rPr>
        <w:t>万，公司将启动清盘计划和相应的准备工作。</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18,660,708.76</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92.35</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18,660,708.76</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92.35</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1,542,733.42</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7.63</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3,423.52</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0.02</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20,206,865.70</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67,025.00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0.33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181,377.00</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0.90</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12,935,463.30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64.49</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307,900.00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1.54</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lastRenderedPageBreak/>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846,443.00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4.22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572,048.46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2.85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486,862.00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2.43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1,466,049.00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7.31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536,310.00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2.67</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51,220.00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0.26</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261,685.00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182,546.00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0.91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765,780.00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3.82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18,660,708.76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93.03</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7B2589">
        <w:tc>
          <w:tcPr>
            <w:tcW w:w="817" w:type="dxa"/>
            <w:vAlign w:val="center"/>
          </w:tcPr>
          <w:p w:rsidR="007B2589" w:rsidRDefault="00B951E1">
            <w:pPr>
              <w:jc w:val="center"/>
            </w:pPr>
            <w:r>
              <w:rPr>
                <w:rFonts w:eastAsiaTheme="minorEastAsia"/>
                <w:kern w:val="0"/>
                <w:sz w:val="24"/>
                <w:szCs w:val="24"/>
              </w:rPr>
              <w:t>1</w:t>
            </w:r>
          </w:p>
        </w:tc>
        <w:tc>
          <w:tcPr>
            <w:tcW w:w="1276" w:type="dxa"/>
            <w:vAlign w:val="center"/>
          </w:tcPr>
          <w:p w:rsidR="007B2589" w:rsidRDefault="00B951E1">
            <w:pPr>
              <w:jc w:val="center"/>
            </w:pPr>
            <w:r>
              <w:rPr>
                <w:rFonts w:eastAsiaTheme="minorEastAsia"/>
                <w:kern w:val="0"/>
                <w:sz w:val="24"/>
                <w:szCs w:val="24"/>
              </w:rPr>
              <w:t>002594</w:t>
            </w:r>
          </w:p>
        </w:tc>
        <w:tc>
          <w:tcPr>
            <w:tcW w:w="1701" w:type="dxa"/>
            <w:vAlign w:val="center"/>
          </w:tcPr>
          <w:p w:rsidR="007B2589" w:rsidRDefault="00B951E1">
            <w:pPr>
              <w:jc w:val="center"/>
            </w:pPr>
            <w:r>
              <w:rPr>
                <w:rFonts w:eastAsiaTheme="minorEastAsia"/>
                <w:kern w:val="0"/>
                <w:sz w:val="24"/>
                <w:szCs w:val="24"/>
              </w:rPr>
              <w:t>比亚迪</w:t>
            </w:r>
          </w:p>
        </w:tc>
        <w:tc>
          <w:tcPr>
            <w:tcW w:w="1276" w:type="dxa"/>
            <w:vAlign w:val="center"/>
          </w:tcPr>
          <w:p w:rsidR="007B2589" w:rsidRDefault="00B951E1">
            <w:pPr>
              <w:jc w:val="right"/>
            </w:pPr>
            <w:r>
              <w:rPr>
                <w:rFonts w:eastAsiaTheme="minorEastAsia"/>
                <w:kern w:val="0"/>
                <w:sz w:val="24"/>
                <w:szCs w:val="24"/>
              </w:rPr>
              <w:t>2,000.00</w:t>
            </w:r>
          </w:p>
        </w:tc>
        <w:tc>
          <w:tcPr>
            <w:tcW w:w="1842" w:type="dxa"/>
            <w:vAlign w:val="center"/>
          </w:tcPr>
          <w:p w:rsidR="007B2589" w:rsidRDefault="00B951E1">
            <w:pPr>
              <w:jc w:val="right"/>
            </w:pPr>
            <w:r>
              <w:rPr>
                <w:rFonts w:eastAsiaTheme="minorEastAsia"/>
                <w:kern w:val="0"/>
                <w:sz w:val="24"/>
                <w:szCs w:val="24"/>
              </w:rPr>
              <w:t>516,540.00</w:t>
            </w:r>
          </w:p>
        </w:tc>
        <w:tc>
          <w:tcPr>
            <w:tcW w:w="1616" w:type="dxa"/>
            <w:vAlign w:val="center"/>
          </w:tcPr>
          <w:p w:rsidR="007B2589" w:rsidRDefault="00B951E1">
            <w:pPr>
              <w:jc w:val="right"/>
            </w:pPr>
            <w:r>
              <w:rPr>
                <w:rFonts w:eastAsiaTheme="minorEastAsia"/>
                <w:kern w:val="0"/>
                <w:sz w:val="24"/>
                <w:szCs w:val="24"/>
              </w:rPr>
              <w:t>2.58</w:t>
            </w:r>
          </w:p>
        </w:tc>
      </w:tr>
      <w:tr w:rsidR="007B2589">
        <w:tc>
          <w:tcPr>
            <w:tcW w:w="817" w:type="dxa"/>
            <w:vAlign w:val="center"/>
          </w:tcPr>
          <w:p w:rsidR="007B2589" w:rsidRDefault="00B951E1">
            <w:pPr>
              <w:jc w:val="center"/>
            </w:pPr>
            <w:r>
              <w:rPr>
                <w:rFonts w:eastAsiaTheme="minorEastAsia"/>
                <w:kern w:val="0"/>
                <w:sz w:val="24"/>
                <w:szCs w:val="24"/>
              </w:rPr>
              <w:t>2</w:t>
            </w:r>
          </w:p>
        </w:tc>
        <w:tc>
          <w:tcPr>
            <w:tcW w:w="1276" w:type="dxa"/>
            <w:vAlign w:val="center"/>
          </w:tcPr>
          <w:p w:rsidR="007B2589" w:rsidRDefault="00B951E1">
            <w:pPr>
              <w:jc w:val="center"/>
            </w:pPr>
            <w:r>
              <w:rPr>
                <w:rFonts w:eastAsiaTheme="minorEastAsia"/>
                <w:kern w:val="0"/>
                <w:sz w:val="24"/>
                <w:szCs w:val="24"/>
              </w:rPr>
              <w:t>600690</w:t>
            </w:r>
          </w:p>
        </w:tc>
        <w:tc>
          <w:tcPr>
            <w:tcW w:w="1701" w:type="dxa"/>
            <w:vAlign w:val="center"/>
          </w:tcPr>
          <w:p w:rsidR="007B2589" w:rsidRDefault="00B951E1">
            <w:pPr>
              <w:jc w:val="center"/>
            </w:pPr>
            <w:r>
              <w:rPr>
                <w:rFonts w:eastAsiaTheme="minorEastAsia"/>
                <w:kern w:val="0"/>
                <w:sz w:val="24"/>
                <w:szCs w:val="24"/>
              </w:rPr>
              <w:t>海尔智家</w:t>
            </w:r>
          </w:p>
        </w:tc>
        <w:tc>
          <w:tcPr>
            <w:tcW w:w="1276" w:type="dxa"/>
            <w:vAlign w:val="center"/>
          </w:tcPr>
          <w:p w:rsidR="007B2589" w:rsidRDefault="00B951E1">
            <w:pPr>
              <w:jc w:val="right"/>
            </w:pPr>
            <w:r>
              <w:rPr>
                <w:rFonts w:eastAsiaTheme="minorEastAsia"/>
                <w:kern w:val="0"/>
                <w:sz w:val="24"/>
                <w:szCs w:val="24"/>
              </w:rPr>
              <w:t>19,000.00</w:t>
            </w:r>
          </w:p>
        </w:tc>
        <w:tc>
          <w:tcPr>
            <w:tcW w:w="1842" w:type="dxa"/>
            <w:vAlign w:val="center"/>
          </w:tcPr>
          <w:p w:rsidR="007B2589" w:rsidRDefault="00B951E1">
            <w:pPr>
              <w:jc w:val="right"/>
            </w:pPr>
            <w:r>
              <w:rPr>
                <w:rFonts w:eastAsiaTheme="minorEastAsia"/>
                <w:kern w:val="0"/>
                <w:sz w:val="24"/>
                <w:szCs w:val="24"/>
              </w:rPr>
              <w:t>446,120.00</w:t>
            </w:r>
          </w:p>
        </w:tc>
        <w:tc>
          <w:tcPr>
            <w:tcW w:w="1616" w:type="dxa"/>
            <w:vAlign w:val="center"/>
          </w:tcPr>
          <w:p w:rsidR="007B2589" w:rsidRDefault="00B951E1">
            <w:pPr>
              <w:jc w:val="right"/>
            </w:pPr>
            <w:r>
              <w:rPr>
                <w:rFonts w:eastAsiaTheme="minorEastAsia"/>
                <w:kern w:val="0"/>
                <w:sz w:val="24"/>
                <w:szCs w:val="24"/>
              </w:rPr>
              <w:t>2.22</w:t>
            </w:r>
          </w:p>
        </w:tc>
      </w:tr>
      <w:tr w:rsidR="007B2589">
        <w:tc>
          <w:tcPr>
            <w:tcW w:w="817" w:type="dxa"/>
            <w:vAlign w:val="center"/>
          </w:tcPr>
          <w:p w:rsidR="007B2589" w:rsidRDefault="00B951E1">
            <w:pPr>
              <w:jc w:val="center"/>
            </w:pPr>
            <w:r>
              <w:rPr>
                <w:rFonts w:eastAsiaTheme="minorEastAsia"/>
                <w:kern w:val="0"/>
                <w:sz w:val="24"/>
                <w:szCs w:val="24"/>
              </w:rPr>
              <w:t>3</w:t>
            </w:r>
          </w:p>
        </w:tc>
        <w:tc>
          <w:tcPr>
            <w:tcW w:w="1276" w:type="dxa"/>
            <w:vAlign w:val="center"/>
          </w:tcPr>
          <w:p w:rsidR="007B2589" w:rsidRDefault="00B951E1">
            <w:pPr>
              <w:jc w:val="center"/>
            </w:pPr>
            <w:r>
              <w:rPr>
                <w:rFonts w:eastAsiaTheme="minorEastAsia"/>
                <w:kern w:val="0"/>
                <w:sz w:val="24"/>
                <w:szCs w:val="24"/>
              </w:rPr>
              <w:t>300088</w:t>
            </w:r>
          </w:p>
        </w:tc>
        <w:tc>
          <w:tcPr>
            <w:tcW w:w="1701" w:type="dxa"/>
            <w:vAlign w:val="center"/>
          </w:tcPr>
          <w:p w:rsidR="007B2589" w:rsidRDefault="00B951E1">
            <w:pPr>
              <w:jc w:val="center"/>
            </w:pPr>
            <w:r>
              <w:rPr>
                <w:rFonts w:eastAsiaTheme="minorEastAsia"/>
                <w:kern w:val="0"/>
                <w:sz w:val="24"/>
                <w:szCs w:val="24"/>
              </w:rPr>
              <w:t>长信科技</w:t>
            </w:r>
          </w:p>
        </w:tc>
        <w:tc>
          <w:tcPr>
            <w:tcW w:w="1276" w:type="dxa"/>
            <w:vAlign w:val="center"/>
          </w:tcPr>
          <w:p w:rsidR="007B2589" w:rsidRDefault="00B951E1">
            <w:pPr>
              <w:jc w:val="right"/>
            </w:pPr>
            <w:r>
              <w:rPr>
                <w:rFonts w:eastAsiaTheme="minorEastAsia"/>
                <w:kern w:val="0"/>
                <w:sz w:val="24"/>
                <w:szCs w:val="24"/>
              </w:rPr>
              <w:t>71,900.00</w:t>
            </w:r>
          </w:p>
        </w:tc>
        <w:tc>
          <w:tcPr>
            <w:tcW w:w="1842" w:type="dxa"/>
            <w:vAlign w:val="center"/>
          </w:tcPr>
          <w:p w:rsidR="007B2589" w:rsidRDefault="00B951E1">
            <w:pPr>
              <w:jc w:val="right"/>
            </w:pPr>
            <w:r>
              <w:rPr>
                <w:rFonts w:eastAsiaTheme="minorEastAsia"/>
                <w:kern w:val="0"/>
                <w:sz w:val="24"/>
                <w:szCs w:val="24"/>
              </w:rPr>
              <w:t>433,557.00</w:t>
            </w:r>
          </w:p>
        </w:tc>
        <w:tc>
          <w:tcPr>
            <w:tcW w:w="1616" w:type="dxa"/>
            <w:vAlign w:val="center"/>
          </w:tcPr>
          <w:p w:rsidR="007B2589" w:rsidRDefault="00B951E1">
            <w:pPr>
              <w:jc w:val="right"/>
            </w:pPr>
            <w:r>
              <w:rPr>
                <w:rFonts w:eastAsiaTheme="minorEastAsia"/>
                <w:kern w:val="0"/>
                <w:sz w:val="24"/>
                <w:szCs w:val="24"/>
              </w:rPr>
              <w:t>2.16</w:t>
            </w:r>
          </w:p>
        </w:tc>
      </w:tr>
      <w:tr w:rsidR="007B2589">
        <w:tc>
          <w:tcPr>
            <w:tcW w:w="817" w:type="dxa"/>
            <w:vAlign w:val="center"/>
          </w:tcPr>
          <w:p w:rsidR="007B2589" w:rsidRDefault="00B951E1">
            <w:pPr>
              <w:jc w:val="center"/>
            </w:pPr>
            <w:r>
              <w:rPr>
                <w:rFonts w:eastAsiaTheme="minorEastAsia"/>
                <w:kern w:val="0"/>
                <w:sz w:val="24"/>
                <w:szCs w:val="24"/>
              </w:rPr>
              <w:t>4</w:t>
            </w:r>
          </w:p>
        </w:tc>
        <w:tc>
          <w:tcPr>
            <w:tcW w:w="1276" w:type="dxa"/>
            <w:vAlign w:val="center"/>
          </w:tcPr>
          <w:p w:rsidR="007B2589" w:rsidRDefault="00B951E1">
            <w:pPr>
              <w:jc w:val="center"/>
            </w:pPr>
            <w:r>
              <w:rPr>
                <w:rFonts w:eastAsiaTheme="minorEastAsia"/>
                <w:kern w:val="0"/>
                <w:sz w:val="24"/>
                <w:szCs w:val="24"/>
              </w:rPr>
              <w:t>002152</w:t>
            </w:r>
          </w:p>
        </w:tc>
        <w:tc>
          <w:tcPr>
            <w:tcW w:w="1701" w:type="dxa"/>
            <w:vAlign w:val="center"/>
          </w:tcPr>
          <w:p w:rsidR="007B2589" w:rsidRDefault="00B951E1">
            <w:pPr>
              <w:jc w:val="center"/>
            </w:pPr>
            <w:r>
              <w:rPr>
                <w:rFonts w:eastAsiaTheme="minorEastAsia"/>
                <w:kern w:val="0"/>
                <w:sz w:val="24"/>
                <w:szCs w:val="24"/>
              </w:rPr>
              <w:t>广电运通</w:t>
            </w:r>
          </w:p>
        </w:tc>
        <w:tc>
          <w:tcPr>
            <w:tcW w:w="1276" w:type="dxa"/>
            <w:vAlign w:val="center"/>
          </w:tcPr>
          <w:p w:rsidR="007B2589" w:rsidRDefault="00B951E1">
            <w:pPr>
              <w:jc w:val="right"/>
            </w:pPr>
            <w:r>
              <w:rPr>
                <w:rFonts w:eastAsiaTheme="minorEastAsia"/>
                <w:kern w:val="0"/>
                <w:sz w:val="24"/>
                <w:szCs w:val="24"/>
              </w:rPr>
              <w:t>35,700.00</w:t>
            </w:r>
          </w:p>
        </w:tc>
        <w:tc>
          <w:tcPr>
            <w:tcW w:w="1842" w:type="dxa"/>
            <w:vAlign w:val="center"/>
          </w:tcPr>
          <w:p w:rsidR="007B2589" w:rsidRDefault="00B951E1">
            <w:pPr>
              <w:jc w:val="right"/>
            </w:pPr>
            <w:r>
              <w:rPr>
                <w:rFonts w:eastAsiaTheme="minorEastAsia"/>
                <w:kern w:val="0"/>
                <w:sz w:val="24"/>
                <w:szCs w:val="24"/>
              </w:rPr>
              <w:t>418,404.00</w:t>
            </w:r>
          </w:p>
        </w:tc>
        <w:tc>
          <w:tcPr>
            <w:tcW w:w="1616" w:type="dxa"/>
            <w:vAlign w:val="center"/>
          </w:tcPr>
          <w:p w:rsidR="007B2589" w:rsidRDefault="00B951E1">
            <w:pPr>
              <w:jc w:val="right"/>
            </w:pPr>
            <w:r>
              <w:rPr>
                <w:rFonts w:eastAsiaTheme="minorEastAsia"/>
                <w:kern w:val="0"/>
                <w:sz w:val="24"/>
                <w:szCs w:val="24"/>
              </w:rPr>
              <w:t>2.09</w:t>
            </w:r>
          </w:p>
        </w:tc>
      </w:tr>
      <w:tr w:rsidR="007B2589">
        <w:tc>
          <w:tcPr>
            <w:tcW w:w="817" w:type="dxa"/>
            <w:vAlign w:val="center"/>
          </w:tcPr>
          <w:p w:rsidR="007B2589" w:rsidRDefault="00B951E1">
            <w:pPr>
              <w:jc w:val="center"/>
            </w:pPr>
            <w:r>
              <w:rPr>
                <w:rFonts w:eastAsiaTheme="minorEastAsia"/>
                <w:kern w:val="0"/>
                <w:sz w:val="24"/>
                <w:szCs w:val="24"/>
              </w:rPr>
              <w:t>5</w:t>
            </w:r>
          </w:p>
        </w:tc>
        <w:tc>
          <w:tcPr>
            <w:tcW w:w="1276" w:type="dxa"/>
            <w:vAlign w:val="center"/>
          </w:tcPr>
          <w:p w:rsidR="007B2589" w:rsidRDefault="00B951E1">
            <w:pPr>
              <w:jc w:val="center"/>
            </w:pPr>
            <w:r>
              <w:rPr>
                <w:rFonts w:eastAsiaTheme="minorEastAsia"/>
                <w:kern w:val="0"/>
                <w:sz w:val="24"/>
                <w:szCs w:val="24"/>
              </w:rPr>
              <w:t>600606</w:t>
            </w:r>
          </w:p>
        </w:tc>
        <w:tc>
          <w:tcPr>
            <w:tcW w:w="1701" w:type="dxa"/>
            <w:vAlign w:val="center"/>
          </w:tcPr>
          <w:p w:rsidR="007B2589" w:rsidRDefault="00B951E1">
            <w:pPr>
              <w:jc w:val="center"/>
            </w:pPr>
            <w:r>
              <w:rPr>
                <w:rFonts w:eastAsiaTheme="minorEastAsia"/>
                <w:kern w:val="0"/>
                <w:sz w:val="24"/>
                <w:szCs w:val="24"/>
              </w:rPr>
              <w:t>绿地控股</w:t>
            </w:r>
          </w:p>
        </w:tc>
        <w:tc>
          <w:tcPr>
            <w:tcW w:w="1276" w:type="dxa"/>
            <w:vAlign w:val="center"/>
          </w:tcPr>
          <w:p w:rsidR="007B2589" w:rsidRDefault="00B951E1">
            <w:pPr>
              <w:jc w:val="right"/>
            </w:pPr>
            <w:r>
              <w:rPr>
                <w:rFonts w:eastAsiaTheme="minorEastAsia"/>
                <w:kern w:val="0"/>
                <w:sz w:val="24"/>
                <w:szCs w:val="24"/>
              </w:rPr>
              <w:t>150,000.00</w:t>
            </w:r>
          </w:p>
        </w:tc>
        <w:tc>
          <w:tcPr>
            <w:tcW w:w="1842" w:type="dxa"/>
            <w:vAlign w:val="center"/>
          </w:tcPr>
          <w:p w:rsidR="007B2589" w:rsidRDefault="00B951E1">
            <w:pPr>
              <w:jc w:val="right"/>
            </w:pPr>
            <w:r>
              <w:rPr>
                <w:rFonts w:eastAsiaTheme="minorEastAsia"/>
                <w:kern w:val="0"/>
                <w:sz w:val="24"/>
                <w:szCs w:val="24"/>
              </w:rPr>
              <w:t>412,500.00</w:t>
            </w:r>
          </w:p>
        </w:tc>
        <w:tc>
          <w:tcPr>
            <w:tcW w:w="1616" w:type="dxa"/>
            <w:vAlign w:val="center"/>
          </w:tcPr>
          <w:p w:rsidR="007B2589" w:rsidRDefault="00B951E1">
            <w:pPr>
              <w:jc w:val="right"/>
            </w:pPr>
            <w:r>
              <w:rPr>
                <w:rFonts w:eastAsiaTheme="minorEastAsia"/>
                <w:kern w:val="0"/>
                <w:sz w:val="24"/>
                <w:szCs w:val="24"/>
              </w:rPr>
              <w:t>2.06</w:t>
            </w:r>
          </w:p>
        </w:tc>
      </w:tr>
      <w:tr w:rsidR="007B2589">
        <w:tc>
          <w:tcPr>
            <w:tcW w:w="817" w:type="dxa"/>
            <w:vAlign w:val="center"/>
          </w:tcPr>
          <w:p w:rsidR="007B2589" w:rsidRDefault="00B951E1">
            <w:pPr>
              <w:jc w:val="center"/>
            </w:pPr>
            <w:r>
              <w:rPr>
                <w:rFonts w:eastAsiaTheme="minorEastAsia"/>
                <w:kern w:val="0"/>
                <w:sz w:val="24"/>
                <w:szCs w:val="24"/>
              </w:rPr>
              <w:t>6</w:t>
            </w:r>
          </w:p>
        </w:tc>
        <w:tc>
          <w:tcPr>
            <w:tcW w:w="1276" w:type="dxa"/>
            <w:vAlign w:val="center"/>
          </w:tcPr>
          <w:p w:rsidR="007B2589" w:rsidRDefault="00B951E1">
            <w:pPr>
              <w:jc w:val="center"/>
            </w:pPr>
            <w:r>
              <w:rPr>
                <w:rFonts w:eastAsiaTheme="minorEastAsia"/>
                <w:kern w:val="0"/>
                <w:sz w:val="24"/>
                <w:szCs w:val="24"/>
              </w:rPr>
              <w:t>600362</w:t>
            </w:r>
          </w:p>
        </w:tc>
        <w:tc>
          <w:tcPr>
            <w:tcW w:w="1701" w:type="dxa"/>
            <w:vAlign w:val="center"/>
          </w:tcPr>
          <w:p w:rsidR="007B2589" w:rsidRDefault="00B951E1">
            <w:pPr>
              <w:jc w:val="center"/>
            </w:pPr>
            <w:r>
              <w:rPr>
                <w:rFonts w:eastAsiaTheme="minorEastAsia"/>
                <w:kern w:val="0"/>
                <w:sz w:val="24"/>
                <w:szCs w:val="24"/>
              </w:rPr>
              <w:t>江西铜业</w:t>
            </w:r>
          </w:p>
        </w:tc>
        <w:tc>
          <w:tcPr>
            <w:tcW w:w="1276" w:type="dxa"/>
            <w:vAlign w:val="center"/>
          </w:tcPr>
          <w:p w:rsidR="007B2589" w:rsidRDefault="00B951E1">
            <w:pPr>
              <w:jc w:val="right"/>
            </w:pPr>
            <w:r>
              <w:rPr>
                <w:rFonts w:eastAsiaTheme="minorEastAsia"/>
                <w:kern w:val="0"/>
                <w:sz w:val="24"/>
                <w:szCs w:val="24"/>
              </w:rPr>
              <w:t>20,800.00</w:t>
            </w:r>
          </w:p>
        </w:tc>
        <w:tc>
          <w:tcPr>
            <w:tcW w:w="1842" w:type="dxa"/>
            <w:vAlign w:val="center"/>
          </w:tcPr>
          <w:p w:rsidR="007B2589" w:rsidRDefault="00B951E1">
            <w:pPr>
              <w:jc w:val="right"/>
            </w:pPr>
            <w:r>
              <w:rPr>
                <w:rFonts w:eastAsiaTheme="minorEastAsia"/>
                <w:kern w:val="0"/>
                <w:sz w:val="24"/>
                <w:szCs w:val="24"/>
              </w:rPr>
              <w:t>394,784.00</w:t>
            </w:r>
          </w:p>
        </w:tc>
        <w:tc>
          <w:tcPr>
            <w:tcW w:w="1616" w:type="dxa"/>
            <w:vAlign w:val="center"/>
          </w:tcPr>
          <w:p w:rsidR="007B2589" w:rsidRDefault="00B951E1">
            <w:pPr>
              <w:jc w:val="right"/>
            </w:pPr>
            <w:r>
              <w:rPr>
                <w:rFonts w:eastAsiaTheme="minorEastAsia"/>
                <w:kern w:val="0"/>
                <w:sz w:val="24"/>
                <w:szCs w:val="24"/>
              </w:rPr>
              <w:t>1.97</w:t>
            </w:r>
          </w:p>
        </w:tc>
      </w:tr>
      <w:tr w:rsidR="007B2589">
        <w:tc>
          <w:tcPr>
            <w:tcW w:w="817" w:type="dxa"/>
            <w:vAlign w:val="center"/>
          </w:tcPr>
          <w:p w:rsidR="007B2589" w:rsidRDefault="00B951E1">
            <w:pPr>
              <w:jc w:val="center"/>
            </w:pPr>
            <w:r>
              <w:rPr>
                <w:rFonts w:eastAsiaTheme="minorEastAsia"/>
                <w:kern w:val="0"/>
                <w:sz w:val="24"/>
                <w:szCs w:val="24"/>
              </w:rPr>
              <w:t>7</w:t>
            </w:r>
          </w:p>
        </w:tc>
        <w:tc>
          <w:tcPr>
            <w:tcW w:w="1276" w:type="dxa"/>
            <w:vAlign w:val="center"/>
          </w:tcPr>
          <w:p w:rsidR="007B2589" w:rsidRDefault="00B951E1">
            <w:pPr>
              <w:jc w:val="center"/>
            </w:pPr>
            <w:r>
              <w:rPr>
                <w:rFonts w:eastAsiaTheme="minorEastAsia"/>
                <w:kern w:val="0"/>
                <w:sz w:val="24"/>
                <w:szCs w:val="24"/>
              </w:rPr>
              <w:t>601318</w:t>
            </w:r>
          </w:p>
        </w:tc>
        <w:tc>
          <w:tcPr>
            <w:tcW w:w="1701" w:type="dxa"/>
            <w:vAlign w:val="center"/>
          </w:tcPr>
          <w:p w:rsidR="007B2589" w:rsidRDefault="00B951E1">
            <w:pPr>
              <w:jc w:val="center"/>
            </w:pPr>
            <w:r>
              <w:rPr>
                <w:rFonts w:eastAsiaTheme="minorEastAsia"/>
                <w:kern w:val="0"/>
                <w:sz w:val="24"/>
                <w:szCs w:val="24"/>
              </w:rPr>
              <w:t>中国平安</w:t>
            </w:r>
          </w:p>
        </w:tc>
        <w:tc>
          <w:tcPr>
            <w:tcW w:w="1276" w:type="dxa"/>
            <w:vAlign w:val="center"/>
          </w:tcPr>
          <w:p w:rsidR="007B2589" w:rsidRDefault="00B951E1">
            <w:pPr>
              <w:jc w:val="right"/>
            </w:pPr>
            <w:r>
              <w:rPr>
                <w:rFonts w:eastAsiaTheme="minorEastAsia"/>
                <w:kern w:val="0"/>
                <w:sz w:val="24"/>
                <w:szCs w:val="24"/>
              </w:rPr>
              <w:t>8,400.00</w:t>
            </w:r>
          </w:p>
        </w:tc>
        <w:tc>
          <w:tcPr>
            <w:tcW w:w="1842" w:type="dxa"/>
            <w:vAlign w:val="center"/>
          </w:tcPr>
          <w:p w:rsidR="007B2589" w:rsidRDefault="00B951E1">
            <w:pPr>
              <w:jc w:val="right"/>
            </w:pPr>
            <w:r>
              <w:rPr>
                <w:rFonts w:eastAsiaTheme="minorEastAsia"/>
                <w:kern w:val="0"/>
                <w:sz w:val="24"/>
                <w:szCs w:val="24"/>
              </w:rPr>
              <w:t>389,760.00</w:t>
            </w:r>
          </w:p>
        </w:tc>
        <w:tc>
          <w:tcPr>
            <w:tcW w:w="1616" w:type="dxa"/>
            <w:vAlign w:val="center"/>
          </w:tcPr>
          <w:p w:rsidR="007B2589" w:rsidRDefault="00B951E1">
            <w:pPr>
              <w:jc w:val="right"/>
            </w:pPr>
            <w:r>
              <w:rPr>
                <w:rFonts w:eastAsiaTheme="minorEastAsia"/>
                <w:kern w:val="0"/>
                <w:sz w:val="24"/>
                <w:szCs w:val="24"/>
              </w:rPr>
              <w:t>1.94</w:t>
            </w:r>
          </w:p>
        </w:tc>
      </w:tr>
      <w:tr w:rsidR="007B2589">
        <w:tc>
          <w:tcPr>
            <w:tcW w:w="817" w:type="dxa"/>
            <w:vAlign w:val="center"/>
          </w:tcPr>
          <w:p w:rsidR="007B2589" w:rsidRDefault="00B951E1">
            <w:pPr>
              <w:jc w:val="center"/>
            </w:pPr>
            <w:r>
              <w:rPr>
                <w:rFonts w:eastAsiaTheme="minorEastAsia"/>
                <w:kern w:val="0"/>
                <w:sz w:val="24"/>
                <w:szCs w:val="24"/>
              </w:rPr>
              <w:t>8</w:t>
            </w:r>
          </w:p>
        </w:tc>
        <w:tc>
          <w:tcPr>
            <w:tcW w:w="1276" w:type="dxa"/>
            <w:vAlign w:val="center"/>
          </w:tcPr>
          <w:p w:rsidR="007B2589" w:rsidRDefault="00B951E1">
            <w:pPr>
              <w:jc w:val="center"/>
            </w:pPr>
            <w:r>
              <w:rPr>
                <w:rFonts w:eastAsiaTheme="minorEastAsia"/>
                <w:kern w:val="0"/>
                <w:sz w:val="24"/>
                <w:szCs w:val="24"/>
              </w:rPr>
              <w:t>000878</w:t>
            </w:r>
          </w:p>
        </w:tc>
        <w:tc>
          <w:tcPr>
            <w:tcW w:w="1701" w:type="dxa"/>
            <w:vAlign w:val="center"/>
          </w:tcPr>
          <w:p w:rsidR="007B2589" w:rsidRDefault="00B951E1">
            <w:pPr>
              <w:jc w:val="center"/>
            </w:pPr>
            <w:r>
              <w:rPr>
                <w:rFonts w:eastAsiaTheme="minorEastAsia"/>
                <w:kern w:val="0"/>
                <w:sz w:val="24"/>
                <w:szCs w:val="24"/>
              </w:rPr>
              <w:t>云南铜业</w:t>
            </w:r>
          </w:p>
        </w:tc>
        <w:tc>
          <w:tcPr>
            <w:tcW w:w="1276" w:type="dxa"/>
            <w:vAlign w:val="center"/>
          </w:tcPr>
          <w:p w:rsidR="007B2589" w:rsidRDefault="00B951E1">
            <w:pPr>
              <w:jc w:val="right"/>
            </w:pPr>
            <w:r>
              <w:rPr>
                <w:rFonts w:eastAsiaTheme="minorEastAsia"/>
                <w:kern w:val="0"/>
                <w:sz w:val="24"/>
                <w:szCs w:val="24"/>
              </w:rPr>
              <w:t>33,000.00</w:t>
            </w:r>
          </w:p>
        </w:tc>
        <w:tc>
          <w:tcPr>
            <w:tcW w:w="1842" w:type="dxa"/>
            <w:vAlign w:val="center"/>
          </w:tcPr>
          <w:p w:rsidR="007B2589" w:rsidRDefault="00B951E1">
            <w:pPr>
              <w:jc w:val="right"/>
            </w:pPr>
            <w:r>
              <w:rPr>
                <w:rFonts w:eastAsiaTheme="minorEastAsia"/>
                <w:kern w:val="0"/>
                <w:sz w:val="24"/>
                <w:szCs w:val="24"/>
              </w:rPr>
              <w:t>364,650.00</w:t>
            </w:r>
          </w:p>
        </w:tc>
        <w:tc>
          <w:tcPr>
            <w:tcW w:w="1616" w:type="dxa"/>
            <w:vAlign w:val="center"/>
          </w:tcPr>
          <w:p w:rsidR="007B2589" w:rsidRDefault="00B951E1">
            <w:pPr>
              <w:jc w:val="right"/>
            </w:pPr>
            <w:r>
              <w:rPr>
                <w:rFonts w:eastAsiaTheme="minorEastAsia"/>
                <w:kern w:val="0"/>
                <w:sz w:val="24"/>
                <w:szCs w:val="24"/>
              </w:rPr>
              <w:t>1.82</w:t>
            </w:r>
          </w:p>
        </w:tc>
      </w:tr>
      <w:tr w:rsidR="007B2589">
        <w:tc>
          <w:tcPr>
            <w:tcW w:w="817" w:type="dxa"/>
            <w:vAlign w:val="center"/>
          </w:tcPr>
          <w:p w:rsidR="007B2589" w:rsidRDefault="00B951E1">
            <w:pPr>
              <w:jc w:val="center"/>
            </w:pPr>
            <w:r>
              <w:rPr>
                <w:rFonts w:eastAsiaTheme="minorEastAsia"/>
                <w:kern w:val="0"/>
                <w:sz w:val="24"/>
                <w:szCs w:val="24"/>
              </w:rPr>
              <w:t>9</w:t>
            </w:r>
          </w:p>
        </w:tc>
        <w:tc>
          <w:tcPr>
            <w:tcW w:w="1276" w:type="dxa"/>
            <w:vAlign w:val="center"/>
          </w:tcPr>
          <w:p w:rsidR="007B2589" w:rsidRDefault="00B951E1">
            <w:pPr>
              <w:jc w:val="center"/>
            </w:pPr>
            <w:r>
              <w:rPr>
                <w:rFonts w:eastAsiaTheme="minorEastAsia"/>
                <w:kern w:val="0"/>
                <w:sz w:val="24"/>
                <w:szCs w:val="24"/>
              </w:rPr>
              <w:t>601728</w:t>
            </w:r>
          </w:p>
        </w:tc>
        <w:tc>
          <w:tcPr>
            <w:tcW w:w="1701" w:type="dxa"/>
            <w:vAlign w:val="center"/>
          </w:tcPr>
          <w:p w:rsidR="007B2589" w:rsidRDefault="00B951E1">
            <w:pPr>
              <w:jc w:val="center"/>
            </w:pPr>
            <w:r>
              <w:rPr>
                <w:rFonts w:eastAsiaTheme="minorEastAsia"/>
                <w:kern w:val="0"/>
                <w:sz w:val="24"/>
                <w:szCs w:val="24"/>
              </w:rPr>
              <w:t>中国电信</w:t>
            </w:r>
          </w:p>
        </w:tc>
        <w:tc>
          <w:tcPr>
            <w:tcW w:w="1276" w:type="dxa"/>
            <w:vAlign w:val="center"/>
          </w:tcPr>
          <w:p w:rsidR="007B2589" w:rsidRDefault="00B951E1">
            <w:pPr>
              <w:jc w:val="right"/>
            </w:pPr>
            <w:r>
              <w:rPr>
                <w:rFonts w:eastAsiaTheme="minorEastAsia"/>
                <w:kern w:val="0"/>
                <w:sz w:val="24"/>
                <w:szCs w:val="24"/>
              </w:rPr>
              <w:t>59,300.00</w:t>
            </w:r>
          </w:p>
        </w:tc>
        <w:tc>
          <w:tcPr>
            <w:tcW w:w="1842" w:type="dxa"/>
            <w:vAlign w:val="center"/>
          </w:tcPr>
          <w:p w:rsidR="007B2589" w:rsidRDefault="00B951E1">
            <w:pPr>
              <w:jc w:val="right"/>
            </w:pPr>
            <w:r>
              <w:rPr>
                <w:rFonts w:eastAsiaTheme="minorEastAsia"/>
                <w:kern w:val="0"/>
                <w:sz w:val="24"/>
                <w:szCs w:val="24"/>
              </w:rPr>
              <w:t>333,859.00</w:t>
            </w:r>
          </w:p>
        </w:tc>
        <w:tc>
          <w:tcPr>
            <w:tcW w:w="1616" w:type="dxa"/>
            <w:vAlign w:val="center"/>
          </w:tcPr>
          <w:p w:rsidR="007B2589" w:rsidRDefault="00B951E1">
            <w:pPr>
              <w:jc w:val="right"/>
            </w:pPr>
            <w:r>
              <w:rPr>
                <w:rFonts w:eastAsiaTheme="minorEastAsia"/>
                <w:kern w:val="0"/>
                <w:sz w:val="24"/>
                <w:szCs w:val="24"/>
              </w:rPr>
              <w:t>1.66</w:t>
            </w:r>
          </w:p>
        </w:tc>
      </w:tr>
      <w:tr w:rsidR="007B2589">
        <w:tc>
          <w:tcPr>
            <w:tcW w:w="817" w:type="dxa"/>
            <w:vAlign w:val="center"/>
          </w:tcPr>
          <w:p w:rsidR="007B2589" w:rsidRDefault="00B951E1">
            <w:pPr>
              <w:jc w:val="center"/>
            </w:pPr>
            <w:r>
              <w:rPr>
                <w:rFonts w:eastAsiaTheme="minorEastAsia"/>
                <w:kern w:val="0"/>
                <w:sz w:val="24"/>
                <w:szCs w:val="24"/>
              </w:rPr>
              <w:t>10</w:t>
            </w:r>
          </w:p>
        </w:tc>
        <w:tc>
          <w:tcPr>
            <w:tcW w:w="1276" w:type="dxa"/>
            <w:vAlign w:val="center"/>
          </w:tcPr>
          <w:p w:rsidR="007B2589" w:rsidRDefault="00B951E1">
            <w:pPr>
              <w:jc w:val="center"/>
            </w:pPr>
            <w:r>
              <w:rPr>
                <w:rFonts w:eastAsiaTheme="minorEastAsia"/>
                <w:kern w:val="0"/>
                <w:sz w:val="24"/>
                <w:szCs w:val="24"/>
              </w:rPr>
              <w:t>601956</w:t>
            </w:r>
          </w:p>
        </w:tc>
        <w:tc>
          <w:tcPr>
            <w:tcW w:w="1701" w:type="dxa"/>
            <w:vAlign w:val="center"/>
          </w:tcPr>
          <w:p w:rsidR="007B2589" w:rsidRDefault="00B951E1">
            <w:pPr>
              <w:jc w:val="center"/>
            </w:pPr>
            <w:r>
              <w:rPr>
                <w:rFonts w:eastAsiaTheme="minorEastAsia"/>
                <w:kern w:val="0"/>
                <w:sz w:val="24"/>
                <w:szCs w:val="24"/>
              </w:rPr>
              <w:t>东贝集团</w:t>
            </w:r>
          </w:p>
        </w:tc>
        <w:tc>
          <w:tcPr>
            <w:tcW w:w="1276" w:type="dxa"/>
            <w:vAlign w:val="center"/>
          </w:tcPr>
          <w:p w:rsidR="007B2589" w:rsidRDefault="00B951E1">
            <w:pPr>
              <w:jc w:val="right"/>
            </w:pPr>
            <w:r>
              <w:rPr>
                <w:rFonts w:eastAsiaTheme="minorEastAsia"/>
                <w:kern w:val="0"/>
                <w:sz w:val="24"/>
                <w:szCs w:val="24"/>
              </w:rPr>
              <w:t>53,200.00</w:t>
            </w:r>
          </w:p>
        </w:tc>
        <w:tc>
          <w:tcPr>
            <w:tcW w:w="1842" w:type="dxa"/>
            <w:vAlign w:val="center"/>
          </w:tcPr>
          <w:p w:rsidR="007B2589" w:rsidRDefault="00B951E1">
            <w:pPr>
              <w:jc w:val="right"/>
            </w:pPr>
            <w:r>
              <w:rPr>
                <w:rFonts w:eastAsiaTheme="minorEastAsia"/>
                <w:kern w:val="0"/>
                <w:sz w:val="24"/>
                <w:szCs w:val="24"/>
              </w:rPr>
              <w:t>314,944.00</w:t>
            </w:r>
          </w:p>
        </w:tc>
        <w:tc>
          <w:tcPr>
            <w:tcW w:w="1616" w:type="dxa"/>
            <w:vAlign w:val="center"/>
          </w:tcPr>
          <w:p w:rsidR="007B2589" w:rsidRDefault="00B951E1">
            <w:pPr>
              <w:jc w:val="right"/>
            </w:pPr>
            <w:r>
              <w:rPr>
                <w:rFonts w:eastAsiaTheme="minorEastAsia"/>
                <w:kern w:val="0"/>
                <w:sz w:val="24"/>
                <w:szCs w:val="24"/>
              </w:rPr>
              <w:t>1.57</w:t>
            </w:r>
          </w:p>
        </w:tc>
      </w:tr>
      <w:bookmarkEnd w:id="1"/>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lastRenderedPageBreak/>
        <w:t>本基金本报告期末未持有债券。</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报告期内本基金投资的前十名证券的发行主体本期没有出现被监管部门立案调查，或在报告编制日前一年内受到公开谴责、处罚的情形。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3,382.47</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lastRenderedPageBreak/>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41.05</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3,423.52</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14,752,278.38</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1,490,172.18</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621,532.63</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15,620,917.93</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lastRenderedPageBreak/>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7B2589" w:rsidRDefault="00B951E1">
      <w:pPr>
        <w:spacing w:line="360" w:lineRule="auto"/>
        <w:ind w:firstLineChars="200" w:firstLine="420"/>
        <w:rPr>
          <w:rFonts w:eastAsiaTheme="minorEastAsia"/>
          <w:color w:val="000000" w:themeColor="text1"/>
        </w:rPr>
      </w:pPr>
      <w:r>
        <w:rPr>
          <w:rFonts w:eastAsiaTheme="minorEastAsia"/>
          <w:color w:val="000000" w:themeColor="text1"/>
        </w:rPr>
        <w:t>1</w:t>
      </w:r>
      <w:r>
        <w:rPr>
          <w:rFonts w:eastAsiaTheme="minorEastAsia"/>
          <w:color w:val="000000" w:themeColor="text1"/>
        </w:rPr>
        <w:t>、中国证监会准予本基金募集注册的文件</w:t>
      </w:r>
    </w:p>
    <w:p w:rsidR="007B2589" w:rsidRDefault="00B951E1">
      <w:pPr>
        <w:spacing w:line="360" w:lineRule="auto"/>
        <w:ind w:firstLineChars="200" w:firstLine="420"/>
        <w:rPr>
          <w:rFonts w:eastAsiaTheme="minorEastAsia"/>
          <w:color w:val="000000" w:themeColor="text1"/>
        </w:rPr>
      </w:pPr>
      <w:r>
        <w:rPr>
          <w:rFonts w:eastAsiaTheme="minorEastAsia"/>
          <w:color w:val="000000" w:themeColor="text1"/>
        </w:rPr>
        <w:t>2</w:t>
      </w:r>
      <w:r>
        <w:rPr>
          <w:rFonts w:eastAsiaTheme="minorEastAsia"/>
          <w:color w:val="000000" w:themeColor="text1"/>
        </w:rPr>
        <w:t>、《摩根量化多因子灵活配置混合型证券投资基金基金合同》</w:t>
      </w:r>
    </w:p>
    <w:p w:rsidR="007B2589" w:rsidRDefault="00B951E1">
      <w:pPr>
        <w:spacing w:line="360" w:lineRule="auto"/>
        <w:ind w:firstLineChars="200" w:firstLine="420"/>
        <w:rPr>
          <w:rFonts w:eastAsiaTheme="minorEastAsia"/>
          <w:color w:val="000000" w:themeColor="text1"/>
        </w:rPr>
      </w:pPr>
      <w:r>
        <w:rPr>
          <w:rFonts w:eastAsiaTheme="minorEastAsia"/>
          <w:color w:val="000000" w:themeColor="text1"/>
        </w:rPr>
        <w:t>3</w:t>
      </w:r>
      <w:r>
        <w:rPr>
          <w:rFonts w:eastAsiaTheme="minorEastAsia"/>
          <w:color w:val="000000" w:themeColor="text1"/>
        </w:rPr>
        <w:t>、《摩根量化多因子灵活配置混合型证券投资基金托管协议》</w:t>
      </w:r>
    </w:p>
    <w:p w:rsidR="007B2589" w:rsidRDefault="00B951E1">
      <w:pPr>
        <w:spacing w:line="360" w:lineRule="auto"/>
        <w:ind w:firstLineChars="200" w:firstLine="420"/>
        <w:rPr>
          <w:rFonts w:eastAsiaTheme="minorEastAsia"/>
          <w:color w:val="000000" w:themeColor="text1"/>
        </w:rPr>
      </w:pPr>
      <w:r>
        <w:rPr>
          <w:rFonts w:eastAsiaTheme="minorEastAsia"/>
          <w:color w:val="000000" w:themeColor="text1"/>
        </w:rPr>
        <w:t>4</w:t>
      </w:r>
      <w:r>
        <w:rPr>
          <w:rFonts w:eastAsiaTheme="minorEastAsia"/>
          <w:color w:val="000000" w:themeColor="text1"/>
        </w:rPr>
        <w:t>、法律意见书</w:t>
      </w:r>
    </w:p>
    <w:p w:rsidR="007B2589" w:rsidRDefault="00B951E1">
      <w:pPr>
        <w:spacing w:line="360" w:lineRule="auto"/>
        <w:ind w:firstLineChars="200" w:firstLine="420"/>
        <w:rPr>
          <w:rFonts w:eastAsiaTheme="minorEastAsia"/>
          <w:color w:val="000000" w:themeColor="text1"/>
        </w:rPr>
      </w:pPr>
      <w:r>
        <w:rPr>
          <w:rFonts w:eastAsiaTheme="minorEastAsia"/>
          <w:color w:val="000000" w:themeColor="text1"/>
        </w:rPr>
        <w:t>5</w:t>
      </w:r>
      <w:r>
        <w:rPr>
          <w:rFonts w:eastAsiaTheme="minorEastAsia"/>
          <w:color w:val="000000" w:themeColor="text1"/>
        </w:rPr>
        <w:t>、基金管理人业务资格批件、营业执照</w:t>
      </w:r>
    </w:p>
    <w:p w:rsidR="007B2589" w:rsidRDefault="00B951E1">
      <w:pPr>
        <w:spacing w:line="360" w:lineRule="auto"/>
        <w:ind w:firstLineChars="200" w:firstLine="420"/>
        <w:rPr>
          <w:rFonts w:eastAsiaTheme="minorEastAsia"/>
          <w:color w:val="000000" w:themeColor="text1"/>
        </w:rPr>
      </w:pPr>
      <w:r>
        <w:rPr>
          <w:rFonts w:eastAsiaTheme="minorEastAsia"/>
          <w:color w:val="000000" w:themeColor="text1"/>
        </w:rPr>
        <w:t>6</w:t>
      </w:r>
      <w:r>
        <w:rPr>
          <w:rFonts w:eastAsiaTheme="minorEastAsia"/>
          <w:color w:val="000000" w:themeColor="text1"/>
        </w:rPr>
        <w:t>、基金托管人业务资格批件、营业执照</w:t>
      </w:r>
    </w:p>
    <w:p w:rsidR="007B2589" w:rsidRDefault="00B951E1">
      <w:pPr>
        <w:spacing w:line="360" w:lineRule="auto"/>
        <w:ind w:firstLineChars="200" w:firstLine="420"/>
        <w:rPr>
          <w:rFonts w:eastAsiaTheme="minorEastAsia"/>
          <w:color w:val="000000" w:themeColor="text1"/>
        </w:rPr>
      </w:pPr>
      <w:r>
        <w:rPr>
          <w:rFonts w:eastAsiaTheme="minorEastAsia"/>
          <w:color w:val="000000" w:themeColor="text1"/>
        </w:rPr>
        <w:t>7</w:t>
      </w:r>
      <w:r>
        <w:rPr>
          <w:rFonts w:eastAsiaTheme="minorEastAsia"/>
          <w:color w:val="000000" w:themeColor="text1"/>
        </w:rPr>
        <w:t>、《摩根基金管理（中国）有限公司开放式基金业务规则》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8</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基金管理人或基金托管人处。</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摩根基金管理（中国）有限公司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二〇二三年七月二十一日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159" w:rsidRDefault="00EB2159">
      <w:r>
        <w:separator/>
      </w:r>
    </w:p>
  </w:endnote>
  <w:endnote w:type="continuationSeparator" w:id="0">
    <w:p w:rsidR="00EB2159" w:rsidRDefault="00EB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9856A4" w:rsidRPr="009856A4">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9856A4">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159" w:rsidRDefault="00EB2159">
      <w:r>
        <w:separator/>
      </w:r>
    </w:p>
  </w:footnote>
  <w:footnote w:type="continuationSeparator" w:id="0">
    <w:p w:rsidR="00EB2159" w:rsidRDefault="00EB2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摩根量化多因子灵活配置混合型证券投资基金</w:t>
    </w:r>
    <w:r>
      <w:rPr>
        <w:rFonts w:hint="eastAsia"/>
      </w:rPr>
      <w:t>2023</w:t>
    </w:r>
    <w:r>
      <w:rPr>
        <w:rFonts w:hint="eastAsia"/>
      </w:rPr>
      <w:t>年第</w:t>
    </w:r>
    <w:r>
      <w:rPr>
        <w:rFonts w:hint="eastAsia"/>
      </w:rPr>
      <w:t>2</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2589"/>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44FA"/>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56A4"/>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1E1"/>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159"/>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E85C1C-2CB8-406D-AB9E-643027729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1127</Words>
  <Characters>6427</Characters>
  <Application>Microsoft Office Word</Application>
  <DocSecurity>0</DocSecurity>
  <Lines>53</Lines>
  <Paragraphs>15</Paragraphs>
  <ScaleCrop>false</ScaleCrop>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Kelly.Yang@FA</cp:lastModifiedBy>
  <cp:revision>270</cp:revision>
  <dcterms:created xsi:type="dcterms:W3CDTF">2012-10-16T06:07:00Z</dcterms:created>
  <dcterms:modified xsi:type="dcterms:W3CDTF">2023-07-20T05:32:00Z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