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报告送出日期：二〇二四年七月十九日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18</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15,317,171.96</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w:t>
            </w:r>
            <w:r>
              <w:rPr>
                <w:rFonts w:eastAsiaTheme="minorEastAsia"/>
                <w:color w:val="000000" w:themeColor="text1"/>
                <w:kern w:val="0"/>
              </w:rPr>
              <w:t>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w:t>
            </w:r>
            <w:r>
              <w:rPr>
                <w:rFonts w:eastAsiaTheme="minorEastAsia"/>
                <w:color w:val="000000" w:themeColor="text1"/>
                <w:kern w:val="0"/>
              </w:rPr>
              <w:lastRenderedPageBreak/>
              <w:t>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500</w:t>
            </w:r>
            <w:r w:rsidRPr="00FF6B9A">
              <w:rPr>
                <w:rFonts w:eastAsiaTheme="minorEastAsia"/>
                <w:color w:val="000000" w:themeColor="text1"/>
                <w:kern w:val="0"/>
              </w:rPr>
              <w:t>指数收益率</w:t>
            </w:r>
            <w:r w:rsidRPr="00FF6B9A">
              <w:rPr>
                <w:rFonts w:eastAsiaTheme="minorEastAsia"/>
                <w:color w:val="000000" w:themeColor="text1"/>
                <w:kern w:val="0"/>
              </w:rPr>
              <w:t>×95%+</w:t>
            </w:r>
            <w:r w:rsidRPr="00FF6B9A">
              <w:rPr>
                <w:rFonts w:eastAsiaTheme="minorEastAsia"/>
                <w:color w:val="000000" w:themeColor="text1"/>
                <w:kern w:val="0"/>
              </w:rPr>
              <w:t>银行活期存款利率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5B2E04" w:rsidRDefault="00E27EE8">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27EE8" w:rsidRPr="00FF6B9A" w:rsidTr="00E27EE8">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E27EE8" w:rsidRPr="00FF6B9A" w:rsidTr="00E27EE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435,589.66</w:t>
            </w:r>
          </w:p>
        </w:tc>
      </w:tr>
      <w:tr w:rsidR="00E27EE8" w:rsidRPr="00FF6B9A" w:rsidTr="00E27EE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-761,964.36</w:t>
            </w:r>
          </w:p>
        </w:tc>
      </w:tr>
      <w:tr w:rsidR="00E27EE8" w:rsidRPr="00FF6B9A" w:rsidTr="00E27EE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-0.0488</w:t>
            </w:r>
          </w:p>
        </w:tc>
      </w:tr>
      <w:tr w:rsidR="00E27EE8" w:rsidRPr="00FF6B9A" w:rsidTr="00E27EE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15,899,309.13</w:t>
            </w:r>
          </w:p>
        </w:tc>
      </w:tr>
      <w:tr w:rsidR="00E27EE8" w:rsidRPr="00FF6B9A" w:rsidTr="00E27EE8">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1.0380</w:t>
            </w:r>
          </w:p>
        </w:tc>
      </w:tr>
    </w:tbl>
    <w:p w:rsidR="005B2E04" w:rsidRDefault="00E27E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B2E04">
        <w:tc>
          <w:tcPr>
            <w:tcW w:w="1395" w:type="dxa"/>
            <w:vAlign w:val="center"/>
          </w:tcPr>
          <w:p w:rsidR="005B2E04" w:rsidRDefault="00E27EE8">
            <w:pPr>
              <w:jc w:val="left"/>
            </w:pPr>
            <w:r>
              <w:rPr>
                <w:rFonts w:eastAsiaTheme="minorEastAsia"/>
                <w:color w:val="000000" w:themeColor="text1"/>
                <w:kern w:val="0"/>
              </w:rPr>
              <w:t>过去三个月</w:t>
            </w:r>
          </w:p>
        </w:tc>
        <w:tc>
          <w:tcPr>
            <w:tcW w:w="1092" w:type="dxa"/>
            <w:vAlign w:val="center"/>
          </w:tcPr>
          <w:p w:rsidR="005B2E04" w:rsidRDefault="00E27EE8">
            <w:pPr>
              <w:jc w:val="center"/>
            </w:pPr>
            <w:r>
              <w:rPr>
                <w:rFonts w:eastAsiaTheme="minorEastAsia"/>
                <w:color w:val="000000" w:themeColor="text1"/>
                <w:kern w:val="0"/>
              </w:rPr>
              <w:t>-4.60%</w:t>
            </w:r>
          </w:p>
        </w:tc>
        <w:tc>
          <w:tcPr>
            <w:tcW w:w="1161" w:type="dxa"/>
            <w:vAlign w:val="center"/>
          </w:tcPr>
          <w:p w:rsidR="005B2E04" w:rsidRDefault="00E27EE8">
            <w:pPr>
              <w:jc w:val="center"/>
            </w:pPr>
            <w:r>
              <w:rPr>
                <w:rFonts w:eastAsiaTheme="minorEastAsia"/>
                <w:color w:val="000000" w:themeColor="text1"/>
                <w:kern w:val="0"/>
              </w:rPr>
              <w:t>1.08%</w:t>
            </w:r>
          </w:p>
        </w:tc>
        <w:tc>
          <w:tcPr>
            <w:tcW w:w="1181" w:type="dxa"/>
            <w:vAlign w:val="center"/>
          </w:tcPr>
          <w:p w:rsidR="005B2E04" w:rsidRDefault="00E27EE8">
            <w:pPr>
              <w:jc w:val="center"/>
            </w:pPr>
            <w:r>
              <w:rPr>
                <w:rFonts w:eastAsiaTheme="minorEastAsia"/>
                <w:color w:val="000000" w:themeColor="text1"/>
                <w:kern w:val="0"/>
              </w:rPr>
              <w:t>-6.17%</w:t>
            </w:r>
          </w:p>
        </w:tc>
        <w:tc>
          <w:tcPr>
            <w:tcW w:w="1188" w:type="dxa"/>
            <w:vAlign w:val="center"/>
          </w:tcPr>
          <w:p w:rsidR="005B2E04" w:rsidRDefault="00E27EE8">
            <w:pPr>
              <w:jc w:val="center"/>
            </w:pPr>
            <w:r>
              <w:rPr>
                <w:rFonts w:eastAsiaTheme="minorEastAsia"/>
                <w:color w:val="000000" w:themeColor="text1"/>
                <w:kern w:val="0"/>
              </w:rPr>
              <w:t>1.09%</w:t>
            </w:r>
          </w:p>
        </w:tc>
        <w:tc>
          <w:tcPr>
            <w:tcW w:w="1199" w:type="dxa"/>
            <w:vAlign w:val="center"/>
          </w:tcPr>
          <w:p w:rsidR="005B2E04" w:rsidRDefault="00E27EE8">
            <w:pPr>
              <w:jc w:val="center"/>
            </w:pPr>
            <w:r>
              <w:rPr>
                <w:rFonts w:eastAsiaTheme="minorEastAsia"/>
                <w:color w:val="000000" w:themeColor="text1"/>
                <w:kern w:val="0"/>
              </w:rPr>
              <w:t>1.57%</w:t>
            </w:r>
          </w:p>
        </w:tc>
        <w:tc>
          <w:tcPr>
            <w:tcW w:w="1204" w:type="dxa"/>
            <w:vAlign w:val="center"/>
          </w:tcPr>
          <w:p w:rsidR="005B2E04" w:rsidRDefault="00E27EE8">
            <w:pPr>
              <w:jc w:val="center"/>
            </w:pPr>
            <w:r>
              <w:rPr>
                <w:rFonts w:eastAsiaTheme="minorEastAsia"/>
                <w:color w:val="000000" w:themeColor="text1"/>
                <w:kern w:val="0"/>
              </w:rPr>
              <w:t>-0.01%</w:t>
            </w:r>
          </w:p>
        </w:tc>
      </w:tr>
      <w:tr w:rsidR="005B2E04">
        <w:tc>
          <w:tcPr>
            <w:tcW w:w="1395" w:type="dxa"/>
            <w:vAlign w:val="center"/>
          </w:tcPr>
          <w:p w:rsidR="005B2E04" w:rsidRDefault="00E27EE8">
            <w:pPr>
              <w:jc w:val="left"/>
            </w:pPr>
            <w:r>
              <w:rPr>
                <w:rFonts w:eastAsiaTheme="minorEastAsia"/>
                <w:color w:val="000000" w:themeColor="text1"/>
                <w:kern w:val="0"/>
              </w:rPr>
              <w:t>过去六个月</w:t>
            </w:r>
          </w:p>
        </w:tc>
        <w:tc>
          <w:tcPr>
            <w:tcW w:w="1092" w:type="dxa"/>
            <w:vAlign w:val="center"/>
          </w:tcPr>
          <w:p w:rsidR="005B2E04" w:rsidRDefault="00E27EE8">
            <w:pPr>
              <w:jc w:val="center"/>
            </w:pPr>
            <w:r>
              <w:rPr>
                <w:rFonts w:eastAsiaTheme="minorEastAsia"/>
                <w:color w:val="000000" w:themeColor="text1"/>
                <w:kern w:val="0"/>
              </w:rPr>
              <w:t>-11.52%</w:t>
            </w:r>
          </w:p>
        </w:tc>
        <w:tc>
          <w:tcPr>
            <w:tcW w:w="1161" w:type="dxa"/>
            <w:vAlign w:val="center"/>
          </w:tcPr>
          <w:p w:rsidR="005B2E04" w:rsidRDefault="00E27EE8">
            <w:pPr>
              <w:jc w:val="center"/>
            </w:pPr>
            <w:r>
              <w:rPr>
                <w:rFonts w:eastAsiaTheme="minorEastAsia"/>
                <w:color w:val="000000" w:themeColor="text1"/>
                <w:kern w:val="0"/>
              </w:rPr>
              <w:t>1.53%</w:t>
            </w:r>
          </w:p>
        </w:tc>
        <w:tc>
          <w:tcPr>
            <w:tcW w:w="1181" w:type="dxa"/>
            <w:vAlign w:val="center"/>
          </w:tcPr>
          <w:p w:rsidR="005B2E04" w:rsidRDefault="00E27EE8">
            <w:pPr>
              <w:jc w:val="center"/>
            </w:pPr>
            <w:r>
              <w:rPr>
                <w:rFonts w:eastAsiaTheme="minorEastAsia"/>
                <w:color w:val="000000" w:themeColor="text1"/>
                <w:kern w:val="0"/>
              </w:rPr>
              <w:t>-8.50%</w:t>
            </w:r>
          </w:p>
        </w:tc>
        <w:tc>
          <w:tcPr>
            <w:tcW w:w="1188" w:type="dxa"/>
            <w:vAlign w:val="center"/>
          </w:tcPr>
          <w:p w:rsidR="005B2E04" w:rsidRDefault="00E27EE8">
            <w:pPr>
              <w:jc w:val="center"/>
            </w:pPr>
            <w:r>
              <w:rPr>
                <w:rFonts w:eastAsiaTheme="minorEastAsia"/>
                <w:color w:val="000000" w:themeColor="text1"/>
                <w:kern w:val="0"/>
              </w:rPr>
              <w:t>1.53%</w:t>
            </w:r>
          </w:p>
        </w:tc>
        <w:tc>
          <w:tcPr>
            <w:tcW w:w="1199" w:type="dxa"/>
            <w:vAlign w:val="center"/>
          </w:tcPr>
          <w:p w:rsidR="005B2E04" w:rsidRDefault="00E27EE8">
            <w:pPr>
              <w:jc w:val="center"/>
            </w:pPr>
            <w:r>
              <w:rPr>
                <w:rFonts w:eastAsiaTheme="minorEastAsia"/>
                <w:color w:val="000000" w:themeColor="text1"/>
                <w:kern w:val="0"/>
              </w:rPr>
              <w:t>-3.02%</w:t>
            </w:r>
          </w:p>
        </w:tc>
        <w:tc>
          <w:tcPr>
            <w:tcW w:w="1204" w:type="dxa"/>
            <w:vAlign w:val="center"/>
          </w:tcPr>
          <w:p w:rsidR="005B2E04" w:rsidRDefault="00E27EE8">
            <w:pPr>
              <w:jc w:val="center"/>
            </w:pPr>
            <w:r>
              <w:rPr>
                <w:rFonts w:eastAsiaTheme="minorEastAsia"/>
                <w:color w:val="000000" w:themeColor="text1"/>
                <w:kern w:val="0"/>
              </w:rPr>
              <w:t>0.00%</w:t>
            </w:r>
          </w:p>
        </w:tc>
      </w:tr>
      <w:tr w:rsidR="005B2E04">
        <w:tc>
          <w:tcPr>
            <w:tcW w:w="1395" w:type="dxa"/>
            <w:vAlign w:val="center"/>
          </w:tcPr>
          <w:p w:rsidR="005B2E04" w:rsidRDefault="00E27EE8">
            <w:pPr>
              <w:jc w:val="left"/>
            </w:pPr>
            <w:r>
              <w:rPr>
                <w:rFonts w:eastAsiaTheme="minorEastAsia"/>
                <w:color w:val="000000" w:themeColor="text1"/>
                <w:kern w:val="0"/>
              </w:rPr>
              <w:t>过去一年</w:t>
            </w:r>
          </w:p>
        </w:tc>
        <w:tc>
          <w:tcPr>
            <w:tcW w:w="1092" w:type="dxa"/>
            <w:vAlign w:val="center"/>
          </w:tcPr>
          <w:p w:rsidR="005B2E04" w:rsidRDefault="00E27EE8">
            <w:pPr>
              <w:jc w:val="center"/>
            </w:pPr>
            <w:r>
              <w:rPr>
                <w:rFonts w:eastAsiaTheme="minorEastAsia"/>
                <w:color w:val="000000" w:themeColor="text1"/>
                <w:kern w:val="0"/>
              </w:rPr>
              <w:t>-19.17%</w:t>
            </w:r>
          </w:p>
        </w:tc>
        <w:tc>
          <w:tcPr>
            <w:tcW w:w="1161" w:type="dxa"/>
            <w:vAlign w:val="center"/>
          </w:tcPr>
          <w:p w:rsidR="005B2E04" w:rsidRDefault="00E27EE8">
            <w:pPr>
              <w:jc w:val="center"/>
            </w:pPr>
            <w:r>
              <w:rPr>
                <w:rFonts w:eastAsiaTheme="minorEastAsia"/>
                <w:color w:val="000000" w:themeColor="text1"/>
                <w:kern w:val="0"/>
              </w:rPr>
              <w:t>1.22%</w:t>
            </w:r>
          </w:p>
        </w:tc>
        <w:tc>
          <w:tcPr>
            <w:tcW w:w="1181" w:type="dxa"/>
            <w:vAlign w:val="center"/>
          </w:tcPr>
          <w:p w:rsidR="005B2E04" w:rsidRDefault="00E27EE8">
            <w:pPr>
              <w:jc w:val="center"/>
            </w:pPr>
            <w:r>
              <w:rPr>
                <w:rFonts w:eastAsiaTheme="minorEastAsia"/>
                <w:color w:val="000000" w:themeColor="text1"/>
                <w:kern w:val="0"/>
              </w:rPr>
              <w:t>-16.70%</w:t>
            </w:r>
          </w:p>
        </w:tc>
        <w:tc>
          <w:tcPr>
            <w:tcW w:w="1188" w:type="dxa"/>
            <w:vAlign w:val="center"/>
          </w:tcPr>
          <w:p w:rsidR="005B2E04" w:rsidRDefault="00E27EE8">
            <w:pPr>
              <w:jc w:val="center"/>
            </w:pPr>
            <w:r>
              <w:rPr>
                <w:rFonts w:eastAsiaTheme="minorEastAsia"/>
                <w:color w:val="000000" w:themeColor="text1"/>
                <w:kern w:val="0"/>
              </w:rPr>
              <w:t>1.21%</w:t>
            </w:r>
          </w:p>
        </w:tc>
        <w:tc>
          <w:tcPr>
            <w:tcW w:w="1199" w:type="dxa"/>
            <w:vAlign w:val="center"/>
          </w:tcPr>
          <w:p w:rsidR="005B2E04" w:rsidRDefault="00E27EE8">
            <w:pPr>
              <w:jc w:val="center"/>
            </w:pPr>
            <w:r>
              <w:rPr>
                <w:rFonts w:eastAsiaTheme="minorEastAsia"/>
                <w:color w:val="000000" w:themeColor="text1"/>
                <w:kern w:val="0"/>
              </w:rPr>
              <w:t>-2.47%</w:t>
            </w:r>
          </w:p>
        </w:tc>
        <w:tc>
          <w:tcPr>
            <w:tcW w:w="1204" w:type="dxa"/>
            <w:vAlign w:val="center"/>
          </w:tcPr>
          <w:p w:rsidR="005B2E04" w:rsidRDefault="00E27EE8">
            <w:pPr>
              <w:jc w:val="center"/>
            </w:pPr>
            <w:r>
              <w:rPr>
                <w:rFonts w:eastAsiaTheme="minorEastAsia"/>
                <w:color w:val="000000" w:themeColor="text1"/>
                <w:kern w:val="0"/>
              </w:rPr>
              <w:t>0.01%</w:t>
            </w:r>
          </w:p>
        </w:tc>
      </w:tr>
      <w:tr w:rsidR="005B2E04">
        <w:tc>
          <w:tcPr>
            <w:tcW w:w="1395" w:type="dxa"/>
            <w:vAlign w:val="center"/>
          </w:tcPr>
          <w:p w:rsidR="005B2E04" w:rsidRDefault="00E27EE8">
            <w:pPr>
              <w:jc w:val="left"/>
            </w:pPr>
            <w:r>
              <w:rPr>
                <w:rFonts w:eastAsiaTheme="minorEastAsia"/>
                <w:color w:val="000000" w:themeColor="text1"/>
                <w:kern w:val="0"/>
              </w:rPr>
              <w:t>过去三年</w:t>
            </w:r>
          </w:p>
        </w:tc>
        <w:tc>
          <w:tcPr>
            <w:tcW w:w="1092" w:type="dxa"/>
            <w:vAlign w:val="center"/>
          </w:tcPr>
          <w:p w:rsidR="005B2E04" w:rsidRDefault="00E27EE8">
            <w:pPr>
              <w:jc w:val="center"/>
            </w:pPr>
            <w:r>
              <w:rPr>
                <w:rFonts w:eastAsiaTheme="minorEastAsia"/>
                <w:color w:val="000000" w:themeColor="text1"/>
                <w:kern w:val="0"/>
              </w:rPr>
              <w:t>-25.44%</w:t>
            </w:r>
          </w:p>
        </w:tc>
        <w:tc>
          <w:tcPr>
            <w:tcW w:w="1161" w:type="dxa"/>
            <w:vAlign w:val="center"/>
          </w:tcPr>
          <w:p w:rsidR="005B2E04" w:rsidRDefault="00E27EE8">
            <w:pPr>
              <w:jc w:val="center"/>
            </w:pPr>
            <w:r>
              <w:rPr>
                <w:rFonts w:eastAsiaTheme="minorEastAsia"/>
                <w:color w:val="000000" w:themeColor="text1"/>
                <w:kern w:val="0"/>
              </w:rPr>
              <w:t>1.16%</w:t>
            </w:r>
          </w:p>
        </w:tc>
        <w:tc>
          <w:tcPr>
            <w:tcW w:w="1181" w:type="dxa"/>
            <w:vAlign w:val="center"/>
          </w:tcPr>
          <w:p w:rsidR="005B2E04" w:rsidRDefault="00E27EE8">
            <w:pPr>
              <w:jc w:val="center"/>
            </w:pPr>
            <w:r>
              <w:rPr>
                <w:rFonts w:eastAsiaTheme="minorEastAsia"/>
                <w:color w:val="000000" w:themeColor="text1"/>
                <w:kern w:val="0"/>
              </w:rPr>
              <w:t>-28.38%</w:t>
            </w:r>
          </w:p>
        </w:tc>
        <w:tc>
          <w:tcPr>
            <w:tcW w:w="1188" w:type="dxa"/>
            <w:vAlign w:val="center"/>
          </w:tcPr>
          <w:p w:rsidR="005B2E04" w:rsidRDefault="00E27EE8">
            <w:pPr>
              <w:jc w:val="center"/>
            </w:pPr>
            <w:r>
              <w:rPr>
                <w:rFonts w:eastAsiaTheme="minorEastAsia"/>
                <w:color w:val="000000" w:themeColor="text1"/>
                <w:kern w:val="0"/>
              </w:rPr>
              <w:t>0.94%</w:t>
            </w:r>
          </w:p>
        </w:tc>
        <w:tc>
          <w:tcPr>
            <w:tcW w:w="1199" w:type="dxa"/>
            <w:vAlign w:val="center"/>
          </w:tcPr>
          <w:p w:rsidR="005B2E04" w:rsidRDefault="00E27EE8">
            <w:pPr>
              <w:jc w:val="center"/>
            </w:pPr>
            <w:r>
              <w:rPr>
                <w:rFonts w:eastAsiaTheme="minorEastAsia"/>
                <w:color w:val="000000" w:themeColor="text1"/>
                <w:kern w:val="0"/>
              </w:rPr>
              <w:t>2.94%</w:t>
            </w:r>
          </w:p>
        </w:tc>
        <w:tc>
          <w:tcPr>
            <w:tcW w:w="1204" w:type="dxa"/>
            <w:vAlign w:val="center"/>
          </w:tcPr>
          <w:p w:rsidR="005B2E04" w:rsidRDefault="00E27EE8">
            <w:pPr>
              <w:jc w:val="center"/>
            </w:pPr>
            <w:r>
              <w:rPr>
                <w:rFonts w:eastAsiaTheme="minorEastAsia"/>
                <w:color w:val="000000" w:themeColor="text1"/>
                <w:kern w:val="0"/>
              </w:rPr>
              <w:t>0.22%</w:t>
            </w:r>
          </w:p>
        </w:tc>
      </w:tr>
      <w:tr w:rsidR="005B2E04">
        <w:tc>
          <w:tcPr>
            <w:tcW w:w="1395" w:type="dxa"/>
            <w:vAlign w:val="center"/>
          </w:tcPr>
          <w:p w:rsidR="005B2E04" w:rsidRDefault="00E27EE8">
            <w:pPr>
              <w:jc w:val="left"/>
            </w:pPr>
            <w:r>
              <w:rPr>
                <w:rFonts w:eastAsiaTheme="minorEastAsia"/>
                <w:color w:val="000000" w:themeColor="text1"/>
                <w:kern w:val="0"/>
              </w:rPr>
              <w:t>过去五年</w:t>
            </w:r>
          </w:p>
        </w:tc>
        <w:tc>
          <w:tcPr>
            <w:tcW w:w="1092" w:type="dxa"/>
            <w:vAlign w:val="center"/>
          </w:tcPr>
          <w:p w:rsidR="005B2E04" w:rsidRDefault="00E27EE8">
            <w:pPr>
              <w:jc w:val="center"/>
            </w:pPr>
            <w:r>
              <w:rPr>
                <w:rFonts w:eastAsiaTheme="minorEastAsia"/>
                <w:color w:val="000000" w:themeColor="text1"/>
                <w:kern w:val="0"/>
              </w:rPr>
              <w:t>6.86%</w:t>
            </w:r>
          </w:p>
        </w:tc>
        <w:tc>
          <w:tcPr>
            <w:tcW w:w="1161" w:type="dxa"/>
            <w:vAlign w:val="center"/>
          </w:tcPr>
          <w:p w:rsidR="005B2E04" w:rsidRDefault="00E27EE8">
            <w:pPr>
              <w:jc w:val="center"/>
            </w:pPr>
            <w:r>
              <w:rPr>
                <w:rFonts w:eastAsiaTheme="minorEastAsia"/>
                <w:color w:val="000000" w:themeColor="text1"/>
                <w:kern w:val="0"/>
              </w:rPr>
              <w:t>1.17%</w:t>
            </w:r>
          </w:p>
        </w:tc>
        <w:tc>
          <w:tcPr>
            <w:tcW w:w="1181" w:type="dxa"/>
            <w:vAlign w:val="center"/>
          </w:tcPr>
          <w:p w:rsidR="005B2E04" w:rsidRDefault="00E27EE8">
            <w:pPr>
              <w:jc w:val="center"/>
            </w:pPr>
            <w:r>
              <w:rPr>
                <w:rFonts w:eastAsiaTheme="minorEastAsia"/>
                <w:color w:val="000000" w:themeColor="text1"/>
                <w:kern w:val="0"/>
              </w:rPr>
              <w:t>-13.64%</w:t>
            </w:r>
          </w:p>
        </w:tc>
        <w:tc>
          <w:tcPr>
            <w:tcW w:w="1188" w:type="dxa"/>
            <w:vAlign w:val="center"/>
          </w:tcPr>
          <w:p w:rsidR="005B2E04" w:rsidRDefault="00E27EE8">
            <w:pPr>
              <w:jc w:val="center"/>
            </w:pPr>
            <w:r>
              <w:rPr>
                <w:rFonts w:eastAsiaTheme="minorEastAsia"/>
                <w:color w:val="000000" w:themeColor="text1"/>
                <w:kern w:val="0"/>
              </w:rPr>
              <w:t>0.87%</w:t>
            </w:r>
          </w:p>
        </w:tc>
        <w:tc>
          <w:tcPr>
            <w:tcW w:w="1199" w:type="dxa"/>
            <w:vAlign w:val="center"/>
          </w:tcPr>
          <w:p w:rsidR="005B2E04" w:rsidRDefault="00E27EE8">
            <w:pPr>
              <w:jc w:val="center"/>
            </w:pPr>
            <w:r>
              <w:rPr>
                <w:rFonts w:eastAsiaTheme="minorEastAsia"/>
                <w:color w:val="000000" w:themeColor="text1"/>
                <w:kern w:val="0"/>
              </w:rPr>
              <w:t>20.50%</w:t>
            </w:r>
          </w:p>
        </w:tc>
        <w:tc>
          <w:tcPr>
            <w:tcW w:w="1204" w:type="dxa"/>
            <w:vAlign w:val="center"/>
          </w:tcPr>
          <w:p w:rsidR="005B2E04" w:rsidRDefault="00E27EE8">
            <w:pPr>
              <w:jc w:val="center"/>
            </w:pPr>
            <w:r>
              <w:rPr>
                <w:rFonts w:eastAsiaTheme="minorEastAsia"/>
                <w:color w:val="000000" w:themeColor="text1"/>
                <w:kern w:val="0"/>
              </w:rPr>
              <w:t>0.30%</w:t>
            </w:r>
          </w:p>
        </w:tc>
      </w:tr>
      <w:tr w:rsidR="005B2E04">
        <w:tc>
          <w:tcPr>
            <w:tcW w:w="1395" w:type="dxa"/>
            <w:vAlign w:val="center"/>
          </w:tcPr>
          <w:p w:rsidR="005B2E04" w:rsidRDefault="00E27EE8">
            <w:pPr>
              <w:jc w:val="left"/>
            </w:pPr>
            <w:r>
              <w:rPr>
                <w:rFonts w:eastAsiaTheme="minorEastAsia"/>
                <w:color w:val="000000" w:themeColor="text1"/>
                <w:kern w:val="0"/>
              </w:rPr>
              <w:t>自基金合同生效起至今</w:t>
            </w:r>
          </w:p>
        </w:tc>
        <w:tc>
          <w:tcPr>
            <w:tcW w:w="1092" w:type="dxa"/>
            <w:vAlign w:val="center"/>
          </w:tcPr>
          <w:p w:rsidR="005B2E04" w:rsidRDefault="00E27EE8">
            <w:pPr>
              <w:jc w:val="center"/>
            </w:pPr>
            <w:r>
              <w:rPr>
                <w:rFonts w:eastAsiaTheme="minorEastAsia"/>
                <w:color w:val="000000" w:themeColor="text1"/>
                <w:kern w:val="0"/>
              </w:rPr>
              <w:t>3.80%</w:t>
            </w:r>
          </w:p>
        </w:tc>
        <w:tc>
          <w:tcPr>
            <w:tcW w:w="1161" w:type="dxa"/>
            <w:vAlign w:val="center"/>
          </w:tcPr>
          <w:p w:rsidR="005B2E04" w:rsidRDefault="00E27EE8">
            <w:pPr>
              <w:jc w:val="center"/>
            </w:pPr>
            <w:r>
              <w:rPr>
                <w:rFonts w:eastAsiaTheme="minorEastAsia"/>
                <w:color w:val="000000" w:themeColor="text1"/>
                <w:kern w:val="0"/>
              </w:rPr>
              <w:t>1.21%</w:t>
            </w:r>
          </w:p>
        </w:tc>
        <w:tc>
          <w:tcPr>
            <w:tcW w:w="1181" w:type="dxa"/>
            <w:vAlign w:val="center"/>
          </w:tcPr>
          <w:p w:rsidR="005B2E04" w:rsidRDefault="00E27EE8">
            <w:pPr>
              <w:jc w:val="center"/>
            </w:pPr>
            <w:r>
              <w:rPr>
                <w:rFonts w:eastAsiaTheme="minorEastAsia"/>
                <w:color w:val="000000" w:themeColor="text1"/>
                <w:kern w:val="0"/>
              </w:rPr>
              <w:t>-18.52%</w:t>
            </w:r>
          </w:p>
        </w:tc>
        <w:tc>
          <w:tcPr>
            <w:tcW w:w="1188" w:type="dxa"/>
            <w:vAlign w:val="center"/>
          </w:tcPr>
          <w:p w:rsidR="005B2E04" w:rsidRDefault="00E27EE8">
            <w:pPr>
              <w:jc w:val="center"/>
            </w:pPr>
            <w:r>
              <w:rPr>
                <w:rFonts w:eastAsiaTheme="minorEastAsia"/>
                <w:color w:val="000000" w:themeColor="text1"/>
                <w:kern w:val="0"/>
              </w:rPr>
              <w:t>0.87%</w:t>
            </w:r>
          </w:p>
        </w:tc>
        <w:tc>
          <w:tcPr>
            <w:tcW w:w="1199" w:type="dxa"/>
            <w:vAlign w:val="center"/>
          </w:tcPr>
          <w:p w:rsidR="005B2E04" w:rsidRDefault="00E27EE8">
            <w:pPr>
              <w:jc w:val="center"/>
            </w:pPr>
            <w:r>
              <w:rPr>
                <w:rFonts w:eastAsiaTheme="minorEastAsia"/>
                <w:color w:val="000000" w:themeColor="text1"/>
                <w:kern w:val="0"/>
              </w:rPr>
              <w:t>22.32%</w:t>
            </w:r>
          </w:p>
        </w:tc>
        <w:tc>
          <w:tcPr>
            <w:tcW w:w="1204" w:type="dxa"/>
            <w:vAlign w:val="center"/>
          </w:tcPr>
          <w:p w:rsidR="005B2E04" w:rsidRDefault="00E27EE8">
            <w:pPr>
              <w:jc w:val="center"/>
            </w:pPr>
            <w:r>
              <w:rPr>
                <w:rFonts w:eastAsiaTheme="minorEastAsia"/>
                <w:color w:val="000000" w:themeColor="text1"/>
                <w:kern w:val="0"/>
              </w:rPr>
              <w:t>0.34%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B2E04" w:rsidRDefault="00E27E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5B2E04" w:rsidRDefault="00E27E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9</w:t>
      </w:r>
      <w:r w:rsidRPr="00FF6B9A">
        <w:rPr>
          <w:rFonts w:eastAsiaTheme="minorEastAsia"/>
          <w:color w:val="000000" w:themeColor="text1"/>
        </w:rPr>
        <w:t>日起，将基金业绩比较基准由</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800 </w:t>
      </w:r>
      <w:r w:rsidRPr="00FF6B9A">
        <w:rPr>
          <w:rFonts w:eastAsiaTheme="minorEastAsia"/>
          <w:color w:val="000000" w:themeColor="text1"/>
        </w:rPr>
        <w:t>指数收益率</w:t>
      </w:r>
      <w:r w:rsidRPr="00FF6B9A">
        <w:rPr>
          <w:rFonts w:eastAsiaTheme="minorEastAsia"/>
          <w:color w:val="000000" w:themeColor="text1"/>
        </w:rPr>
        <w:t>×60%+</w:t>
      </w:r>
      <w:r w:rsidRPr="00FF6B9A">
        <w:rPr>
          <w:rFonts w:eastAsiaTheme="minorEastAsia"/>
          <w:color w:val="000000" w:themeColor="text1"/>
        </w:rPr>
        <w:t>中债总指数收益率</w:t>
      </w:r>
      <w:r w:rsidRPr="00FF6B9A">
        <w:rPr>
          <w:rFonts w:eastAsiaTheme="minorEastAsia"/>
          <w:color w:val="000000" w:themeColor="text1"/>
        </w:rPr>
        <w:t>×40%”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500 </w:t>
      </w:r>
      <w:r w:rsidRPr="00FF6B9A">
        <w:rPr>
          <w:rFonts w:eastAsiaTheme="minorEastAsia"/>
          <w:color w:val="000000" w:themeColor="text1"/>
        </w:rPr>
        <w:t>指数收益率</w:t>
      </w:r>
      <w:r w:rsidRPr="00FF6B9A">
        <w:rPr>
          <w:rFonts w:eastAsiaTheme="minorEastAsia"/>
          <w:color w:val="000000" w:themeColor="text1"/>
        </w:rPr>
        <w:t>×95%+</w:t>
      </w:r>
      <w:r w:rsidRPr="00FF6B9A">
        <w:rPr>
          <w:rFonts w:eastAsiaTheme="minorEastAsia"/>
          <w:color w:val="000000" w:themeColor="text1"/>
        </w:rPr>
        <w:t>银行活期存款利率</w:t>
      </w:r>
      <w:r w:rsidRPr="00FF6B9A">
        <w:rPr>
          <w:rFonts w:eastAsiaTheme="minorEastAsia"/>
          <w:color w:val="000000" w:themeColor="text1"/>
        </w:rPr>
        <w:t>(</w:t>
      </w:r>
      <w:r w:rsidRPr="00FF6B9A">
        <w:rPr>
          <w:rFonts w:eastAsiaTheme="minorEastAsia"/>
          <w:color w:val="000000" w:themeColor="text1"/>
        </w:rPr>
        <w:t>税后</w:t>
      </w:r>
      <w:r w:rsidRPr="00FF6B9A">
        <w:rPr>
          <w:rFonts w:eastAsiaTheme="minorEastAsia"/>
          <w:color w:val="000000" w:themeColor="text1"/>
        </w:rPr>
        <w:t>)×5%”</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5B2E04">
        <w:tc>
          <w:tcPr>
            <w:tcW w:w="851" w:type="dxa"/>
            <w:vAlign w:val="center"/>
          </w:tcPr>
          <w:p w:rsidR="005B2E04" w:rsidRDefault="00E27EE8">
            <w:pPr>
              <w:jc w:val="center"/>
            </w:pPr>
            <w:r>
              <w:rPr>
                <w:rFonts w:eastAsiaTheme="minorEastAsia"/>
                <w:color w:val="000000" w:themeColor="text1"/>
              </w:rPr>
              <w:t>胡迪</w:t>
            </w:r>
          </w:p>
        </w:tc>
        <w:tc>
          <w:tcPr>
            <w:tcW w:w="850" w:type="dxa"/>
            <w:vAlign w:val="center"/>
          </w:tcPr>
          <w:p w:rsidR="005B2E04" w:rsidRDefault="00E27EE8">
            <w:pPr>
              <w:jc w:val="center"/>
            </w:pPr>
            <w:r>
              <w:rPr>
                <w:rFonts w:eastAsiaTheme="minorEastAsia"/>
                <w:color w:val="000000" w:themeColor="text1"/>
              </w:rPr>
              <w:t>本基金基金经理、指数及量化投资部总监</w:t>
            </w:r>
          </w:p>
        </w:tc>
        <w:tc>
          <w:tcPr>
            <w:tcW w:w="1560" w:type="dxa"/>
            <w:vAlign w:val="center"/>
          </w:tcPr>
          <w:p w:rsidR="005B2E04" w:rsidRDefault="00E27EE8">
            <w:pPr>
              <w:jc w:val="center"/>
            </w:pPr>
            <w:r>
              <w:rPr>
                <w:rFonts w:eastAsiaTheme="minorEastAsia"/>
                <w:color w:val="000000" w:themeColor="text1"/>
              </w:rPr>
              <w:t>2021-01-07</w:t>
            </w:r>
          </w:p>
        </w:tc>
        <w:tc>
          <w:tcPr>
            <w:tcW w:w="1559" w:type="dxa"/>
            <w:vAlign w:val="center"/>
          </w:tcPr>
          <w:p w:rsidR="005B2E04" w:rsidRDefault="00E27EE8">
            <w:pPr>
              <w:jc w:val="center"/>
            </w:pPr>
            <w:r>
              <w:rPr>
                <w:rFonts w:eastAsiaTheme="minorEastAsia"/>
                <w:color w:val="000000" w:themeColor="text1"/>
              </w:rPr>
              <w:t>-</w:t>
            </w:r>
          </w:p>
        </w:tc>
        <w:tc>
          <w:tcPr>
            <w:tcW w:w="1417" w:type="dxa"/>
            <w:vAlign w:val="center"/>
          </w:tcPr>
          <w:p w:rsidR="005B2E04" w:rsidRDefault="00E27EE8">
            <w:pPr>
              <w:jc w:val="center"/>
            </w:pPr>
            <w:r>
              <w:rPr>
                <w:rFonts w:eastAsiaTheme="minorEastAsia"/>
                <w:color w:val="000000" w:themeColor="text1"/>
              </w:rPr>
              <w:t>16</w:t>
            </w:r>
            <w:r>
              <w:rPr>
                <w:rFonts w:eastAsiaTheme="minorEastAsia"/>
                <w:color w:val="000000" w:themeColor="text1"/>
              </w:rPr>
              <w:t>年</w:t>
            </w:r>
          </w:p>
        </w:tc>
        <w:tc>
          <w:tcPr>
            <w:tcW w:w="2694" w:type="dxa"/>
            <w:vAlign w:val="center"/>
          </w:tcPr>
          <w:p w:rsidR="005B2E04" w:rsidRDefault="00E27EE8">
            <w:r>
              <w:rPr>
                <w:rFonts w:eastAsiaTheme="minorEastAsia"/>
                <w:color w:val="000000" w:themeColor="text1"/>
              </w:rPr>
              <w:t>胡迪女士曾任纽约美林证券全球资产管理部高级经理，纽约标准普尔量化投资主管，中国国际金融股份有限公司资产管理部执行总经理。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月加入摩根基金管理（中国）有限公司（原上投摩根基金管理有限公司），现任指数及量化投资部总监兼基金经理。</w:t>
            </w:r>
          </w:p>
        </w:tc>
      </w:tr>
      <w:tr w:rsidR="005B2E04">
        <w:tc>
          <w:tcPr>
            <w:tcW w:w="851" w:type="dxa"/>
            <w:vAlign w:val="center"/>
          </w:tcPr>
          <w:p w:rsidR="005B2E04" w:rsidRDefault="00E27EE8">
            <w:pPr>
              <w:jc w:val="center"/>
            </w:pPr>
            <w:r>
              <w:rPr>
                <w:rFonts w:eastAsiaTheme="minorEastAsia"/>
                <w:color w:val="000000" w:themeColor="text1"/>
              </w:rPr>
              <w:lastRenderedPageBreak/>
              <w:t>何智豪</w:t>
            </w:r>
          </w:p>
        </w:tc>
        <w:tc>
          <w:tcPr>
            <w:tcW w:w="850" w:type="dxa"/>
            <w:vAlign w:val="center"/>
          </w:tcPr>
          <w:p w:rsidR="005B2E04" w:rsidRDefault="00E27EE8">
            <w:pPr>
              <w:jc w:val="center"/>
            </w:pPr>
            <w:r>
              <w:rPr>
                <w:rFonts w:eastAsiaTheme="minorEastAsia"/>
                <w:color w:val="000000" w:themeColor="text1"/>
              </w:rPr>
              <w:t>本基金基金经理</w:t>
            </w:r>
          </w:p>
        </w:tc>
        <w:tc>
          <w:tcPr>
            <w:tcW w:w="1560" w:type="dxa"/>
            <w:vAlign w:val="center"/>
          </w:tcPr>
          <w:p w:rsidR="005B2E04" w:rsidRDefault="00E27EE8">
            <w:pPr>
              <w:jc w:val="center"/>
            </w:pPr>
            <w:r>
              <w:rPr>
                <w:rFonts w:eastAsiaTheme="minorEastAsia"/>
                <w:color w:val="000000" w:themeColor="text1"/>
              </w:rPr>
              <w:t>2021-02-05</w:t>
            </w:r>
          </w:p>
        </w:tc>
        <w:tc>
          <w:tcPr>
            <w:tcW w:w="1559" w:type="dxa"/>
            <w:vAlign w:val="center"/>
          </w:tcPr>
          <w:p w:rsidR="005B2E04" w:rsidRDefault="00E27EE8">
            <w:pPr>
              <w:jc w:val="center"/>
            </w:pPr>
            <w:r>
              <w:rPr>
                <w:rFonts w:eastAsiaTheme="minorEastAsia"/>
                <w:color w:val="000000" w:themeColor="text1"/>
              </w:rPr>
              <w:t>-</w:t>
            </w:r>
          </w:p>
        </w:tc>
        <w:tc>
          <w:tcPr>
            <w:tcW w:w="1417" w:type="dxa"/>
            <w:vAlign w:val="center"/>
          </w:tcPr>
          <w:p w:rsidR="005B2E04" w:rsidRDefault="00E27EE8">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rsidR="005B2E04" w:rsidRDefault="00E27EE8">
            <w:r>
              <w:rPr>
                <w:rFonts w:eastAsiaTheme="minorEastAsia"/>
                <w:color w:val="000000" w:themeColor="text1"/>
              </w:rPr>
              <w:t>何智豪先生曾任中国国际金融股份有限公司组合与量化策略研究员、资产管理部高级经理。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月起加入摩根基金管理（中国）有限公司（原上投摩根基金管理有限公司），现任基金经理。</w:t>
            </w:r>
          </w:p>
        </w:tc>
      </w:tr>
    </w:tbl>
    <w:p w:rsidR="005B2E04" w:rsidRDefault="00E27E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w:t>
      </w:r>
      <w:r>
        <w:rPr>
          <w:rFonts w:eastAsiaTheme="minorEastAsia"/>
          <w:color w:val="000000" w:themeColor="text1"/>
        </w:rPr>
        <w:t>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w:t>
      </w:r>
      <w:r>
        <w:rPr>
          <w:rFonts w:eastAsiaTheme="minorEastAsia"/>
          <w:color w:val="000000" w:themeColor="text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w:t>
      </w:r>
      <w:r>
        <w:rPr>
          <w:rFonts w:eastAsiaTheme="minorEastAsia"/>
          <w:color w:val="000000" w:themeColor="text1"/>
        </w:rPr>
        <w:t>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 xml:space="preserve">4.3.2 </w:t>
      </w:r>
      <w:r w:rsidRPr="00FF6B9A">
        <w:rPr>
          <w:rFonts w:eastAsiaTheme="minorEastAsia"/>
          <w:color w:val="000000" w:themeColor="text1"/>
          <w:sz w:val="24"/>
          <w:szCs w:val="24"/>
        </w:rPr>
        <w:t>异常交易行为的专项说明</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二季度</w:t>
      </w:r>
      <w:r>
        <w:rPr>
          <w:rFonts w:eastAsiaTheme="minorEastAsia"/>
          <w:color w:val="000000" w:themeColor="text1"/>
        </w:rPr>
        <w:t>A</w:t>
      </w:r>
      <w:r>
        <w:rPr>
          <w:rFonts w:eastAsiaTheme="minorEastAsia"/>
          <w:color w:val="000000" w:themeColor="text1"/>
        </w:rPr>
        <w:t>股市场保持震荡，</w:t>
      </w:r>
      <w:r>
        <w:rPr>
          <w:rFonts w:eastAsiaTheme="minorEastAsia"/>
          <w:color w:val="000000" w:themeColor="text1"/>
        </w:rPr>
        <w:t>5</w:t>
      </w:r>
      <w:r>
        <w:rPr>
          <w:rFonts w:eastAsiaTheme="minorEastAsia"/>
          <w:color w:val="000000" w:themeColor="text1"/>
        </w:rPr>
        <w:t>月起各重要指数回调，交易情绪相对较弱。沪深</w:t>
      </w:r>
      <w:r>
        <w:rPr>
          <w:rFonts w:eastAsiaTheme="minorEastAsia"/>
          <w:color w:val="000000" w:themeColor="text1"/>
        </w:rPr>
        <w:t>300</w:t>
      </w:r>
      <w:r>
        <w:rPr>
          <w:rFonts w:eastAsiaTheme="minorEastAsia"/>
          <w:color w:val="000000" w:themeColor="text1"/>
        </w:rPr>
        <w:t>下跌</w:t>
      </w:r>
      <w:r>
        <w:rPr>
          <w:rFonts w:eastAsiaTheme="minorEastAsia"/>
          <w:color w:val="000000" w:themeColor="text1"/>
        </w:rPr>
        <w:t>3.7%</w:t>
      </w:r>
      <w:r>
        <w:rPr>
          <w:rFonts w:eastAsiaTheme="minorEastAsia"/>
          <w:color w:val="000000" w:themeColor="text1"/>
        </w:rPr>
        <w:t>，中证</w:t>
      </w:r>
      <w:r>
        <w:rPr>
          <w:rFonts w:eastAsiaTheme="minorEastAsia"/>
          <w:color w:val="000000" w:themeColor="text1"/>
        </w:rPr>
        <w:t>500</w:t>
      </w:r>
      <w:r>
        <w:rPr>
          <w:rFonts w:eastAsiaTheme="minorEastAsia"/>
          <w:color w:val="000000" w:themeColor="text1"/>
        </w:rPr>
        <w:t>、</w:t>
      </w:r>
      <w:r>
        <w:rPr>
          <w:rFonts w:eastAsiaTheme="minorEastAsia"/>
          <w:color w:val="000000" w:themeColor="text1"/>
        </w:rPr>
        <w:t>1000</w:t>
      </w:r>
      <w:r>
        <w:rPr>
          <w:rFonts w:eastAsiaTheme="minorEastAsia"/>
          <w:color w:val="000000" w:themeColor="text1"/>
        </w:rPr>
        <w:t>、</w:t>
      </w:r>
      <w:r>
        <w:rPr>
          <w:rFonts w:eastAsiaTheme="minorEastAsia"/>
          <w:color w:val="000000" w:themeColor="text1"/>
        </w:rPr>
        <w:t>2000</w:t>
      </w:r>
      <w:r>
        <w:rPr>
          <w:rFonts w:eastAsiaTheme="minorEastAsia"/>
          <w:color w:val="000000" w:themeColor="text1"/>
        </w:rPr>
        <w:t>各下跌</w:t>
      </w:r>
      <w:r>
        <w:rPr>
          <w:rFonts w:eastAsiaTheme="minorEastAsia"/>
          <w:color w:val="000000" w:themeColor="text1"/>
        </w:rPr>
        <w:t>7.5%</w:t>
      </w:r>
      <w:r>
        <w:rPr>
          <w:rFonts w:eastAsiaTheme="minorEastAsia"/>
          <w:color w:val="000000" w:themeColor="text1"/>
        </w:rPr>
        <w:t>，</w:t>
      </w:r>
      <w:r>
        <w:rPr>
          <w:rFonts w:eastAsiaTheme="minorEastAsia"/>
          <w:color w:val="000000" w:themeColor="text1"/>
        </w:rPr>
        <w:t>12%</w:t>
      </w:r>
      <w:r>
        <w:rPr>
          <w:rFonts w:eastAsiaTheme="minorEastAsia"/>
          <w:color w:val="000000" w:themeColor="text1"/>
        </w:rPr>
        <w:t>，</w:t>
      </w:r>
      <w:r>
        <w:rPr>
          <w:rFonts w:eastAsiaTheme="minorEastAsia"/>
          <w:color w:val="000000" w:themeColor="text1"/>
        </w:rPr>
        <w:t>15%</w:t>
      </w:r>
      <w:r>
        <w:rPr>
          <w:rFonts w:eastAsiaTheme="minorEastAsia"/>
          <w:color w:val="000000" w:themeColor="text1"/>
        </w:rPr>
        <w:t>。</w:t>
      </w:r>
      <w:r>
        <w:rPr>
          <w:rFonts w:eastAsiaTheme="minorEastAsia"/>
          <w:color w:val="000000" w:themeColor="text1"/>
        </w:rPr>
        <w:t>4</w:t>
      </w:r>
      <w:r>
        <w:rPr>
          <w:rFonts w:eastAsiaTheme="minorEastAsia"/>
          <w:color w:val="000000" w:themeColor="text1"/>
        </w:rPr>
        <w:t>月下旬中小盘一度强势，</w:t>
      </w:r>
      <w:r>
        <w:rPr>
          <w:rFonts w:eastAsiaTheme="minorEastAsia"/>
          <w:color w:val="000000" w:themeColor="text1"/>
        </w:rPr>
        <w:t>5</w:t>
      </w:r>
      <w:r>
        <w:rPr>
          <w:rFonts w:eastAsiaTheme="minorEastAsia"/>
          <w:color w:val="000000" w:themeColor="text1"/>
        </w:rPr>
        <w:t>月中下旬又大幅回落，大盘风格依旧稳健。从行业来看，行业轮动速度小幅回升，银行、公用事业、电子、煤炭和交运涨幅居前，主要下跌的板块为传媒、商贸零售、社会服务和计算机。政策焦点在于</w:t>
      </w:r>
      <w:r>
        <w:rPr>
          <w:rFonts w:eastAsiaTheme="minorEastAsia"/>
          <w:color w:val="000000" w:themeColor="text1"/>
        </w:rPr>
        <w:t>“</w:t>
      </w:r>
      <w:r>
        <w:rPr>
          <w:rFonts w:eastAsiaTheme="minorEastAsia"/>
          <w:color w:val="000000" w:themeColor="text1"/>
        </w:rPr>
        <w:t>稳经济，化风险</w:t>
      </w:r>
      <w:r>
        <w:rPr>
          <w:rFonts w:eastAsiaTheme="minorEastAsia"/>
          <w:color w:val="000000" w:themeColor="text1"/>
        </w:rPr>
        <w:t>”</w:t>
      </w:r>
      <w:r>
        <w:rPr>
          <w:rFonts w:eastAsiaTheme="minorEastAsia"/>
          <w:color w:val="000000" w:themeColor="text1"/>
        </w:rPr>
        <w:t>，通过设备更新和消费升</w:t>
      </w:r>
      <w:r>
        <w:rPr>
          <w:rFonts w:eastAsiaTheme="minorEastAsia"/>
          <w:color w:val="000000" w:themeColor="text1"/>
        </w:rPr>
        <w:t>级政策拉动经济，同时通过财政手段如发行超长期特别国债和房地产金融政策以鼓励房地产市场的稳定发展，保障性住房政策和房贷利率调整也有所体现。从</w:t>
      </w:r>
      <w:r>
        <w:rPr>
          <w:rFonts w:eastAsiaTheme="minorEastAsia"/>
          <w:color w:val="000000" w:themeColor="text1"/>
        </w:rPr>
        <w:t>alpha</w:t>
      </w:r>
      <w:r>
        <w:rPr>
          <w:rFonts w:eastAsiaTheme="minorEastAsia"/>
          <w:color w:val="000000" w:themeColor="text1"/>
        </w:rPr>
        <w:t>角度看，一季度大幅回撤的机器学习类价量因子在动荡中有所恢复，但较去年波动仍有所放大。基本面</w:t>
      </w:r>
      <w:r>
        <w:rPr>
          <w:rFonts w:eastAsiaTheme="minorEastAsia"/>
          <w:color w:val="000000" w:themeColor="text1"/>
        </w:rPr>
        <w:t>alpha</w:t>
      </w:r>
      <w:r>
        <w:rPr>
          <w:rFonts w:eastAsiaTheme="minorEastAsia"/>
          <w:color w:val="000000" w:themeColor="text1"/>
        </w:rPr>
        <w:t>强势复苏，一些质量因子表现突出，和近期基本面复苏的节奏相一致。本基金选股从多因子角度出发，基本面和价量</w:t>
      </w:r>
      <w:r>
        <w:rPr>
          <w:rFonts w:eastAsiaTheme="minorEastAsia"/>
          <w:color w:val="000000" w:themeColor="text1"/>
        </w:rPr>
        <w:t>Alpha</w:t>
      </w:r>
      <w:r>
        <w:rPr>
          <w:rFonts w:eastAsiaTheme="minorEastAsia"/>
          <w:color w:val="000000" w:themeColor="text1"/>
        </w:rPr>
        <w:t>配置较为均衡。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往后看，量化选股策略不做择时类的判断，我们仍然保持较高仓位运作。策略方面，在偏高频的价量因子遭遇大幅回撤且波动放大的目前，市场对基本面量化的关注有所提升。传统的基本面因子虽然目前有所回暖，但其波动放大，收益降低的长期趋势不变。对基本面因子的深入研究围绕着局部化、另类数据化、或者与价量相结合，挖掘高维特征的思路进行。与此同时，价量因子的大幅回撤，一方面要求我们尝试通过对收益进行分层预测、改变预测周期、叠加多个预测周期等方式，提高价量因子预测的精度和可解释性，另一方面意味着因子迭代加速，要求我们具备更高效的</w:t>
      </w:r>
      <w:r w:rsidRPr="00FF6B9A">
        <w:rPr>
          <w:rFonts w:eastAsiaTheme="minorEastAsia"/>
          <w:color w:val="000000" w:themeColor="text1"/>
        </w:rPr>
        <w:t>alpha</w:t>
      </w:r>
      <w:r w:rsidRPr="00FF6B9A">
        <w:rPr>
          <w:rFonts w:eastAsiaTheme="minorEastAsia"/>
          <w:color w:val="000000" w:themeColor="text1"/>
        </w:rPr>
        <w:t>迭代能力。在具体投资策略上，我们在坚持基本面和价量结合的量化多因子选股策略的同时，一方面自上而下由因及果研究主动规律，另一方面自下而上使用机器学习工具由果索因挖掘未知规律，两相结合，构造风险收益特征优于市场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本报告期摩根量化多因子份额净值增长率为</w:t>
      </w:r>
      <w:r w:rsidRPr="00FF6B9A">
        <w:rPr>
          <w:rFonts w:eastAsiaTheme="minorEastAsia"/>
          <w:color w:val="000000" w:themeColor="text1"/>
        </w:rPr>
        <w:t>:-4.60%</w:t>
      </w:r>
      <w:r w:rsidRPr="00FF6B9A">
        <w:rPr>
          <w:rFonts w:eastAsiaTheme="minorEastAsia"/>
          <w:color w:val="000000" w:themeColor="text1"/>
        </w:rPr>
        <w:t>，同期业绩比较基准收益率</w:t>
      </w:r>
      <w:r w:rsidRPr="00FF6B9A">
        <w:rPr>
          <w:rFonts w:eastAsiaTheme="minorEastAsia"/>
          <w:color w:val="000000" w:themeColor="text1"/>
        </w:rPr>
        <w:lastRenderedPageBreak/>
        <w:t>为</w:t>
      </w:r>
      <w:r w:rsidRPr="00FF6B9A">
        <w:rPr>
          <w:rFonts w:eastAsiaTheme="minorEastAsia"/>
          <w:color w:val="000000" w:themeColor="text1"/>
        </w:rPr>
        <w:t>:-6.17%</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报告期内，本基金存在连续二十个工作日基金资产净值低于五千万元的情况，出现该情况的时间范围为</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04</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06</w:t>
      </w:r>
      <w:r>
        <w:rPr>
          <w:rFonts w:eastAsiaTheme="minorEastAsia"/>
          <w:color w:val="000000" w:themeColor="text1"/>
          <w:kern w:val="0"/>
        </w:rPr>
        <w:t>月</w:t>
      </w:r>
      <w:r>
        <w:rPr>
          <w:rFonts w:eastAsiaTheme="minorEastAsia"/>
          <w:color w:val="000000" w:themeColor="text1"/>
          <w:kern w:val="0"/>
        </w:rPr>
        <w:t>28</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14,652,745.00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91.61</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14,652,745.00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91.61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1,338,036.90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4,553.05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15,995,334.95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162,370.00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616,068.00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3.87</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10,271,832.70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64.61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496,109.00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327,772.00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338,293.80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70,383.00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941,178.50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1,015,967.00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6.39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97,592.00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66,105.00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18,054.00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130,580.00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14,652,745.00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92.16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B2E04">
        <w:tc>
          <w:tcPr>
            <w:tcW w:w="817" w:type="dxa"/>
            <w:vAlign w:val="center"/>
          </w:tcPr>
          <w:p w:rsidR="005B2E04" w:rsidRDefault="00E27EE8">
            <w:pPr>
              <w:jc w:val="center"/>
            </w:pPr>
            <w:r>
              <w:rPr>
                <w:rFonts w:eastAsiaTheme="minorEastAsia"/>
                <w:kern w:val="0"/>
                <w:sz w:val="24"/>
                <w:szCs w:val="24"/>
              </w:rPr>
              <w:t>1</w:t>
            </w:r>
          </w:p>
        </w:tc>
        <w:tc>
          <w:tcPr>
            <w:tcW w:w="1276" w:type="dxa"/>
            <w:vAlign w:val="center"/>
          </w:tcPr>
          <w:p w:rsidR="005B2E04" w:rsidRDefault="00E27EE8">
            <w:pPr>
              <w:jc w:val="center"/>
            </w:pPr>
            <w:r>
              <w:rPr>
                <w:rFonts w:eastAsiaTheme="minorEastAsia"/>
                <w:kern w:val="0"/>
                <w:sz w:val="24"/>
                <w:szCs w:val="24"/>
              </w:rPr>
              <w:t>600582</w:t>
            </w:r>
          </w:p>
        </w:tc>
        <w:tc>
          <w:tcPr>
            <w:tcW w:w="1701" w:type="dxa"/>
            <w:vAlign w:val="center"/>
          </w:tcPr>
          <w:p w:rsidR="005B2E04" w:rsidRDefault="00E27EE8">
            <w:pPr>
              <w:jc w:val="center"/>
            </w:pPr>
            <w:r>
              <w:rPr>
                <w:rFonts w:eastAsiaTheme="minorEastAsia"/>
                <w:kern w:val="0"/>
                <w:sz w:val="24"/>
                <w:szCs w:val="24"/>
              </w:rPr>
              <w:t>天地科技</w:t>
            </w:r>
          </w:p>
        </w:tc>
        <w:tc>
          <w:tcPr>
            <w:tcW w:w="1276" w:type="dxa"/>
            <w:vAlign w:val="center"/>
          </w:tcPr>
          <w:p w:rsidR="005B2E04" w:rsidRDefault="00E27EE8">
            <w:pPr>
              <w:jc w:val="right"/>
            </w:pPr>
            <w:r>
              <w:rPr>
                <w:rFonts w:eastAsiaTheme="minorEastAsia"/>
                <w:kern w:val="0"/>
                <w:sz w:val="24"/>
                <w:szCs w:val="24"/>
              </w:rPr>
              <w:t>30,900.00</w:t>
            </w:r>
          </w:p>
        </w:tc>
        <w:tc>
          <w:tcPr>
            <w:tcW w:w="1842" w:type="dxa"/>
            <w:vAlign w:val="center"/>
          </w:tcPr>
          <w:p w:rsidR="005B2E04" w:rsidRDefault="00E27EE8">
            <w:pPr>
              <w:jc w:val="right"/>
            </w:pPr>
            <w:r>
              <w:rPr>
                <w:rFonts w:eastAsiaTheme="minorEastAsia"/>
                <w:kern w:val="0"/>
                <w:sz w:val="24"/>
                <w:szCs w:val="24"/>
              </w:rPr>
              <w:t>212,901.00</w:t>
            </w:r>
          </w:p>
        </w:tc>
        <w:tc>
          <w:tcPr>
            <w:tcW w:w="1616" w:type="dxa"/>
            <w:vAlign w:val="center"/>
          </w:tcPr>
          <w:p w:rsidR="005B2E04" w:rsidRDefault="00E27EE8">
            <w:pPr>
              <w:jc w:val="right"/>
            </w:pPr>
            <w:r>
              <w:rPr>
                <w:rFonts w:eastAsiaTheme="minorEastAsia"/>
                <w:kern w:val="0"/>
                <w:sz w:val="24"/>
                <w:szCs w:val="24"/>
              </w:rPr>
              <w:t>1.34</w:t>
            </w:r>
          </w:p>
        </w:tc>
      </w:tr>
      <w:tr w:rsidR="005B2E04">
        <w:tc>
          <w:tcPr>
            <w:tcW w:w="817" w:type="dxa"/>
            <w:vAlign w:val="center"/>
          </w:tcPr>
          <w:p w:rsidR="005B2E04" w:rsidRDefault="00E27EE8">
            <w:pPr>
              <w:jc w:val="center"/>
            </w:pPr>
            <w:r>
              <w:rPr>
                <w:rFonts w:eastAsiaTheme="minorEastAsia"/>
                <w:kern w:val="0"/>
                <w:sz w:val="24"/>
                <w:szCs w:val="24"/>
              </w:rPr>
              <w:t>2</w:t>
            </w:r>
          </w:p>
        </w:tc>
        <w:tc>
          <w:tcPr>
            <w:tcW w:w="1276" w:type="dxa"/>
            <w:vAlign w:val="center"/>
          </w:tcPr>
          <w:p w:rsidR="005B2E04" w:rsidRDefault="00E27EE8">
            <w:pPr>
              <w:jc w:val="center"/>
            </w:pPr>
            <w:r>
              <w:rPr>
                <w:rFonts w:eastAsiaTheme="minorEastAsia"/>
                <w:kern w:val="0"/>
                <w:sz w:val="24"/>
                <w:szCs w:val="24"/>
              </w:rPr>
              <w:t>601555</w:t>
            </w:r>
          </w:p>
        </w:tc>
        <w:tc>
          <w:tcPr>
            <w:tcW w:w="1701" w:type="dxa"/>
            <w:vAlign w:val="center"/>
          </w:tcPr>
          <w:p w:rsidR="005B2E04" w:rsidRDefault="00E27EE8">
            <w:pPr>
              <w:jc w:val="center"/>
            </w:pPr>
            <w:r>
              <w:rPr>
                <w:rFonts w:eastAsiaTheme="minorEastAsia"/>
                <w:kern w:val="0"/>
                <w:sz w:val="24"/>
                <w:szCs w:val="24"/>
              </w:rPr>
              <w:t>东吴证券</w:t>
            </w:r>
          </w:p>
        </w:tc>
        <w:tc>
          <w:tcPr>
            <w:tcW w:w="1276" w:type="dxa"/>
            <w:vAlign w:val="center"/>
          </w:tcPr>
          <w:p w:rsidR="005B2E04" w:rsidRDefault="00E27EE8">
            <w:pPr>
              <w:jc w:val="right"/>
            </w:pPr>
            <w:r>
              <w:rPr>
                <w:rFonts w:eastAsiaTheme="minorEastAsia"/>
                <w:kern w:val="0"/>
                <w:sz w:val="24"/>
                <w:szCs w:val="24"/>
              </w:rPr>
              <w:t>31,120.00</w:t>
            </w:r>
          </w:p>
        </w:tc>
        <w:tc>
          <w:tcPr>
            <w:tcW w:w="1842" w:type="dxa"/>
            <w:vAlign w:val="center"/>
          </w:tcPr>
          <w:p w:rsidR="005B2E04" w:rsidRDefault="00E27EE8">
            <w:pPr>
              <w:jc w:val="right"/>
            </w:pPr>
            <w:r>
              <w:rPr>
                <w:rFonts w:eastAsiaTheme="minorEastAsia"/>
                <w:kern w:val="0"/>
                <w:sz w:val="24"/>
                <w:szCs w:val="24"/>
              </w:rPr>
              <w:t>183,608.00</w:t>
            </w:r>
          </w:p>
        </w:tc>
        <w:tc>
          <w:tcPr>
            <w:tcW w:w="1616" w:type="dxa"/>
            <w:vAlign w:val="center"/>
          </w:tcPr>
          <w:p w:rsidR="005B2E04" w:rsidRDefault="00E27EE8">
            <w:pPr>
              <w:jc w:val="right"/>
            </w:pPr>
            <w:r>
              <w:rPr>
                <w:rFonts w:eastAsiaTheme="minorEastAsia"/>
                <w:kern w:val="0"/>
                <w:sz w:val="24"/>
                <w:szCs w:val="24"/>
              </w:rPr>
              <w:t>1.15</w:t>
            </w:r>
          </w:p>
        </w:tc>
      </w:tr>
      <w:tr w:rsidR="005B2E04">
        <w:tc>
          <w:tcPr>
            <w:tcW w:w="817" w:type="dxa"/>
            <w:vAlign w:val="center"/>
          </w:tcPr>
          <w:p w:rsidR="005B2E04" w:rsidRDefault="00E27EE8">
            <w:pPr>
              <w:jc w:val="center"/>
            </w:pPr>
            <w:r>
              <w:rPr>
                <w:rFonts w:eastAsiaTheme="minorEastAsia"/>
                <w:kern w:val="0"/>
                <w:sz w:val="24"/>
                <w:szCs w:val="24"/>
              </w:rPr>
              <w:t>3</w:t>
            </w:r>
          </w:p>
        </w:tc>
        <w:tc>
          <w:tcPr>
            <w:tcW w:w="1276" w:type="dxa"/>
            <w:vAlign w:val="center"/>
          </w:tcPr>
          <w:p w:rsidR="005B2E04" w:rsidRDefault="00E27EE8">
            <w:pPr>
              <w:jc w:val="center"/>
            </w:pPr>
            <w:r>
              <w:rPr>
                <w:rFonts w:eastAsiaTheme="minorEastAsia"/>
                <w:kern w:val="0"/>
                <w:sz w:val="24"/>
                <w:szCs w:val="24"/>
              </w:rPr>
              <w:t>002422</w:t>
            </w:r>
          </w:p>
        </w:tc>
        <w:tc>
          <w:tcPr>
            <w:tcW w:w="1701" w:type="dxa"/>
            <w:vAlign w:val="center"/>
          </w:tcPr>
          <w:p w:rsidR="005B2E04" w:rsidRDefault="00E27EE8">
            <w:pPr>
              <w:jc w:val="center"/>
            </w:pPr>
            <w:r>
              <w:rPr>
                <w:rFonts w:eastAsiaTheme="minorEastAsia"/>
                <w:kern w:val="0"/>
                <w:sz w:val="24"/>
                <w:szCs w:val="24"/>
              </w:rPr>
              <w:t>科伦药业</w:t>
            </w:r>
          </w:p>
        </w:tc>
        <w:tc>
          <w:tcPr>
            <w:tcW w:w="1276" w:type="dxa"/>
            <w:vAlign w:val="center"/>
          </w:tcPr>
          <w:p w:rsidR="005B2E04" w:rsidRDefault="00E27EE8">
            <w:pPr>
              <w:jc w:val="right"/>
            </w:pPr>
            <w:r>
              <w:rPr>
                <w:rFonts w:eastAsiaTheme="minorEastAsia"/>
                <w:kern w:val="0"/>
                <w:sz w:val="24"/>
                <w:szCs w:val="24"/>
              </w:rPr>
              <w:t>5,800.00</w:t>
            </w:r>
          </w:p>
        </w:tc>
        <w:tc>
          <w:tcPr>
            <w:tcW w:w="1842" w:type="dxa"/>
            <w:vAlign w:val="center"/>
          </w:tcPr>
          <w:p w:rsidR="005B2E04" w:rsidRDefault="00E27EE8">
            <w:pPr>
              <w:jc w:val="right"/>
            </w:pPr>
            <w:r>
              <w:rPr>
                <w:rFonts w:eastAsiaTheme="minorEastAsia"/>
                <w:kern w:val="0"/>
                <w:sz w:val="24"/>
                <w:szCs w:val="24"/>
              </w:rPr>
              <w:t>175,914.00</w:t>
            </w:r>
          </w:p>
        </w:tc>
        <w:tc>
          <w:tcPr>
            <w:tcW w:w="1616" w:type="dxa"/>
            <w:vAlign w:val="center"/>
          </w:tcPr>
          <w:p w:rsidR="005B2E04" w:rsidRDefault="00E27EE8">
            <w:pPr>
              <w:jc w:val="right"/>
            </w:pPr>
            <w:r>
              <w:rPr>
                <w:rFonts w:eastAsiaTheme="minorEastAsia"/>
                <w:kern w:val="0"/>
                <w:sz w:val="24"/>
                <w:szCs w:val="24"/>
              </w:rPr>
              <w:t>1.11</w:t>
            </w:r>
          </w:p>
        </w:tc>
      </w:tr>
      <w:tr w:rsidR="005B2E04">
        <w:tc>
          <w:tcPr>
            <w:tcW w:w="817" w:type="dxa"/>
            <w:vAlign w:val="center"/>
          </w:tcPr>
          <w:p w:rsidR="005B2E04" w:rsidRDefault="00E27EE8">
            <w:pPr>
              <w:jc w:val="center"/>
            </w:pPr>
            <w:r>
              <w:rPr>
                <w:rFonts w:eastAsiaTheme="minorEastAsia"/>
                <w:kern w:val="0"/>
                <w:sz w:val="24"/>
                <w:szCs w:val="24"/>
              </w:rPr>
              <w:t>4</w:t>
            </w:r>
          </w:p>
        </w:tc>
        <w:tc>
          <w:tcPr>
            <w:tcW w:w="1276" w:type="dxa"/>
            <w:vAlign w:val="center"/>
          </w:tcPr>
          <w:p w:rsidR="005B2E04" w:rsidRDefault="00E27EE8">
            <w:pPr>
              <w:jc w:val="center"/>
            </w:pPr>
            <w:r>
              <w:rPr>
                <w:rFonts w:eastAsiaTheme="minorEastAsia"/>
                <w:kern w:val="0"/>
                <w:sz w:val="24"/>
                <w:szCs w:val="24"/>
              </w:rPr>
              <w:t>601717</w:t>
            </w:r>
          </w:p>
        </w:tc>
        <w:tc>
          <w:tcPr>
            <w:tcW w:w="1701" w:type="dxa"/>
            <w:vAlign w:val="center"/>
          </w:tcPr>
          <w:p w:rsidR="005B2E04" w:rsidRDefault="00E27EE8">
            <w:pPr>
              <w:jc w:val="center"/>
            </w:pPr>
            <w:r>
              <w:rPr>
                <w:rFonts w:eastAsiaTheme="minorEastAsia"/>
                <w:kern w:val="0"/>
                <w:sz w:val="24"/>
                <w:szCs w:val="24"/>
              </w:rPr>
              <w:t>郑煤机</w:t>
            </w:r>
          </w:p>
        </w:tc>
        <w:tc>
          <w:tcPr>
            <w:tcW w:w="1276" w:type="dxa"/>
            <w:vAlign w:val="center"/>
          </w:tcPr>
          <w:p w:rsidR="005B2E04" w:rsidRDefault="00E27EE8">
            <w:pPr>
              <w:jc w:val="right"/>
            </w:pPr>
            <w:r>
              <w:rPr>
                <w:rFonts w:eastAsiaTheme="minorEastAsia"/>
                <w:kern w:val="0"/>
                <w:sz w:val="24"/>
                <w:szCs w:val="24"/>
              </w:rPr>
              <w:t>11,400.00</w:t>
            </w:r>
          </w:p>
        </w:tc>
        <w:tc>
          <w:tcPr>
            <w:tcW w:w="1842" w:type="dxa"/>
            <w:vAlign w:val="center"/>
          </w:tcPr>
          <w:p w:rsidR="005B2E04" w:rsidRDefault="00E27EE8">
            <w:pPr>
              <w:jc w:val="right"/>
            </w:pPr>
            <w:r>
              <w:rPr>
                <w:rFonts w:eastAsiaTheme="minorEastAsia"/>
                <w:kern w:val="0"/>
                <w:sz w:val="24"/>
                <w:szCs w:val="24"/>
              </w:rPr>
              <w:t>168,720.00</w:t>
            </w:r>
          </w:p>
        </w:tc>
        <w:tc>
          <w:tcPr>
            <w:tcW w:w="1616" w:type="dxa"/>
            <w:vAlign w:val="center"/>
          </w:tcPr>
          <w:p w:rsidR="005B2E04" w:rsidRDefault="00E27EE8">
            <w:pPr>
              <w:jc w:val="right"/>
            </w:pPr>
            <w:r>
              <w:rPr>
                <w:rFonts w:eastAsiaTheme="minorEastAsia"/>
                <w:kern w:val="0"/>
                <w:sz w:val="24"/>
                <w:szCs w:val="24"/>
              </w:rPr>
              <w:t>1.06</w:t>
            </w:r>
          </w:p>
        </w:tc>
      </w:tr>
      <w:tr w:rsidR="005B2E04">
        <w:tc>
          <w:tcPr>
            <w:tcW w:w="817" w:type="dxa"/>
            <w:vAlign w:val="center"/>
          </w:tcPr>
          <w:p w:rsidR="005B2E04" w:rsidRDefault="00E27EE8">
            <w:pPr>
              <w:jc w:val="center"/>
            </w:pPr>
            <w:r>
              <w:rPr>
                <w:rFonts w:eastAsiaTheme="minorEastAsia"/>
                <w:kern w:val="0"/>
                <w:sz w:val="24"/>
                <w:szCs w:val="24"/>
              </w:rPr>
              <w:t>5</w:t>
            </w:r>
          </w:p>
        </w:tc>
        <w:tc>
          <w:tcPr>
            <w:tcW w:w="1276" w:type="dxa"/>
            <w:vAlign w:val="center"/>
          </w:tcPr>
          <w:p w:rsidR="005B2E04" w:rsidRDefault="00E27EE8">
            <w:pPr>
              <w:jc w:val="center"/>
            </w:pPr>
            <w:r>
              <w:rPr>
                <w:rFonts w:eastAsiaTheme="minorEastAsia"/>
                <w:kern w:val="0"/>
                <w:sz w:val="24"/>
                <w:szCs w:val="24"/>
              </w:rPr>
              <w:t>300088</w:t>
            </w:r>
          </w:p>
        </w:tc>
        <w:tc>
          <w:tcPr>
            <w:tcW w:w="1701" w:type="dxa"/>
            <w:vAlign w:val="center"/>
          </w:tcPr>
          <w:p w:rsidR="005B2E04" w:rsidRDefault="00E27EE8">
            <w:pPr>
              <w:jc w:val="center"/>
            </w:pPr>
            <w:r>
              <w:rPr>
                <w:rFonts w:eastAsiaTheme="minorEastAsia"/>
                <w:kern w:val="0"/>
                <w:sz w:val="24"/>
                <w:szCs w:val="24"/>
              </w:rPr>
              <w:t>长信科技</w:t>
            </w:r>
          </w:p>
        </w:tc>
        <w:tc>
          <w:tcPr>
            <w:tcW w:w="1276" w:type="dxa"/>
            <w:vAlign w:val="center"/>
          </w:tcPr>
          <w:p w:rsidR="005B2E04" w:rsidRDefault="00E27EE8">
            <w:pPr>
              <w:jc w:val="right"/>
            </w:pPr>
            <w:r>
              <w:rPr>
                <w:rFonts w:eastAsiaTheme="minorEastAsia"/>
                <w:kern w:val="0"/>
                <w:sz w:val="24"/>
                <w:szCs w:val="24"/>
              </w:rPr>
              <w:t>34,800.00</w:t>
            </w:r>
          </w:p>
        </w:tc>
        <w:tc>
          <w:tcPr>
            <w:tcW w:w="1842" w:type="dxa"/>
            <w:vAlign w:val="center"/>
          </w:tcPr>
          <w:p w:rsidR="005B2E04" w:rsidRDefault="00E27EE8">
            <w:pPr>
              <w:jc w:val="right"/>
            </w:pPr>
            <w:r>
              <w:rPr>
                <w:rFonts w:eastAsiaTheme="minorEastAsia"/>
                <w:kern w:val="0"/>
                <w:sz w:val="24"/>
                <w:szCs w:val="24"/>
              </w:rPr>
              <w:t>163,560.00</w:t>
            </w:r>
          </w:p>
        </w:tc>
        <w:tc>
          <w:tcPr>
            <w:tcW w:w="1616" w:type="dxa"/>
            <w:vAlign w:val="center"/>
          </w:tcPr>
          <w:p w:rsidR="005B2E04" w:rsidRDefault="00E27EE8">
            <w:pPr>
              <w:jc w:val="right"/>
            </w:pPr>
            <w:r>
              <w:rPr>
                <w:rFonts w:eastAsiaTheme="minorEastAsia"/>
                <w:kern w:val="0"/>
                <w:sz w:val="24"/>
                <w:szCs w:val="24"/>
              </w:rPr>
              <w:t>1.03</w:t>
            </w:r>
          </w:p>
        </w:tc>
      </w:tr>
      <w:tr w:rsidR="005B2E04">
        <w:tc>
          <w:tcPr>
            <w:tcW w:w="817" w:type="dxa"/>
            <w:vAlign w:val="center"/>
          </w:tcPr>
          <w:p w:rsidR="005B2E04" w:rsidRDefault="00E27EE8">
            <w:pPr>
              <w:jc w:val="center"/>
            </w:pPr>
            <w:r>
              <w:rPr>
                <w:rFonts w:eastAsiaTheme="minorEastAsia"/>
                <w:kern w:val="0"/>
                <w:sz w:val="24"/>
                <w:szCs w:val="24"/>
              </w:rPr>
              <w:t>6</w:t>
            </w:r>
          </w:p>
        </w:tc>
        <w:tc>
          <w:tcPr>
            <w:tcW w:w="1276" w:type="dxa"/>
            <w:vAlign w:val="center"/>
          </w:tcPr>
          <w:p w:rsidR="005B2E04" w:rsidRDefault="00E27EE8">
            <w:pPr>
              <w:jc w:val="center"/>
            </w:pPr>
            <w:r>
              <w:rPr>
                <w:rFonts w:eastAsiaTheme="minorEastAsia"/>
                <w:kern w:val="0"/>
                <w:sz w:val="24"/>
                <w:szCs w:val="24"/>
              </w:rPr>
              <w:t>600008</w:t>
            </w:r>
          </w:p>
        </w:tc>
        <w:tc>
          <w:tcPr>
            <w:tcW w:w="1701" w:type="dxa"/>
            <w:vAlign w:val="center"/>
          </w:tcPr>
          <w:p w:rsidR="005B2E04" w:rsidRDefault="00E27EE8">
            <w:pPr>
              <w:jc w:val="center"/>
            </w:pPr>
            <w:r>
              <w:rPr>
                <w:rFonts w:eastAsiaTheme="minorEastAsia"/>
                <w:kern w:val="0"/>
                <w:sz w:val="24"/>
                <w:szCs w:val="24"/>
              </w:rPr>
              <w:t>首创环保</w:t>
            </w:r>
          </w:p>
        </w:tc>
        <w:tc>
          <w:tcPr>
            <w:tcW w:w="1276" w:type="dxa"/>
            <w:vAlign w:val="center"/>
          </w:tcPr>
          <w:p w:rsidR="005B2E04" w:rsidRDefault="00E27EE8">
            <w:pPr>
              <w:jc w:val="right"/>
            </w:pPr>
            <w:r>
              <w:rPr>
                <w:rFonts w:eastAsiaTheme="minorEastAsia"/>
                <w:kern w:val="0"/>
                <w:sz w:val="24"/>
                <w:szCs w:val="24"/>
              </w:rPr>
              <w:t>60,900.00</w:t>
            </w:r>
          </w:p>
        </w:tc>
        <w:tc>
          <w:tcPr>
            <w:tcW w:w="1842" w:type="dxa"/>
            <w:vAlign w:val="center"/>
          </w:tcPr>
          <w:p w:rsidR="005B2E04" w:rsidRDefault="00E27EE8">
            <w:pPr>
              <w:jc w:val="right"/>
            </w:pPr>
            <w:r>
              <w:rPr>
                <w:rFonts w:eastAsiaTheme="minorEastAsia"/>
                <w:kern w:val="0"/>
                <w:sz w:val="24"/>
                <w:szCs w:val="24"/>
              </w:rPr>
              <w:t>163,212.00</w:t>
            </w:r>
          </w:p>
        </w:tc>
        <w:tc>
          <w:tcPr>
            <w:tcW w:w="1616" w:type="dxa"/>
            <w:vAlign w:val="center"/>
          </w:tcPr>
          <w:p w:rsidR="005B2E04" w:rsidRDefault="00E27EE8">
            <w:pPr>
              <w:jc w:val="right"/>
            </w:pPr>
            <w:r>
              <w:rPr>
                <w:rFonts w:eastAsiaTheme="minorEastAsia"/>
                <w:kern w:val="0"/>
                <w:sz w:val="24"/>
                <w:szCs w:val="24"/>
              </w:rPr>
              <w:t>1.03</w:t>
            </w:r>
          </w:p>
        </w:tc>
      </w:tr>
      <w:tr w:rsidR="005B2E04">
        <w:tc>
          <w:tcPr>
            <w:tcW w:w="817" w:type="dxa"/>
            <w:vAlign w:val="center"/>
          </w:tcPr>
          <w:p w:rsidR="005B2E04" w:rsidRDefault="00E27EE8">
            <w:pPr>
              <w:jc w:val="center"/>
            </w:pPr>
            <w:r>
              <w:rPr>
                <w:rFonts w:eastAsiaTheme="minorEastAsia"/>
                <w:kern w:val="0"/>
                <w:sz w:val="24"/>
                <w:szCs w:val="24"/>
              </w:rPr>
              <w:t>7</w:t>
            </w:r>
          </w:p>
        </w:tc>
        <w:tc>
          <w:tcPr>
            <w:tcW w:w="1276" w:type="dxa"/>
            <w:vAlign w:val="center"/>
          </w:tcPr>
          <w:p w:rsidR="005B2E04" w:rsidRDefault="00E27EE8">
            <w:pPr>
              <w:jc w:val="center"/>
            </w:pPr>
            <w:r>
              <w:rPr>
                <w:rFonts w:eastAsiaTheme="minorEastAsia"/>
                <w:kern w:val="0"/>
                <w:sz w:val="24"/>
                <w:szCs w:val="24"/>
              </w:rPr>
              <w:t>600598</w:t>
            </w:r>
          </w:p>
        </w:tc>
        <w:tc>
          <w:tcPr>
            <w:tcW w:w="1701" w:type="dxa"/>
            <w:vAlign w:val="center"/>
          </w:tcPr>
          <w:p w:rsidR="005B2E04" w:rsidRDefault="00E27EE8">
            <w:pPr>
              <w:jc w:val="center"/>
            </w:pPr>
            <w:r>
              <w:rPr>
                <w:rFonts w:eastAsiaTheme="minorEastAsia"/>
                <w:kern w:val="0"/>
                <w:sz w:val="24"/>
                <w:szCs w:val="24"/>
              </w:rPr>
              <w:t>北大荒</w:t>
            </w:r>
          </w:p>
        </w:tc>
        <w:tc>
          <w:tcPr>
            <w:tcW w:w="1276" w:type="dxa"/>
            <w:vAlign w:val="center"/>
          </w:tcPr>
          <w:p w:rsidR="005B2E04" w:rsidRDefault="00E27EE8">
            <w:pPr>
              <w:jc w:val="right"/>
            </w:pPr>
            <w:r>
              <w:rPr>
                <w:rFonts w:eastAsiaTheme="minorEastAsia"/>
                <w:kern w:val="0"/>
                <w:sz w:val="24"/>
                <w:szCs w:val="24"/>
              </w:rPr>
              <w:t>13,000.00</w:t>
            </w:r>
          </w:p>
        </w:tc>
        <w:tc>
          <w:tcPr>
            <w:tcW w:w="1842" w:type="dxa"/>
            <w:vAlign w:val="center"/>
          </w:tcPr>
          <w:p w:rsidR="005B2E04" w:rsidRDefault="00E27EE8">
            <w:pPr>
              <w:jc w:val="right"/>
            </w:pPr>
            <w:r>
              <w:rPr>
                <w:rFonts w:eastAsiaTheme="minorEastAsia"/>
                <w:kern w:val="0"/>
                <w:sz w:val="24"/>
                <w:szCs w:val="24"/>
              </w:rPr>
              <w:t>162,370.00</w:t>
            </w:r>
          </w:p>
        </w:tc>
        <w:tc>
          <w:tcPr>
            <w:tcW w:w="1616" w:type="dxa"/>
            <w:vAlign w:val="center"/>
          </w:tcPr>
          <w:p w:rsidR="005B2E04" w:rsidRDefault="00E27EE8">
            <w:pPr>
              <w:jc w:val="right"/>
            </w:pPr>
            <w:r>
              <w:rPr>
                <w:rFonts w:eastAsiaTheme="minorEastAsia"/>
                <w:kern w:val="0"/>
                <w:sz w:val="24"/>
                <w:szCs w:val="24"/>
              </w:rPr>
              <w:t>1.02</w:t>
            </w:r>
          </w:p>
        </w:tc>
      </w:tr>
      <w:tr w:rsidR="005B2E04">
        <w:tc>
          <w:tcPr>
            <w:tcW w:w="817" w:type="dxa"/>
            <w:vAlign w:val="center"/>
          </w:tcPr>
          <w:p w:rsidR="005B2E04" w:rsidRDefault="00E27EE8">
            <w:pPr>
              <w:jc w:val="center"/>
            </w:pPr>
            <w:r>
              <w:rPr>
                <w:rFonts w:eastAsiaTheme="minorEastAsia"/>
                <w:kern w:val="0"/>
                <w:sz w:val="24"/>
                <w:szCs w:val="24"/>
              </w:rPr>
              <w:t>8</w:t>
            </w:r>
          </w:p>
        </w:tc>
        <w:tc>
          <w:tcPr>
            <w:tcW w:w="1276" w:type="dxa"/>
            <w:vAlign w:val="center"/>
          </w:tcPr>
          <w:p w:rsidR="005B2E04" w:rsidRDefault="00E27EE8">
            <w:pPr>
              <w:jc w:val="center"/>
            </w:pPr>
            <w:r>
              <w:rPr>
                <w:rFonts w:eastAsiaTheme="minorEastAsia"/>
                <w:kern w:val="0"/>
                <w:sz w:val="24"/>
                <w:szCs w:val="24"/>
              </w:rPr>
              <w:t>002078</w:t>
            </w:r>
          </w:p>
        </w:tc>
        <w:tc>
          <w:tcPr>
            <w:tcW w:w="1701" w:type="dxa"/>
            <w:vAlign w:val="center"/>
          </w:tcPr>
          <w:p w:rsidR="005B2E04" w:rsidRDefault="00E27EE8">
            <w:pPr>
              <w:jc w:val="center"/>
            </w:pPr>
            <w:r>
              <w:rPr>
                <w:rFonts w:eastAsiaTheme="minorEastAsia"/>
                <w:kern w:val="0"/>
                <w:sz w:val="24"/>
                <w:szCs w:val="24"/>
              </w:rPr>
              <w:t>太阳纸业</w:t>
            </w:r>
          </w:p>
        </w:tc>
        <w:tc>
          <w:tcPr>
            <w:tcW w:w="1276" w:type="dxa"/>
            <w:vAlign w:val="center"/>
          </w:tcPr>
          <w:p w:rsidR="005B2E04" w:rsidRDefault="00E27EE8">
            <w:pPr>
              <w:jc w:val="right"/>
            </w:pPr>
            <w:r>
              <w:rPr>
                <w:rFonts w:eastAsiaTheme="minorEastAsia"/>
                <w:kern w:val="0"/>
                <w:sz w:val="24"/>
                <w:szCs w:val="24"/>
              </w:rPr>
              <w:t>11,200.00</w:t>
            </w:r>
          </w:p>
        </w:tc>
        <w:tc>
          <w:tcPr>
            <w:tcW w:w="1842" w:type="dxa"/>
            <w:vAlign w:val="center"/>
          </w:tcPr>
          <w:p w:rsidR="005B2E04" w:rsidRDefault="00E27EE8">
            <w:pPr>
              <w:jc w:val="right"/>
            </w:pPr>
            <w:r>
              <w:rPr>
                <w:rFonts w:eastAsiaTheme="minorEastAsia"/>
                <w:kern w:val="0"/>
                <w:sz w:val="24"/>
                <w:szCs w:val="24"/>
              </w:rPr>
              <w:t>156,240.00</w:t>
            </w:r>
          </w:p>
        </w:tc>
        <w:tc>
          <w:tcPr>
            <w:tcW w:w="1616" w:type="dxa"/>
            <w:vAlign w:val="center"/>
          </w:tcPr>
          <w:p w:rsidR="005B2E04" w:rsidRDefault="00E27EE8">
            <w:pPr>
              <w:jc w:val="right"/>
            </w:pPr>
            <w:r>
              <w:rPr>
                <w:rFonts w:eastAsiaTheme="minorEastAsia"/>
                <w:kern w:val="0"/>
                <w:sz w:val="24"/>
                <w:szCs w:val="24"/>
              </w:rPr>
              <w:t>0.98</w:t>
            </w:r>
          </w:p>
        </w:tc>
      </w:tr>
      <w:tr w:rsidR="005B2E04">
        <w:tc>
          <w:tcPr>
            <w:tcW w:w="817" w:type="dxa"/>
            <w:vAlign w:val="center"/>
          </w:tcPr>
          <w:p w:rsidR="005B2E04" w:rsidRDefault="00E27EE8">
            <w:pPr>
              <w:jc w:val="center"/>
            </w:pPr>
            <w:r>
              <w:rPr>
                <w:rFonts w:eastAsiaTheme="minorEastAsia"/>
                <w:kern w:val="0"/>
                <w:sz w:val="24"/>
                <w:szCs w:val="24"/>
              </w:rPr>
              <w:lastRenderedPageBreak/>
              <w:t>9</w:t>
            </w:r>
          </w:p>
        </w:tc>
        <w:tc>
          <w:tcPr>
            <w:tcW w:w="1276" w:type="dxa"/>
            <w:vAlign w:val="center"/>
          </w:tcPr>
          <w:p w:rsidR="005B2E04" w:rsidRDefault="00E27EE8">
            <w:pPr>
              <w:jc w:val="center"/>
            </w:pPr>
            <w:r>
              <w:rPr>
                <w:rFonts w:eastAsiaTheme="minorEastAsia"/>
                <w:kern w:val="0"/>
                <w:sz w:val="24"/>
                <w:szCs w:val="24"/>
              </w:rPr>
              <w:t>600497</w:t>
            </w:r>
          </w:p>
        </w:tc>
        <w:tc>
          <w:tcPr>
            <w:tcW w:w="1701" w:type="dxa"/>
            <w:vAlign w:val="center"/>
          </w:tcPr>
          <w:p w:rsidR="005B2E04" w:rsidRDefault="00E27EE8">
            <w:pPr>
              <w:jc w:val="center"/>
            </w:pPr>
            <w:r>
              <w:rPr>
                <w:rFonts w:eastAsiaTheme="minorEastAsia"/>
                <w:kern w:val="0"/>
                <w:sz w:val="24"/>
                <w:szCs w:val="24"/>
              </w:rPr>
              <w:t>驰宏锌锗</w:t>
            </w:r>
          </w:p>
        </w:tc>
        <w:tc>
          <w:tcPr>
            <w:tcW w:w="1276" w:type="dxa"/>
            <w:vAlign w:val="center"/>
          </w:tcPr>
          <w:p w:rsidR="005B2E04" w:rsidRDefault="00E27EE8">
            <w:pPr>
              <w:jc w:val="right"/>
            </w:pPr>
            <w:r>
              <w:rPr>
                <w:rFonts w:eastAsiaTheme="minorEastAsia"/>
                <w:kern w:val="0"/>
                <w:sz w:val="24"/>
                <w:szCs w:val="24"/>
              </w:rPr>
              <w:t>27,950.00</w:t>
            </w:r>
          </w:p>
        </w:tc>
        <w:tc>
          <w:tcPr>
            <w:tcW w:w="1842" w:type="dxa"/>
            <w:vAlign w:val="center"/>
          </w:tcPr>
          <w:p w:rsidR="005B2E04" w:rsidRDefault="00E27EE8">
            <w:pPr>
              <w:jc w:val="right"/>
            </w:pPr>
            <w:r>
              <w:rPr>
                <w:rFonts w:eastAsiaTheme="minorEastAsia"/>
                <w:kern w:val="0"/>
                <w:sz w:val="24"/>
                <w:szCs w:val="24"/>
              </w:rPr>
              <w:t>149,253.00</w:t>
            </w:r>
          </w:p>
        </w:tc>
        <w:tc>
          <w:tcPr>
            <w:tcW w:w="1616" w:type="dxa"/>
            <w:vAlign w:val="center"/>
          </w:tcPr>
          <w:p w:rsidR="005B2E04" w:rsidRDefault="00E27EE8">
            <w:pPr>
              <w:jc w:val="right"/>
            </w:pPr>
            <w:r>
              <w:rPr>
                <w:rFonts w:eastAsiaTheme="minorEastAsia"/>
                <w:kern w:val="0"/>
                <w:sz w:val="24"/>
                <w:szCs w:val="24"/>
              </w:rPr>
              <w:t>0.94</w:t>
            </w:r>
          </w:p>
        </w:tc>
      </w:tr>
      <w:tr w:rsidR="005B2E04">
        <w:tc>
          <w:tcPr>
            <w:tcW w:w="817" w:type="dxa"/>
            <w:vAlign w:val="center"/>
          </w:tcPr>
          <w:p w:rsidR="005B2E04" w:rsidRDefault="00E27EE8">
            <w:pPr>
              <w:jc w:val="center"/>
            </w:pPr>
            <w:r>
              <w:rPr>
                <w:rFonts w:eastAsiaTheme="minorEastAsia"/>
                <w:kern w:val="0"/>
                <w:sz w:val="24"/>
                <w:szCs w:val="24"/>
              </w:rPr>
              <w:t>10</w:t>
            </w:r>
          </w:p>
        </w:tc>
        <w:tc>
          <w:tcPr>
            <w:tcW w:w="1276" w:type="dxa"/>
            <w:vAlign w:val="center"/>
          </w:tcPr>
          <w:p w:rsidR="005B2E04" w:rsidRDefault="00E27EE8">
            <w:pPr>
              <w:jc w:val="center"/>
            </w:pPr>
            <w:r>
              <w:rPr>
                <w:rFonts w:eastAsiaTheme="minorEastAsia"/>
                <w:kern w:val="0"/>
                <w:sz w:val="24"/>
                <w:szCs w:val="24"/>
              </w:rPr>
              <w:t>601058</w:t>
            </w:r>
          </w:p>
        </w:tc>
        <w:tc>
          <w:tcPr>
            <w:tcW w:w="1701" w:type="dxa"/>
            <w:vAlign w:val="center"/>
          </w:tcPr>
          <w:p w:rsidR="005B2E04" w:rsidRDefault="00E27EE8">
            <w:pPr>
              <w:jc w:val="center"/>
            </w:pPr>
            <w:r>
              <w:rPr>
                <w:rFonts w:eastAsiaTheme="minorEastAsia"/>
                <w:kern w:val="0"/>
                <w:sz w:val="24"/>
                <w:szCs w:val="24"/>
              </w:rPr>
              <w:t>赛轮轮胎</w:t>
            </w:r>
          </w:p>
        </w:tc>
        <w:tc>
          <w:tcPr>
            <w:tcW w:w="1276" w:type="dxa"/>
            <w:vAlign w:val="center"/>
          </w:tcPr>
          <w:p w:rsidR="005B2E04" w:rsidRDefault="00E27EE8">
            <w:pPr>
              <w:jc w:val="right"/>
            </w:pPr>
            <w:r>
              <w:rPr>
                <w:rFonts w:eastAsiaTheme="minorEastAsia"/>
                <w:kern w:val="0"/>
                <w:sz w:val="24"/>
                <w:szCs w:val="24"/>
              </w:rPr>
              <w:t>10,400.00</w:t>
            </w:r>
          </w:p>
        </w:tc>
        <w:tc>
          <w:tcPr>
            <w:tcW w:w="1842" w:type="dxa"/>
            <w:vAlign w:val="center"/>
          </w:tcPr>
          <w:p w:rsidR="005B2E04" w:rsidRDefault="00E27EE8">
            <w:pPr>
              <w:jc w:val="right"/>
            </w:pPr>
            <w:r>
              <w:rPr>
                <w:rFonts w:eastAsiaTheme="minorEastAsia"/>
                <w:kern w:val="0"/>
                <w:sz w:val="24"/>
                <w:szCs w:val="24"/>
              </w:rPr>
              <w:t>145,600.00</w:t>
            </w:r>
          </w:p>
        </w:tc>
        <w:tc>
          <w:tcPr>
            <w:tcW w:w="1616" w:type="dxa"/>
            <w:vAlign w:val="center"/>
          </w:tcPr>
          <w:p w:rsidR="005B2E04" w:rsidRDefault="00E27EE8">
            <w:pPr>
              <w:jc w:val="right"/>
            </w:pPr>
            <w:r>
              <w:rPr>
                <w:rFonts w:eastAsiaTheme="minorEastAsia"/>
                <w:kern w:val="0"/>
                <w:sz w:val="24"/>
                <w:szCs w:val="24"/>
              </w:rPr>
              <w:t>0.92</w:t>
            </w:r>
          </w:p>
        </w:tc>
      </w:tr>
      <w:bookmarkEnd w:id="0"/>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本基金投资的前十名证券的发行主体中，东吴证券股份有限公司本期被中国证监会立案调查。本基金对上述主体所发行证券的投资决策程序符合相关法律法规、基金合同及公司投资制度的要求。</w:t>
      </w:r>
    </w:p>
    <w:p w:rsidR="005B2E04" w:rsidRDefault="00E27EE8">
      <w:pPr>
        <w:spacing w:line="360" w:lineRule="auto"/>
        <w:rPr>
          <w:rFonts w:eastAsiaTheme="minorEastAsia"/>
          <w:color w:val="000000" w:themeColor="text1"/>
          <w:sz w:val="24"/>
          <w:szCs w:val="24"/>
        </w:rPr>
      </w:pPr>
      <w:r>
        <w:rPr>
          <w:rFonts w:eastAsiaTheme="minorEastAsia"/>
          <w:color w:val="000000" w:themeColor="text1"/>
          <w:sz w:val="24"/>
          <w:szCs w:val="24"/>
        </w:rPr>
        <w:t>除上述主体外，本基金投资的其余前十名证券的发行主体本期未出现被监管部门</w:t>
      </w:r>
      <w:r>
        <w:rPr>
          <w:rFonts w:eastAsiaTheme="minorEastAsia"/>
          <w:color w:val="000000" w:themeColor="text1"/>
          <w:sz w:val="24"/>
          <w:szCs w:val="24"/>
        </w:rPr>
        <w:lastRenderedPageBreak/>
        <w:t>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3,645.77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907.28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4,553.05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16,131,266.73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88,385.58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902,480.35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15,317,171.96</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256,634.52</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84,689.39</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171,945.13</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D06738" w:rsidRPr="00FF6B9A">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pStyle w:val="af0"/>
              <w:adjustRightInd w:val="0"/>
              <w:snapToGrid w:val="0"/>
              <w:spacing w:line="360" w:lineRule="exact"/>
              <w:jc w:val="center"/>
              <w:rPr>
                <w:color w:val="000000" w:themeColor="text1"/>
                <w:kern w:val="0"/>
                <w:sz w:val="21"/>
                <w:szCs w:val="21"/>
              </w:rPr>
            </w:pPr>
            <w:r w:rsidRPr="00FF6B9A">
              <w:rPr>
                <w:color w:val="000000" w:themeColor="text1"/>
                <w:kern w:val="0"/>
                <w:sz w:val="21"/>
                <w:szCs w:val="21"/>
              </w:rPr>
              <w:t>序号</w:t>
            </w:r>
          </w:p>
        </w:tc>
        <w:tc>
          <w:tcPr>
            <w:tcW w:w="1850"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center"/>
              <w:rPr>
                <w:color w:val="000000" w:themeColor="text1"/>
                <w:kern w:val="0"/>
              </w:rPr>
            </w:pPr>
            <w:r w:rsidRPr="00FF6B9A">
              <w:rPr>
                <w:color w:val="000000" w:themeColor="text1"/>
                <w:kern w:val="0"/>
              </w:rPr>
              <w:t>交易方式</w:t>
            </w:r>
          </w:p>
        </w:tc>
        <w:tc>
          <w:tcPr>
            <w:tcW w:w="136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center"/>
              <w:rPr>
                <w:color w:val="000000" w:themeColor="text1"/>
                <w:kern w:val="0"/>
              </w:rPr>
            </w:pPr>
            <w:r w:rsidRPr="00FF6B9A">
              <w:rPr>
                <w:color w:val="000000" w:themeColor="text1"/>
                <w:kern w:val="0"/>
              </w:rPr>
              <w:t>交易日期</w:t>
            </w:r>
          </w:p>
        </w:tc>
        <w:tc>
          <w:tcPr>
            <w:tcW w:w="1700"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center"/>
              <w:rPr>
                <w:color w:val="000000" w:themeColor="text1"/>
                <w:kern w:val="0"/>
              </w:rPr>
            </w:pPr>
            <w:r w:rsidRPr="00FF6B9A">
              <w:rPr>
                <w:color w:val="000000" w:themeColor="text1"/>
                <w:kern w:val="0"/>
              </w:rPr>
              <w:t>交易份额（份）</w:t>
            </w:r>
          </w:p>
        </w:tc>
        <w:tc>
          <w:tcPr>
            <w:tcW w:w="1841"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center"/>
              <w:rPr>
                <w:color w:val="000000" w:themeColor="text1"/>
                <w:kern w:val="0"/>
              </w:rPr>
            </w:pPr>
            <w:r w:rsidRPr="00FF6B9A">
              <w:rPr>
                <w:color w:val="000000" w:themeColor="text1"/>
                <w:kern w:val="0"/>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center"/>
              <w:rPr>
                <w:color w:val="000000" w:themeColor="text1"/>
                <w:kern w:val="0"/>
              </w:rPr>
            </w:pPr>
            <w:r w:rsidRPr="00FF6B9A">
              <w:rPr>
                <w:color w:val="000000" w:themeColor="text1"/>
                <w:kern w:val="0"/>
              </w:rPr>
              <w:t>适用费率</w:t>
            </w:r>
          </w:p>
        </w:tc>
      </w:tr>
      <w:tr w:rsidR="005B2E04">
        <w:trPr>
          <w:jc w:val="center"/>
        </w:trPr>
        <w:tc>
          <w:tcPr>
            <w:tcW w:w="1069" w:type="dxa"/>
            <w:vAlign w:val="center"/>
          </w:tcPr>
          <w:p w:rsidR="005B2E04" w:rsidRDefault="00E27EE8">
            <w:pPr>
              <w:jc w:val="center"/>
            </w:pPr>
            <w:r>
              <w:rPr>
                <w:rFonts w:eastAsiaTheme="minorEastAsia"/>
                <w:color w:val="000000" w:themeColor="text1"/>
              </w:rPr>
              <w:t>1</w:t>
            </w:r>
          </w:p>
        </w:tc>
        <w:tc>
          <w:tcPr>
            <w:tcW w:w="1850" w:type="dxa"/>
            <w:vAlign w:val="center"/>
          </w:tcPr>
          <w:p w:rsidR="005B2E04" w:rsidRDefault="00E27EE8">
            <w:pPr>
              <w:jc w:val="center"/>
            </w:pPr>
            <w:r>
              <w:rPr>
                <w:rFonts w:eastAsiaTheme="minorEastAsia"/>
                <w:color w:val="000000" w:themeColor="text1"/>
              </w:rPr>
              <w:t>赎回</w:t>
            </w:r>
          </w:p>
        </w:tc>
        <w:tc>
          <w:tcPr>
            <w:tcW w:w="1369" w:type="dxa"/>
            <w:vAlign w:val="center"/>
          </w:tcPr>
          <w:p w:rsidR="005B2E04" w:rsidRDefault="00E27EE8">
            <w:pPr>
              <w:jc w:val="center"/>
            </w:pPr>
            <w:r>
              <w:rPr>
                <w:rFonts w:eastAsiaTheme="minorEastAsia"/>
                <w:color w:val="000000" w:themeColor="text1"/>
              </w:rPr>
              <w:t>2024-04-23</w:t>
            </w:r>
          </w:p>
        </w:tc>
        <w:tc>
          <w:tcPr>
            <w:tcW w:w="1700" w:type="dxa"/>
            <w:vAlign w:val="center"/>
          </w:tcPr>
          <w:p w:rsidR="005B2E04" w:rsidRDefault="00E27EE8">
            <w:pPr>
              <w:jc w:val="right"/>
            </w:pPr>
            <w:r>
              <w:rPr>
                <w:rFonts w:eastAsiaTheme="minorEastAsia"/>
                <w:color w:val="000000" w:themeColor="text1"/>
              </w:rPr>
              <w:t>84,689.39</w:t>
            </w:r>
          </w:p>
        </w:tc>
        <w:tc>
          <w:tcPr>
            <w:tcW w:w="1841" w:type="dxa"/>
            <w:vAlign w:val="center"/>
          </w:tcPr>
          <w:p w:rsidR="005B2E04" w:rsidRDefault="00E27EE8">
            <w:pPr>
              <w:jc w:val="right"/>
            </w:pPr>
            <w:r>
              <w:rPr>
                <w:rFonts w:eastAsiaTheme="minorEastAsia"/>
                <w:color w:val="000000" w:themeColor="text1"/>
              </w:rPr>
              <w:t>-91,414.48</w:t>
            </w:r>
          </w:p>
        </w:tc>
        <w:tc>
          <w:tcPr>
            <w:tcW w:w="1396" w:type="dxa"/>
            <w:vAlign w:val="center"/>
          </w:tcPr>
          <w:p w:rsidR="005B2E04" w:rsidRDefault="00E27EE8">
            <w:pPr>
              <w:jc w:val="center"/>
            </w:pPr>
            <w:r>
              <w:rPr>
                <w:rFonts w:eastAsiaTheme="minorEastAsia"/>
                <w:color w:val="000000" w:themeColor="text1"/>
              </w:rPr>
              <w:t>0.35%</w:t>
            </w:r>
          </w:p>
        </w:tc>
      </w:tr>
      <w:tr w:rsidR="00D06738" w:rsidRPr="00FF6B9A">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pStyle w:val="af0"/>
              <w:adjustRightInd w:val="0"/>
              <w:snapToGrid w:val="0"/>
              <w:spacing w:line="360" w:lineRule="exact"/>
              <w:jc w:val="center"/>
              <w:rPr>
                <w:color w:val="000000" w:themeColor="text1"/>
                <w:kern w:val="0"/>
                <w:sz w:val="21"/>
                <w:szCs w:val="21"/>
              </w:rPr>
            </w:pPr>
            <w:r w:rsidRPr="00FF6B9A">
              <w:rPr>
                <w:color w:val="000000" w:themeColor="text1"/>
                <w:kern w:val="0"/>
                <w:sz w:val="21"/>
                <w:szCs w:val="21"/>
              </w:rPr>
              <w:t>合计</w:t>
            </w:r>
          </w:p>
        </w:tc>
        <w:tc>
          <w:tcPr>
            <w:tcW w:w="1850" w:type="dxa"/>
            <w:tcBorders>
              <w:top w:val="single" w:sz="4" w:space="0" w:color="auto"/>
              <w:left w:val="single" w:sz="4" w:space="0" w:color="auto"/>
              <w:bottom w:val="single" w:sz="4" w:space="0" w:color="auto"/>
              <w:right w:val="single" w:sz="4" w:space="0" w:color="auto"/>
            </w:tcBorders>
            <w:vAlign w:val="center"/>
          </w:tcPr>
          <w:p w:rsidR="00D06738" w:rsidRPr="00FF6B9A" w:rsidRDefault="00D06738">
            <w:pPr>
              <w:adjustRightInd w:val="0"/>
              <w:snapToGrid w:val="0"/>
              <w:spacing w:line="360" w:lineRule="exact"/>
              <w:jc w:val="right"/>
              <w:rPr>
                <w:color w:val="000000" w:themeColor="text1"/>
                <w:kern w:val="0"/>
              </w:rPr>
            </w:pPr>
          </w:p>
        </w:tc>
        <w:tc>
          <w:tcPr>
            <w:tcW w:w="1369" w:type="dxa"/>
            <w:tcBorders>
              <w:top w:val="single" w:sz="4" w:space="0" w:color="auto"/>
              <w:left w:val="single" w:sz="4" w:space="0" w:color="auto"/>
              <w:bottom w:val="single" w:sz="4" w:space="0" w:color="auto"/>
              <w:right w:val="single" w:sz="4" w:space="0" w:color="auto"/>
            </w:tcBorders>
            <w:vAlign w:val="center"/>
          </w:tcPr>
          <w:p w:rsidR="00D06738" w:rsidRPr="00FF6B9A" w:rsidRDefault="00D06738">
            <w:pPr>
              <w:adjustRightInd w:val="0"/>
              <w:snapToGrid w:val="0"/>
              <w:spacing w:line="360" w:lineRule="exact"/>
              <w:jc w:val="right"/>
              <w:rPr>
                <w:color w:val="000000" w:themeColor="text1"/>
                <w:kern w:val="0"/>
              </w:rPr>
            </w:pPr>
          </w:p>
        </w:tc>
        <w:tc>
          <w:tcPr>
            <w:tcW w:w="1700"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right"/>
              <w:rPr>
                <w:rFonts w:eastAsiaTheme="minorEastAsia"/>
                <w:color w:val="000000" w:themeColor="text1"/>
              </w:rPr>
            </w:pPr>
            <w:r w:rsidRPr="00FF6B9A">
              <w:rPr>
                <w:rFonts w:eastAsiaTheme="minorEastAsia"/>
                <w:color w:val="000000" w:themeColor="text1"/>
              </w:rPr>
              <w:t>84,689.39</w:t>
            </w:r>
          </w:p>
        </w:tc>
        <w:tc>
          <w:tcPr>
            <w:tcW w:w="1841"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napToGrid w:val="0"/>
              <w:spacing w:line="360" w:lineRule="exact"/>
              <w:jc w:val="right"/>
              <w:rPr>
                <w:rFonts w:eastAsiaTheme="minorEastAsia"/>
                <w:color w:val="000000" w:themeColor="text1"/>
              </w:rPr>
            </w:pPr>
            <w:r w:rsidRPr="00FF6B9A">
              <w:rPr>
                <w:rFonts w:eastAsiaTheme="minorEastAsia"/>
                <w:color w:val="000000" w:themeColor="text1"/>
              </w:rPr>
              <w:t>-91,414.48</w:t>
            </w:r>
          </w:p>
        </w:tc>
        <w:tc>
          <w:tcPr>
            <w:tcW w:w="1396" w:type="dxa"/>
            <w:tcBorders>
              <w:top w:val="single" w:sz="4" w:space="0" w:color="auto"/>
              <w:left w:val="single" w:sz="4" w:space="0" w:color="auto"/>
              <w:bottom w:val="single" w:sz="4" w:space="0" w:color="auto"/>
              <w:right w:val="single" w:sz="4" w:space="0" w:color="auto"/>
            </w:tcBorders>
            <w:vAlign w:val="center"/>
          </w:tcPr>
          <w:p w:rsidR="00D06738" w:rsidRPr="00FF6B9A" w:rsidRDefault="00D06738">
            <w:pPr>
              <w:adjustRightInd w:val="0"/>
              <w:snapToGrid w:val="0"/>
              <w:spacing w:line="360" w:lineRule="exact"/>
              <w:jc w:val="right"/>
              <w:rPr>
                <w:color w:val="000000" w:themeColor="text1"/>
                <w:kern w:val="0"/>
              </w:rPr>
            </w:pP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注：基金管理人运用固有资金投资本基金相关的费用符合基金招募说明书和相关公告的规定。</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、中国证监会准予本基金募集注册的文件</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、《摩根量化多因子灵活配置混合型证券投资基金基金合同》</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、《摩根量化多因子灵活配置混合型证券投资基金托管协议》</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5B2E04" w:rsidRDefault="00E27EE8">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bookmarkStart w:id="1" w:name="_GoBack"/>
      <w:bookmarkEnd w:id="1"/>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二〇二四年七月十九日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27EE8" w:rsidRPr="00E27EE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27EE8">
      <w:rPr>
        <w:rStyle w:val="aff"/>
        <w:noProof/>
      </w:rPr>
      <w:t>10</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摩根量化多因子灵活配置混合型证券投资基金</w:t>
    </w:r>
    <w:r>
      <w:rPr>
        <w:rFonts w:hint="eastAsia"/>
      </w:rPr>
      <w:t>2024</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04"/>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27EE8"/>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7289F-C5E7-481C-9D64-B45775C0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270</cp:revision>
  <dcterms:created xsi:type="dcterms:W3CDTF">2012-10-16T06:07:00Z</dcterms:created>
  <dcterms:modified xsi:type="dcterms:W3CDTF">2024-07-18T06:45:00Z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