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bookmarkStart w:id="0" w:name="_GoBack"/>
      <w:bookmarkEnd w:id="0"/>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上投摩根丰瑞债券型证券投资基金</w:t>
      </w: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2021</w:t>
      </w:r>
      <w:r w:rsidRPr="00B27A29">
        <w:rPr>
          <w:rFonts w:eastAsiaTheme="minorEastAsia"/>
          <w:b/>
          <w:color w:val="000000" w:themeColor="text1"/>
          <w:sz w:val="36"/>
          <w:szCs w:val="36"/>
        </w:rPr>
        <w:t>年第</w:t>
      </w:r>
      <w:r w:rsidRPr="00B27A29">
        <w:rPr>
          <w:rFonts w:eastAsiaTheme="minorEastAsia"/>
          <w:b/>
          <w:color w:val="000000" w:themeColor="text1"/>
          <w:sz w:val="36"/>
          <w:szCs w:val="36"/>
        </w:rPr>
        <w:t>2</w:t>
      </w:r>
      <w:r w:rsidRPr="00B27A29">
        <w:rPr>
          <w:rFonts w:eastAsiaTheme="minorEastAsia"/>
          <w:b/>
          <w:color w:val="000000" w:themeColor="text1"/>
          <w:sz w:val="36"/>
          <w:szCs w:val="36"/>
        </w:rPr>
        <w:t>季度报告</w:t>
      </w:r>
    </w:p>
    <w:p w:rsidR="005E6DF3" w:rsidRPr="00B27A29" w:rsidRDefault="005C671B">
      <w:pPr>
        <w:spacing w:line="360" w:lineRule="auto"/>
        <w:jc w:val="center"/>
        <w:rPr>
          <w:rFonts w:eastAsiaTheme="minorEastAsia"/>
          <w:b/>
          <w:color w:val="000000" w:themeColor="text1"/>
          <w:szCs w:val="21"/>
        </w:rPr>
      </w:pPr>
      <w:r w:rsidRPr="00B27A29">
        <w:rPr>
          <w:rFonts w:eastAsiaTheme="minorEastAsia"/>
          <w:b/>
          <w:color w:val="000000" w:themeColor="text1"/>
          <w:sz w:val="36"/>
          <w:szCs w:val="36"/>
        </w:rPr>
        <w:t>2021</w:t>
      </w:r>
      <w:r w:rsidRPr="00B27A29">
        <w:rPr>
          <w:rFonts w:eastAsiaTheme="minorEastAsia"/>
          <w:b/>
          <w:color w:val="000000" w:themeColor="text1"/>
          <w:sz w:val="36"/>
          <w:szCs w:val="36"/>
        </w:rPr>
        <w:t>年</w:t>
      </w:r>
      <w:r w:rsidRPr="00B27A29">
        <w:rPr>
          <w:rFonts w:eastAsiaTheme="minorEastAsia"/>
          <w:b/>
          <w:color w:val="000000" w:themeColor="text1"/>
          <w:sz w:val="36"/>
          <w:szCs w:val="36"/>
        </w:rPr>
        <w:t>6</w:t>
      </w:r>
      <w:r w:rsidRPr="00B27A29">
        <w:rPr>
          <w:rFonts w:eastAsiaTheme="minorEastAsia"/>
          <w:b/>
          <w:color w:val="000000" w:themeColor="text1"/>
          <w:sz w:val="36"/>
          <w:szCs w:val="36"/>
        </w:rPr>
        <w:t>月</w:t>
      </w:r>
      <w:r w:rsidRPr="00B27A29">
        <w:rPr>
          <w:rFonts w:eastAsiaTheme="minorEastAsia"/>
          <w:b/>
          <w:color w:val="000000" w:themeColor="text1"/>
          <w:sz w:val="36"/>
          <w:szCs w:val="36"/>
        </w:rPr>
        <w:t>30</w:t>
      </w:r>
      <w:r w:rsidRPr="00B27A29">
        <w:rPr>
          <w:rFonts w:eastAsiaTheme="minorEastAsia"/>
          <w:b/>
          <w:color w:val="000000" w:themeColor="text1"/>
          <w:sz w:val="36"/>
          <w:szCs w:val="36"/>
        </w:rPr>
        <w:t>日</w:t>
      </w: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rPr>
          <w:rFonts w:eastAsiaTheme="minorEastAsia"/>
          <w:b/>
          <w:color w:val="000000" w:themeColor="text1"/>
          <w:szCs w:val="21"/>
        </w:rPr>
      </w:pP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基金管理人：上投摩根基金管理有限公司</w:t>
      </w: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基金托管人：交通银行股份有限公司</w:t>
      </w:r>
    </w:p>
    <w:p w:rsidR="005E6DF3" w:rsidRPr="00B27A29" w:rsidRDefault="005C671B">
      <w:pPr>
        <w:spacing w:line="360" w:lineRule="auto"/>
        <w:ind w:firstLineChars="900" w:firstLine="2168"/>
        <w:rPr>
          <w:rFonts w:eastAsiaTheme="minorEastAsia"/>
          <w:color w:val="000000" w:themeColor="text1"/>
          <w:szCs w:val="21"/>
        </w:rPr>
        <w:sectPr w:rsidR="005E6DF3" w:rsidRPr="00B27A29">
          <w:headerReference w:type="default" r:id="rId8"/>
          <w:footerReference w:type="default" r:id="rId9"/>
          <w:pgSz w:w="11926" w:h="15840"/>
          <w:pgMar w:top="1418" w:right="1418" w:bottom="851" w:left="1418" w:header="851" w:footer="992" w:gutter="0"/>
          <w:cols w:space="720"/>
        </w:sectPr>
      </w:pPr>
      <w:r w:rsidRPr="00B27A29">
        <w:rPr>
          <w:rFonts w:eastAsiaTheme="minorEastAsia"/>
          <w:b/>
          <w:color w:val="000000" w:themeColor="text1"/>
          <w:sz w:val="24"/>
        </w:rPr>
        <w:t>报告送出日期：二〇二一年七月二十一日</w:t>
      </w:r>
    </w:p>
    <w:p w:rsidR="005E6DF3" w:rsidRPr="00B27A29" w:rsidRDefault="005C671B">
      <w:pPr>
        <w:pStyle w:val="1"/>
        <w:spacing w:beforeLines="100" w:before="312" w:afterLines="100" w:after="312" w:line="360" w:lineRule="auto"/>
        <w:jc w:val="center"/>
        <w:rPr>
          <w:rFonts w:eastAsiaTheme="minorEastAsia"/>
          <w:b w:val="0"/>
          <w:color w:val="000000" w:themeColor="text1"/>
          <w:kern w:val="0"/>
          <w:sz w:val="21"/>
          <w:szCs w:val="21"/>
        </w:rPr>
      </w:pPr>
      <w:r w:rsidRPr="00B27A29">
        <w:rPr>
          <w:rFonts w:eastAsiaTheme="minorEastAsia"/>
          <w:color w:val="000000" w:themeColor="text1"/>
          <w:kern w:val="0"/>
          <w:sz w:val="21"/>
          <w:szCs w:val="21"/>
        </w:rPr>
        <w:lastRenderedPageBreak/>
        <w:t xml:space="preserve">§1  </w:t>
      </w:r>
      <w:r w:rsidRPr="00B27A29">
        <w:rPr>
          <w:rFonts w:eastAsiaTheme="minorEastAsia"/>
          <w:color w:val="000000" w:themeColor="text1"/>
          <w:kern w:val="0"/>
          <w:sz w:val="21"/>
          <w:szCs w:val="21"/>
        </w:rPr>
        <w:t>重要提示</w:t>
      </w:r>
    </w:p>
    <w:p w:rsidR="00CF1B44" w:rsidRDefault="00122F46">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szCs w:val="21"/>
        </w:rPr>
        <w:t xml:space="preserve"> </w:t>
      </w:r>
    </w:p>
    <w:p w:rsidR="00CF1B44" w:rsidRDefault="00122F46">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基金托管人交通银行股份有限公司根据本基金合同规定，于</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w:t>
      </w:r>
      <w:r>
        <w:rPr>
          <w:rFonts w:eastAsiaTheme="minorEastAsia"/>
          <w:color w:val="000000" w:themeColor="text1"/>
          <w:szCs w:val="21"/>
        </w:rPr>
        <w:t>20</w:t>
      </w:r>
      <w:r>
        <w:rPr>
          <w:rFonts w:eastAsiaTheme="minorEastAsia"/>
          <w:color w:val="000000" w:themeColor="text1"/>
          <w:szCs w:val="21"/>
        </w:rPr>
        <w:t>日复核了本报告中的财务指标、净值表现和投资组合报告等内容，保证复核内容不存在虚假记载、误导性陈述或者重大遗漏。</w:t>
      </w:r>
      <w:r>
        <w:rPr>
          <w:rFonts w:eastAsiaTheme="minorEastAsia"/>
          <w:color w:val="000000" w:themeColor="text1"/>
          <w:szCs w:val="21"/>
        </w:rPr>
        <w:t xml:space="preserve"> </w:t>
      </w:r>
    </w:p>
    <w:p w:rsidR="00CF1B44" w:rsidRDefault="00122F46">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CF1B44" w:rsidRDefault="00122F46">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w:t>
      </w:r>
      <w:r>
        <w:rPr>
          <w:rFonts w:eastAsiaTheme="minorEastAsia"/>
          <w:color w:val="000000" w:themeColor="text1"/>
          <w:szCs w:val="21"/>
        </w:rPr>
        <w:t xml:space="preserve"> </w:t>
      </w:r>
    </w:p>
    <w:p w:rsidR="00CF1B44" w:rsidRDefault="00122F46">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本报告中财务资料未经审计。</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本报告期自</w:t>
      </w:r>
      <w:r w:rsidRPr="00B27A29">
        <w:rPr>
          <w:rFonts w:eastAsiaTheme="minorEastAsia"/>
          <w:color w:val="000000" w:themeColor="text1"/>
          <w:szCs w:val="21"/>
        </w:rPr>
        <w:t>2021</w:t>
      </w:r>
      <w:r w:rsidRPr="00B27A29">
        <w:rPr>
          <w:rFonts w:eastAsiaTheme="minorEastAsia"/>
          <w:color w:val="000000" w:themeColor="text1"/>
          <w:szCs w:val="21"/>
        </w:rPr>
        <w:t>年</w:t>
      </w:r>
      <w:r w:rsidRPr="00B27A29">
        <w:rPr>
          <w:rFonts w:eastAsiaTheme="minorEastAsia"/>
          <w:color w:val="000000" w:themeColor="text1"/>
          <w:szCs w:val="21"/>
        </w:rPr>
        <w:t>4</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日起至</w:t>
      </w:r>
      <w:r w:rsidRPr="00B27A29">
        <w:rPr>
          <w:rFonts w:eastAsiaTheme="minorEastAsia"/>
          <w:color w:val="000000" w:themeColor="text1"/>
          <w:szCs w:val="21"/>
        </w:rPr>
        <w:t>6</w:t>
      </w:r>
      <w:r w:rsidRPr="00B27A29">
        <w:rPr>
          <w:rFonts w:eastAsiaTheme="minorEastAsia"/>
          <w:color w:val="000000" w:themeColor="text1"/>
          <w:szCs w:val="21"/>
        </w:rPr>
        <w:t>月</w:t>
      </w:r>
      <w:r w:rsidRPr="00B27A29">
        <w:rPr>
          <w:rFonts w:eastAsiaTheme="minorEastAsia"/>
          <w:color w:val="000000" w:themeColor="text1"/>
          <w:szCs w:val="21"/>
        </w:rPr>
        <w:t>30</w:t>
      </w:r>
      <w:r w:rsidRPr="00B27A29">
        <w:rPr>
          <w:rFonts w:eastAsiaTheme="minorEastAsia"/>
          <w:color w:val="000000" w:themeColor="text1"/>
          <w:szCs w:val="21"/>
        </w:rPr>
        <w:t>日止。</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§2  </w:t>
      </w:r>
      <w:r w:rsidRPr="00B27A29">
        <w:rPr>
          <w:rFonts w:eastAsiaTheme="minorEastAsia"/>
          <w:color w:val="000000" w:themeColor="text1"/>
          <w:kern w:val="0"/>
          <w:sz w:val="21"/>
          <w:szCs w:val="21"/>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739"/>
        <w:gridCol w:w="2740"/>
      </w:tblGrid>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基金简称</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上投摩根丰瑞债券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基金主代码</w:t>
            </w:r>
          </w:p>
        </w:tc>
        <w:tc>
          <w:tcPr>
            <w:tcW w:w="5479" w:type="dxa"/>
            <w:gridSpan w:val="2"/>
            <w:tcBorders>
              <w:bottom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005366</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基金运作方式</w:t>
            </w:r>
          </w:p>
        </w:tc>
        <w:tc>
          <w:tcPr>
            <w:tcW w:w="5479" w:type="dxa"/>
            <w:gridSpan w:val="2"/>
            <w:tcBorders>
              <w:top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契约型开放式</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基金合同生效日</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2017</w:t>
            </w:r>
            <w:r w:rsidRPr="00B27A29">
              <w:rPr>
                <w:rFonts w:eastAsiaTheme="minorEastAsia"/>
                <w:color w:val="000000" w:themeColor="text1"/>
                <w:kern w:val="0"/>
                <w:szCs w:val="21"/>
              </w:rPr>
              <w:t>年</w:t>
            </w:r>
            <w:r w:rsidRPr="00B27A29">
              <w:rPr>
                <w:rFonts w:eastAsiaTheme="minorEastAsia"/>
                <w:color w:val="000000" w:themeColor="text1"/>
                <w:kern w:val="0"/>
                <w:szCs w:val="21"/>
              </w:rPr>
              <w:t>11</w:t>
            </w:r>
            <w:r w:rsidRPr="00B27A29">
              <w:rPr>
                <w:rFonts w:eastAsiaTheme="minorEastAsia"/>
                <w:color w:val="000000" w:themeColor="text1"/>
                <w:kern w:val="0"/>
                <w:szCs w:val="21"/>
              </w:rPr>
              <w:t>月</w:t>
            </w:r>
            <w:r w:rsidRPr="00B27A29">
              <w:rPr>
                <w:rFonts w:eastAsiaTheme="minorEastAsia"/>
                <w:color w:val="000000" w:themeColor="text1"/>
                <w:kern w:val="0"/>
                <w:szCs w:val="21"/>
              </w:rPr>
              <w:t>27</w:t>
            </w:r>
            <w:r w:rsidRPr="00B27A29">
              <w:rPr>
                <w:rFonts w:eastAsiaTheme="minorEastAsia"/>
                <w:color w:val="000000" w:themeColor="text1"/>
                <w:kern w:val="0"/>
                <w:szCs w:val="21"/>
              </w:rPr>
              <w:t>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报告期末基金份额总额</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1,246,713,534.07</w:t>
            </w:r>
            <w:r w:rsidRPr="00B27A29">
              <w:rPr>
                <w:rFonts w:eastAsiaTheme="minorEastAsia"/>
                <w:color w:val="000000" w:themeColor="text1"/>
                <w:kern w:val="0"/>
                <w:szCs w:val="21"/>
              </w:rPr>
              <w:t>份</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投资目标</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在合理充分的定量分析及定性研究基础上，在风险可控的原则下，通过参与债券类资产的投资运作，力争获取超越基准的稳健回报。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投资策略</w:t>
            </w:r>
          </w:p>
        </w:tc>
        <w:tc>
          <w:tcPr>
            <w:tcW w:w="5479" w:type="dxa"/>
            <w:gridSpan w:val="2"/>
            <w:vAlign w:val="center"/>
          </w:tcPr>
          <w:p w:rsidR="00CF1B44" w:rsidRDefault="00122F46">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1</w:t>
            </w:r>
            <w:r>
              <w:rPr>
                <w:rFonts w:eastAsiaTheme="minorEastAsia"/>
                <w:color w:val="000000" w:themeColor="text1"/>
                <w:kern w:val="0"/>
                <w:szCs w:val="21"/>
              </w:rPr>
              <w:t>、债券类属配置策略</w:t>
            </w:r>
          </w:p>
          <w:p w:rsidR="00CF1B44" w:rsidRDefault="00122F46">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对不同类型固定收益品种的信用风险、税赋水平、市场流动性、市场风险等因素进行分析，研究同期限的国债、金融债、企业债、交易所和银行间市场投资品种的利差和变化趋势，评估不同债券板块之间的相对投资价值，确定债券类属配置策略，并根据市场变化及时进行调</w:t>
            </w:r>
            <w:r>
              <w:rPr>
                <w:rFonts w:eastAsiaTheme="minorEastAsia"/>
                <w:color w:val="000000" w:themeColor="text1"/>
                <w:kern w:val="0"/>
                <w:szCs w:val="21"/>
              </w:rPr>
              <w:lastRenderedPageBreak/>
              <w:t>整。</w:t>
            </w:r>
          </w:p>
          <w:p w:rsidR="00CF1B44" w:rsidRDefault="00122F46">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2</w:t>
            </w:r>
            <w:r>
              <w:rPr>
                <w:rFonts w:eastAsiaTheme="minorEastAsia"/>
                <w:color w:val="000000" w:themeColor="text1"/>
                <w:kern w:val="0"/>
                <w:szCs w:val="21"/>
              </w:rPr>
              <w:t>、久期管理策略</w:t>
            </w:r>
          </w:p>
          <w:p w:rsidR="00CF1B44" w:rsidRDefault="00122F46">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基于对市场利率的变化趋势的预判，相应的调整债券组合的久期。本基金通过对影响债券投资的宏观经济变量和宏观经济政策等因素的综合分析，预测未来的市场利率的变动趋势，判断债券市场对上述因素及其变化的反应，并据此积极调整债券组合的久期。</w:t>
            </w:r>
          </w:p>
          <w:p w:rsidR="00CF1B44" w:rsidRDefault="00122F46">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3</w:t>
            </w:r>
            <w:r>
              <w:rPr>
                <w:rFonts w:eastAsiaTheme="minorEastAsia"/>
                <w:color w:val="000000" w:themeColor="text1"/>
                <w:kern w:val="0"/>
                <w:szCs w:val="21"/>
              </w:rPr>
              <w:t>、收益率曲线策略</w:t>
            </w:r>
          </w:p>
          <w:p w:rsidR="00CF1B44" w:rsidRDefault="00122F46">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资产组合中的长、中、短期债券主要根据收益率曲线形状的变化进行合理配置。本基金在确定固定收益资产组合平均久期的基础上，将结合收益率曲线变化的预测，适时采用跟踪收益率曲线的骑乘策略或者基于收益率曲线变化的子弹、杠铃及梯形策略构造组合，并进行动态调整。</w:t>
            </w:r>
          </w:p>
          <w:p w:rsidR="00CF1B44" w:rsidRDefault="00122F46">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4</w:t>
            </w:r>
            <w:r>
              <w:rPr>
                <w:rFonts w:eastAsiaTheme="minorEastAsia"/>
                <w:color w:val="000000" w:themeColor="text1"/>
                <w:kern w:val="0"/>
                <w:szCs w:val="21"/>
              </w:rPr>
              <w:t>、信用策略</w:t>
            </w:r>
          </w:p>
          <w:p w:rsidR="00CF1B44" w:rsidRDefault="00122F46">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深入挖掘信用债的投资价值，在承担适度风险的前提下追求较高收益。本基金将利用内部信用评级体系对债券发行人及其发行的债券进行信用评估，并结合外部评级机构的信用评级，分析违约风险以及合理信用利差水平，判断债券的投资价值，谨慎选择债券发行人基本面良好、债券条款优惠的信用债进行投资。</w:t>
            </w:r>
          </w:p>
          <w:p w:rsidR="00CF1B44" w:rsidRDefault="00122F46">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5</w:t>
            </w:r>
            <w:r>
              <w:rPr>
                <w:rFonts w:eastAsiaTheme="minorEastAsia"/>
                <w:color w:val="000000" w:themeColor="text1"/>
                <w:kern w:val="0"/>
                <w:szCs w:val="21"/>
              </w:rPr>
              <w:t>、回购策略</w:t>
            </w:r>
          </w:p>
          <w:p w:rsidR="00CF1B44" w:rsidRDefault="00122F46">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通过对回购利率和现券收益率以及其他投资品种收益率的比较，通过回购融入短期资金滚动操作，投资于收益率高于回购成本的债券以及其他获利机会，从而获得杠杆放大收益，并根据市场利率水平以及对利率期限结构的</w:t>
            </w:r>
            <w:r>
              <w:rPr>
                <w:rFonts w:eastAsiaTheme="minorEastAsia"/>
                <w:color w:val="000000" w:themeColor="text1"/>
                <w:kern w:val="0"/>
                <w:szCs w:val="21"/>
              </w:rPr>
              <w:t>预期等，对回购放大的杠杆比例适时进行调整。</w:t>
            </w:r>
          </w:p>
          <w:p w:rsidR="00CF1B44" w:rsidRDefault="00122F46">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6</w:t>
            </w:r>
            <w:r>
              <w:rPr>
                <w:rFonts w:eastAsiaTheme="minorEastAsia"/>
                <w:color w:val="000000" w:themeColor="text1"/>
                <w:kern w:val="0"/>
                <w:szCs w:val="21"/>
              </w:rPr>
              <w:t>、中小企业私募债券投资策略</w:t>
            </w:r>
          </w:p>
          <w:p w:rsidR="00CF1B44" w:rsidRDefault="00122F46">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基金投资中小企业私募债券，基金管理人将根据审慎原</w:t>
            </w:r>
            <w:r>
              <w:rPr>
                <w:rFonts w:eastAsiaTheme="minorEastAsia"/>
                <w:color w:val="000000" w:themeColor="text1"/>
                <w:kern w:val="0"/>
                <w:szCs w:val="21"/>
              </w:rPr>
              <w:lastRenderedPageBreak/>
              <w:t>则，制定严格的投资决策流程、风险控制制度和信用风险、流动性风险处置预案，其中，投资决策流程和风险控制制度需经董事会批准，以防范信用风险、流动性风险等各种风险。</w:t>
            </w:r>
          </w:p>
          <w:p w:rsidR="00CF1B44" w:rsidRDefault="00122F46">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7</w:t>
            </w:r>
            <w:r>
              <w:rPr>
                <w:rFonts w:eastAsiaTheme="minorEastAsia"/>
                <w:color w:val="000000" w:themeColor="text1"/>
                <w:kern w:val="0"/>
                <w:szCs w:val="21"/>
              </w:rPr>
              <w:t>、资产支持证券投资策略</w:t>
            </w:r>
            <w:r>
              <w:rPr>
                <w:rFonts w:eastAsiaTheme="minorEastAsia"/>
                <w:color w:val="000000" w:themeColor="text1"/>
                <w:kern w:val="0"/>
                <w:szCs w:val="21"/>
              </w:rPr>
              <w:t xml:space="preserve"> </w:t>
            </w:r>
          </w:p>
          <w:p w:rsidR="00CF1B44" w:rsidRDefault="00122F46">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在严格控制组合投资风险的前提下投资于资产支持证券。本基金综合考虑市场利率、发行条款、支持资产的构成及质量等因素，主要从资产池信用状况、违约相关性、历史违约记录和损失比例、证券的信用增强方式、利差</w:t>
            </w:r>
            <w:r>
              <w:rPr>
                <w:rFonts w:eastAsiaTheme="minorEastAsia"/>
                <w:color w:val="000000" w:themeColor="text1"/>
                <w:kern w:val="0"/>
                <w:szCs w:val="21"/>
              </w:rPr>
              <w:t>补偿程度等方面对资产支持证券的风险与收益状况进行评估，在严格控制风险的情况下，确定资产合理配置比例，在保证资产安全性的前提条件下，以期获得长期稳定收益。</w:t>
            </w:r>
          </w:p>
          <w:p w:rsidR="00CF1B44" w:rsidRDefault="00122F46">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8</w:t>
            </w:r>
            <w:r>
              <w:rPr>
                <w:rFonts w:eastAsiaTheme="minorEastAsia"/>
                <w:color w:val="000000" w:themeColor="text1"/>
                <w:kern w:val="0"/>
                <w:szCs w:val="21"/>
              </w:rPr>
              <w:t>、证券公司短期公司债券投资策略</w:t>
            </w:r>
          </w:p>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本基金投资证券公司短期公司债券，将主要从自上而下判断景气周期和自下而上精选标的两个角度出发，结合信用分析和信用评估进行，同时通过有纪律的风险监控实现对投资组合风险的有效管理。</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lastRenderedPageBreak/>
              <w:t>业绩比较基准</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中证综合债券指数收益率</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风险收益特征</w:t>
            </w:r>
          </w:p>
        </w:tc>
        <w:tc>
          <w:tcPr>
            <w:tcW w:w="5479" w:type="dxa"/>
            <w:gridSpan w:val="2"/>
            <w:vAlign w:val="center"/>
          </w:tcPr>
          <w:p w:rsidR="00CF1B44" w:rsidRDefault="00122F46">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本基金为债券型基金，属于证券投资基金中的较低风险品种，预期风险和预期收益高于货币市场基金，低于混合型基金和股票型基金。</w:t>
            </w:r>
          </w:p>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根据</w:t>
            </w:r>
            <w:r w:rsidRPr="00B27A29">
              <w:rPr>
                <w:rFonts w:eastAsiaTheme="minorEastAsia"/>
                <w:color w:val="000000" w:themeColor="text1"/>
                <w:kern w:val="0"/>
                <w:szCs w:val="21"/>
              </w:rPr>
              <w:t>2017</w:t>
            </w:r>
            <w:r w:rsidRPr="00B27A29">
              <w:rPr>
                <w:rFonts w:eastAsiaTheme="minorEastAsia"/>
                <w:color w:val="000000" w:themeColor="text1"/>
                <w:kern w:val="0"/>
                <w:szCs w:val="21"/>
              </w:rPr>
              <w:t>年</w:t>
            </w:r>
            <w:r w:rsidRPr="00B27A29">
              <w:rPr>
                <w:rFonts w:eastAsiaTheme="minorEastAsia"/>
                <w:color w:val="000000" w:themeColor="text1"/>
                <w:kern w:val="0"/>
                <w:szCs w:val="21"/>
              </w:rPr>
              <w:t>7</w:t>
            </w:r>
            <w:r w:rsidRPr="00B27A29">
              <w:rPr>
                <w:rFonts w:eastAsiaTheme="minorEastAsia"/>
                <w:color w:val="000000" w:themeColor="text1"/>
                <w:kern w:val="0"/>
                <w:szCs w:val="21"/>
              </w:rPr>
              <w:t>月</w:t>
            </w:r>
            <w:r w:rsidRPr="00B27A29">
              <w:rPr>
                <w:rFonts w:eastAsiaTheme="minorEastAsia"/>
                <w:color w:val="000000" w:themeColor="text1"/>
                <w:kern w:val="0"/>
                <w:szCs w:val="21"/>
              </w:rPr>
              <w:t>1</w:t>
            </w:r>
            <w:r w:rsidRPr="00B27A29">
              <w:rPr>
                <w:rFonts w:eastAsiaTheme="minorEastAsia"/>
                <w:color w:val="000000" w:themeColor="text1"/>
                <w:kern w:val="0"/>
                <w:szCs w:val="21"/>
              </w:rPr>
              <w:t>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基金管理人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上投摩根基金管理有限公司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lastRenderedPageBreak/>
              <w:t>基金托管人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交通银行股份有限公司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szCs w:val="21"/>
              </w:rPr>
              <w:t>下属分级基金的基金简称</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上投摩根丰瑞债券</w:t>
            </w:r>
            <w:r w:rsidRPr="00B27A29">
              <w:rPr>
                <w:rFonts w:eastAsiaTheme="minorEastAsia"/>
                <w:color w:val="000000" w:themeColor="text1"/>
                <w:szCs w:val="21"/>
              </w:rPr>
              <w:t>A</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上投摩根丰瑞债券</w:t>
            </w:r>
            <w:r w:rsidRPr="00B27A29">
              <w:rPr>
                <w:rFonts w:eastAsiaTheme="minorEastAsia"/>
                <w:color w:val="000000" w:themeColor="text1"/>
                <w:szCs w:val="21"/>
              </w:rPr>
              <w:t>C</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下属分级基金的交易代码</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005366</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005367</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报告期末下属分级基金的份额总额</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1,246,687,296.48</w:t>
            </w:r>
            <w:r w:rsidRPr="00B27A29">
              <w:rPr>
                <w:rFonts w:eastAsiaTheme="minorEastAsia"/>
                <w:color w:val="000000" w:themeColor="text1"/>
                <w:kern w:val="0"/>
                <w:szCs w:val="21"/>
              </w:rPr>
              <w:t>份</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26,237.59</w:t>
            </w:r>
            <w:r w:rsidRPr="00B27A29">
              <w:rPr>
                <w:rFonts w:eastAsiaTheme="minorEastAsia"/>
                <w:color w:val="000000" w:themeColor="text1"/>
                <w:kern w:val="0"/>
                <w:szCs w:val="21"/>
              </w:rPr>
              <w:t>份</w:t>
            </w:r>
          </w:p>
        </w:tc>
      </w:tr>
    </w:tbl>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§3  </w:t>
      </w:r>
      <w:r w:rsidRPr="00B27A29">
        <w:rPr>
          <w:rFonts w:eastAsiaTheme="minorEastAsia"/>
          <w:color w:val="000000" w:themeColor="text1"/>
          <w:kern w:val="0"/>
          <w:sz w:val="21"/>
          <w:szCs w:val="21"/>
        </w:rPr>
        <w:t>主要财务指标和基金净值表现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3.1 </w:t>
      </w:r>
      <w:r w:rsidRPr="00B27A29">
        <w:rPr>
          <w:rFonts w:eastAsiaTheme="minorEastAsia"/>
          <w:b/>
          <w:color w:val="000000" w:themeColor="text1"/>
          <w:kern w:val="0"/>
          <w:szCs w:val="21"/>
        </w:rPr>
        <w:t>主要财务指标</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2481"/>
        <w:gridCol w:w="2481"/>
      </w:tblGrid>
      <w:tr w:rsidR="005E6DF3" w:rsidRPr="00B27A29">
        <w:tc>
          <w:tcPr>
            <w:tcW w:w="3402" w:type="dxa"/>
            <w:vMerge w:val="restart"/>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主要财务指标</w:t>
            </w:r>
          </w:p>
        </w:tc>
        <w:tc>
          <w:tcPr>
            <w:tcW w:w="4962" w:type="dxa"/>
            <w:gridSpan w:val="2"/>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报告期</w:t>
            </w:r>
          </w:p>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(2021</w:t>
            </w:r>
            <w:r w:rsidRPr="00B27A29">
              <w:rPr>
                <w:rFonts w:eastAsiaTheme="minorEastAsia"/>
                <w:color w:val="000000" w:themeColor="text1"/>
                <w:szCs w:val="21"/>
              </w:rPr>
              <w:t>年</w:t>
            </w:r>
            <w:r w:rsidRPr="00B27A29">
              <w:rPr>
                <w:rFonts w:eastAsiaTheme="minorEastAsia"/>
                <w:color w:val="000000" w:themeColor="text1"/>
                <w:szCs w:val="21"/>
              </w:rPr>
              <w:t>4</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w:t>
            </w:r>
            <w:r w:rsidRPr="00B27A29">
              <w:rPr>
                <w:rFonts w:eastAsiaTheme="minorEastAsia"/>
                <w:color w:val="000000" w:themeColor="text1"/>
                <w:szCs w:val="21"/>
              </w:rPr>
              <w:t>-2021</w:t>
            </w:r>
            <w:r w:rsidRPr="00B27A29">
              <w:rPr>
                <w:rFonts w:eastAsiaTheme="minorEastAsia"/>
                <w:color w:val="000000" w:themeColor="text1"/>
                <w:szCs w:val="21"/>
              </w:rPr>
              <w:t>年</w:t>
            </w:r>
            <w:r w:rsidRPr="00B27A29">
              <w:rPr>
                <w:rFonts w:eastAsiaTheme="minorEastAsia"/>
                <w:color w:val="000000" w:themeColor="text1"/>
                <w:szCs w:val="21"/>
              </w:rPr>
              <w:t>6</w:t>
            </w:r>
            <w:r w:rsidRPr="00B27A29">
              <w:rPr>
                <w:rFonts w:eastAsiaTheme="minorEastAsia"/>
                <w:color w:val="000000" w:themeColor="text1"/>
                <w:szCs w:val="21"/>
              </w:rPr>
              <w:t>月</w:t>
            </w:r>
            <w:r w:rsidRPr="00B27A29">
              <w:rPr>
                <w:rFonts w:eastAsiaTheme="minorEastAsia"/>
                <w:color w:val="000000" w:themeColor="text1"/>
                <w:szCs w:val="21"/>
              </w:rPr>
              <w:t>30</w:t>
            </w:r>
            <w:r w:rsidRPr="00B27A29">
              <w:rPr>
                <w:rFonts w:eastAsiaTheme="minorEastAsia"/>
                <w:color w:val="000000" w:themeColor="text1"/>
                <w:szCs w:val="21"/>
              </w:rPr>
              <w:t>日</w:t>
            </w:r>
            <w:r w:rsidRPr="00B27A29">
              <w:rPr>
                <w:rFonts w:eastAsiaTheme="minorEastAsia"/>
                <w:color w:val="000000" w:themeColor="text1"/>
                <w:szCs w:val="21"/>
              </w:rPr>
              <w:t>)</w:t>
            </w:r>
          </w:p>
        </w:tc>
      </w:tr>
      <w:tr w:rsidR="005E6DF3" w:rsidRPr="00B27A29">
        <w:tc>
          <w:tcPr>
            <w:tcW w:w="3402" w:type="dxa"/>
            <w:vMerge/>
            <w:vAlign w:val="center"/>
          </w:tcPr>
          <w:p w:rsidR="005E6DF3" w:rsidRPr="00B27A29" w:rsidRDefault="005E6DF3">
            <w:pPr>
              <w:adjustRightInd w:val="0"/>
              <w:spacing w:before="29" w:line="360" w:lineRule="auto"/>
              <w:ind w:left="17"/>
              <w:rPr>
                <w:rFonts w:eastAsiaTheme="minorEastAsia"/>
                <w:color w:val="000000" w:themeColor="text1"/>
                <w:kern w:val="0"/>
                <w:szCs w:val="21"/>
              </w:rPr>
            </w:pP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上投摩根丰瑞债券</w:t>
            </w:r>
            <w:r w:rsidRPr="00B27A29">
              <w:rPr>
                <w:rFonts w:eastAsiaTheme="minorEastAsia"/>
                <w:color w:val="000000" w:themeColor="text1"/>
                <w:szCs w:val="21"/>
              </w:rPr>
              <w:t>A</w:t>
            </w: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上投摩根丰瑞债券</w:t>
            </w:r>
            <w:r w:rsidRPr="00B27A29">
              <w:rPr>
                <w:rFonts w:eastAsiaTheme="minorEastAsia"/>
                <w:color w:val="000000" w:themeColor="text1"/>
                <w:szCs w:val="21"/>
              </w:rPr>
              <w:t>C</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1.</w:t>
            </w:r>
            <w:r w:rsidRPr="00B27A29">
              <w:rPr>
                <w:rFonts w:eastAsiaTheme="minorEastAsia"/>
                <w:color w:val="000000" w:themeColor="text1"/>
                <w:kern w:val="0"/>
                <w:szCs w:val="21"/>
              </w:rPr>
              <w:t>本期已实现收益</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7,704,757.08</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155.02</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w:t>
            </w:r>
            <w:r w:rsidRPr="00B27A29">
              <w:rPr>
                <w:rFonts w:eastAsiaTheme="minorEastAsia"/>
                <w:color w:val="000000" w:themeColor="text1"/>
                <w:kern w:val="0"/>
                <w:szCs w:val="21"/>
              </w:rPr>
              <w:t>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11,966,293.93</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243.84</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3.</w:t>
            </w:r>
            <w:r w:rsidRPr="00B27A29">
              <w:rPr>
                <w:rFonts w:eastAsiaTheme="minorEastAsia"/>
                <w:color w:val="000000" w:themeColor="text1"/>
                <w:kern w:val="0"/>
                <w:szCs w:val="21"/>
              </w:rPr>
              <w:t>加权平均基金份额本期利润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0.0095</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0.0093</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4.</w:t>
            </w:r>
            <w:r w:rsidRPr="00B27A29">
              <w:rPr>
                <w:rFonts w:eastAsiaTheme="minorEastAsia"/>
                <w:color w:val="000000" w:themeColor="text1"/>
                <w:kern w:val="0"/>
                <w:szCs w:val="21"/>
              </w:rPr>
              <w:t>期末基金资产净值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1,270,305,848.69</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26,720.59</w:t>
            </w:r>
          </w:p>
        </w:tc>
      </w:tr>
      <w:tr w:rsidR="005E6DF3" w:rsidRPr="00B27A29">
        <w:trPr>
          <w:trHeight w:val="158"/>
        </w:trPr>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5.</w:t>
            </w:r>
            <w:r w:rsidRPr="00B27A29">
              <w:rPr>
                <w:rFonts w:eastAsiaTheme="minorEastAsia"/>
                <w:color w:val="000000" w:themeColor="text1"/>
                <w:kern w:val="0"/>
                <w:szCs w:val="21"/>
              </w:rPr>
              <w:t>期末基金份额净值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1.0189</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1.0184</w:t>
            </w:r>
          </w:p>
        </w:tc>
      </w:tr>
    </w:tbl>
    <w:p w:rsidR="00CF1B44" w:rsidRDefault="00122F46">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注：本期已实现收益指基金本期利息收入、投资收益、其他收入（不含公允价值变动收益）扣除相关费用后的余额，本期利润为本期已实现收益加上本期公允价值变动收益。</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上述基金业绩指标不包括持有人认购或交易基金的各项费用（例如，开放式基金的申购赎回费、红利再投资费、基金转换费等），计入费用后实际收益水平要低于所列数字。</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3.2 </w:t>
      </w:r>
      <w:r w:rsidRPr="00B27A29">
        <w:rPr>
          <w:rFonts w:eastAsiaTheme="minorEastAsia"/>
          <w:b/>
          <w:color w:val="000000" w:themeColor="text1"/>
          <w:kern w:val="0"/>
          <w:szCs w:val="21"/>
        </w:rPr>
        <w:t>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3.2.1</w:t>
      </w:r>
      <w:r w:rsidRPr="00B27A29">
        <w:rPr>
          <w:rFonts w:eastAsiaTheme="minorEastAsia"/>
          <w:b/>
          <w:color w:val="000000" w:themeColor="text1"/>
          <w:kern w:val="0"/>
          <w:szCs w:val="21"/>
        </w:rPr>
        <w:t>本报告期基金份额净值增长率及其与同期业绩比较基准收益率的比较</w:t>
      </w:r>
    </w:p>
    <w:p w:rsidR="005E6DF3" w:rsidRPr="00B27A29" w:rsidRDefault="005C671B">
      <w:pPr>
        <w:spacing w:line="360" w:lineRule="auto"/>
        <w:rPr>
          <w:rFonts w:eastAsiaTheme="minorEastAsia"/>
          <w:b/>
          <w:color w:val="000000" w:themeColor="text1"/>
          <w:szCs w:val="21"/>
        </w:rPr>
      </w:pPr>
      <w:r w:rsidRPr="00B27A29">
        <w:rPr>
          <w:rFonts w:eastAsiaTheme="minorEastAsia"/>
          <w:b/>
          <w:color w:val="000000" w:themeColor="text1"/>
          <w:szCs w:val="21"/>
        </w:rPr>
        <w:t>1</w:t>
      </w:r>
      <w:r w:rsidRPr="00B27A29">
        <w:rPr>
          <w:rFonts w:eastAsiaTheme="minorEastAsia"/>
          <w:b/>
          <w:color w:val="000000" w:themeColor="text1"/>
          <w:szCs w:val="21"/>
        </w:rPr>
        <w:t>、</w:t>
      </w:r>
      <w:r w:rsidRPr="00B27A29">
        <w:rPr>
          <w:rFonts w:eastAsiaTheme="minorEastAsia"/>
          <w:b/>
          <w:color w:val="000000" w:themeColor="text1"/>
          <w:kern w:val="0"/>
          <w:szCs w:val="21"/>
        </w:rPr>
        <w:t>上投摩根丰瑞债券</w:t>
      </w:r>
      <w:r w:rsidRPr="00B27A29">
        <w:rPr>
          <w:rFonts w:eastAsiaTheme="minorEastAsia"/>
          <w:b/>
          <w:color w:val="000000" w:themeColor="text1"/>
          <w:kern w:val="0"/>
          <w:szCs w:val="21"/>
        </w:rPr>
        <w:t>A</w:t>
      </w:r>
      <w:r w:rsidRPr="00B27A29">
        <w:rPr>
          <w:rFonts w:eastAsiaTheme="minorEastAsia"/>
          <w:b/>
          <w:color w:val="000000" w:themeColor="text1"/>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CF1B44">
        <w:tc>
          <w:tcPr>
            <w:tcW w:w="1290" w:type="dxa"/>
            <w:vAlign w:val="center"/>
          </w:tcPr>
          <w:p w:rsidR="00CF1B44" w:rsidRDefault="00122F46">
            <w:pPr>
              <w:jc w:val="left"/>
            </w:pPr>
            <w:r>
              <w:rPr>
                <w:rFonts w:eastAsiaTheme="minorEastAsia"/>
                <w:color w:val="000000" w:themeColor="text1"/>
                <w:szCs w:val="21"/>
              </w:rPr>
              <w:t>过去三个月</w:t>
            </w:r>
          </w:p>
        </w:tc>
        <w:tc>
          <w:tcPr>
            <w:tcW w:w="1291" w:type="dxa"/>
            <w:vAlign w:val="center"/>
          </w:tcPr>
          <w:p w:rsidR="00CF1B44" w:rsidRDefault="00122F46">
            <w:pPr>
              <w:jc w:val="right"/>
            </w:pPr>
            <w:r>
              <w:rPr>
                <w:rFonts w:eastAsiaTheme="minorEastAsia"/>
                <w:color w:val="000000" w:themeColor="text1"/>
                <w:szCs w:val="21"/>
              </w:rPr>
              <w:t>0.94%</w:t>
            </w:r>
          </w:p>
        </w:tc>
        <w:tc>
          <w:tcPr>
            <w:tcW w:w="1291" w:type="dxa"/>
            <w:vAlign w:val="center"/>
          </w:tcPr>
          <w:p w:rsidR="00CF1B44" w:rsidRDefault="00122F46">
            <w:pPr>
              <w:jc w:val="right"/>
            </w:pPr>
            <w:r>
              <w:rPr>
                <w:rFonts w:eastAsiaTheme="minorEastAsia"/>
                <w:color w:val="000000" w:themeColor="text1"/>
                <w:szCs w:val="21"/>
              </w:rPr>
              <w:t>0.02%</w:t>
            </w:r>
          </w:p>
        </w:tc>
        <w:tc>
          <w:tcPr>
            <w:tcW w:w="1291" w:type="dxa"/>
            <w:vAlign w:val="center"/>
          </w:tcPr>
          <w:p w:rsidR="00CF1B44" w:rsidRDefault="00122F46">
            <w:pPr>
              <w:jc w:val="right"/>
            </w:pPr>
            <w:r>
              <w:rPr>
                <w:rFonts w:eastAsiaTheme="minorEastAsia"/>
                <w:color w:val="000000" w:themeColor="text1"/>
                <w:szCs w:val="21"/>
              </w:rPr>
              <w:t>1.23%</w:t>
            </w:r>
          </w:p>
        </w:tc>
        <w:tc>
          <w:tcPr>
            <w:tcW w:w="1291" w:type="dxa"/>
            <w:vAlign w:val="center"/>
          </w:tcPr>
          <w:p w:rsidR="00CF1B44" w:rsidRDefault="00122F46">
            <w:pPr>
              <w:jc w:val="right"/>
            </w:pPr>
            <w:r>
              <w:rPr>
                <w:rFonts w:eastAsiaTheme="minorEastAsia"/>
                <w:color w:val="000000" w:themeColor="text1"/>
                <w:szCs w:val="21"/>
              </w:rPr>
              <w:t>0.03%</w:t>
            </w:r>
          </w:p>
        </w:tc>
        <w:tc>
          <w:tcPr>
            <w:tcW w:w="1291" w:type="dxa"/>
            <w:vAlign w:val="center"/>
          </w:tcPr>
          <w:p w:rsidR="00CF1B44" w:rsidRDefault="00122F46">
            <w:pPr>
              <w:jc w:val="right"/>
            </w:pPr>
            <w:r>
              <w:rPr>
                <w:rFonts w:eastAsiaTheme="minorEastAsia"/>
                <w:color w:val="000000" w:themeColor="text1"/>
                <w:szCs w:val="21"/>
              </w:rPr>
              <w:t>-0.29%</w:t>
            </w:r>
          </w:p>
        </w:tc>
        <w:tc>
          <w:tcPr>
            <w:tcW w:w="1291" w:type="dxa"/>
            <w:vAlign w:val="center"/>
          </w:tcPr>
          <w:p w:rsidR="00CF1B44" w:rsidRDefault="00122F46">
            <w:pPr>
              <w:jc w:val="right"/>
            </w:pPr>
            <w:r>
              <w:rPr>
                <w:rFonts w:eastAsiaTheme="minorEastAsia"/>
                <w:color w:val="000000" w:themeColor="text1"/>
                <w:szCs w:val="21"/>
              </w:rPr>
              <w:t>-0.01%</w:t>
            </w:r>
          </w:p>
        </w:tc>
      </w:tr>
      <w:tr w:rsidR="00CF1B44">
        <w:tc>
          <w:tcPr>
            <w:tcW w:w="1290" w:type="dxa"/>
            <w:vAlign w:val="center"/>
          </w:tcPr>
          <w:p w:rsidR="00CF1B44" w:rsidRDefault="00122F46">
            <w:pPr>
              <w:jc w:val="left"/>
            </w:pPr>
            <w:r>
              <w:rPr>
                <w:rFonts w:eastAsiaTheme="minorEastAsia"/>
                <w:color w:val="000000" w:themeColor="text1"/>
                <w:szCs w:val="21"/>
              </w:rPr>
              <w:t>过去六个月</w:t>
            </w:r>
          </w:p>
        </w:tc>
        <w:tc>
          <w:tcPr>
            <w:tcW w:w="1291" w:type="dxa"/>
            <w:vAlign w:val="center"/>
          </w:tcPr>
          <w:p w:rsidR="00CF1B44" w:rsidRDefault="00122F46">
            <w:pPr>
              <w:jc w:val="right"/>
            </w:pPr>
            <w:r>
              <w:rPr>
                <w:rFonts w:eastAsiaTheme="minorEastAsia"/>
                <w:color w:val="000000" w:themeColor="text1"/>
                <w:szCs w:val="21"/>
              </w:rPr>
              <w:t>1.45%</w:t>
            </w:r>
          </w:p>
        </w:tc>
        <w:tc>
          <w:tcPr>
            <w:tcW w:w="1291" w:type="dxa"/>
            <w:vAlign w:val="center"/>
          </w:tcPr>
          <w:p w:rsidR="00CF1B44" w:rsidRDefault="00122F46">
            <w:pPr>
              <w:jc w:val="right"/>
            </w:pPr>
            <w:r>
              <w:rPr>
                <w:rFonts w:eastAsiaTheme="minorEastAsia"/>
                <w:color w:val="000000" w:themeColor="text1"/>
                <w:szCs w:val="21"/>
              </w:rPr>
              <w:t>0.03%</w:t>
            </w:r>
          </w:p>
        </w:tc>
        <w:tc>
          <w:tcPr>
            <w:tcW w:w="1291" w:type="dxa"/>
            <w:vAlign w:val="center"/>
          </w:tcPr>
          <w:p w:rsidR="00CF1B44" w:rsidRDefault="00122F46">
            <w:pPr>
              <w:jc w:val="right"/>
            </w:pPr>
            <w:r>
              <w:rPr>
                <w:rFonts w:eastAsiaTheme="minorEastAsia"/>
                <w:color w:val="000000" w:themeColor="text1"/>
                <w:szCs w:val="21"/>
              </w:rPr>
              <w:t>2.19%</w:t>
            </w:r>
          </w:p>
        </w:tc>
        <w:tc>
          <w:tcPr>
            <w:tcW w:w="1291" w:type="dxa"/>
            <w:vAlign w:val="center"/>
          </w:tcPr>
          <w:p w:rsidR="00CF1B44" w:rsidRDefault="00122F46">
            <w:pPr>
              <w:jc w:val="right"/>
            </w:pPr>
            <w:r>
              <w:rPr>
                <w:rFonts w:eastAsiaTheme="minorEastAsia"/>
                <w:color w:val="000000" w:themeColor="text1"/>
                <w:szCs w:val="21"/>
              </w:rPr>
              <w:t>0.04%</w:t>
            </w:r>
          </w:p>
        </w:tc>
        <w:tc>
          <w:tcPr>
            <w:tcW w:w="1291" w:type="dxa"/>
            <w:vAlign w:val="center"/>
          </w:tcPr>
          <w:p w:rsidR="00CF1B44" w:rsidRDefault="00122F46">
            <w:pPr>
              <w:jc w:val="right"/>
            </w:pPr>
            <w:r>
              <w:rPr>
                <w:rFonts w:eastAsiaTheme="minorEastAsia"/>
                <w:color w:val="000000" w:themeColor="text1"/>
                <w:szCs w:val="21"/>
              </w:rPr>
              <w:t>-0.74%</w:t>
            </w:r>
          </w:p>
        </w:tc>
        <w:tc>
          <w:tcPr>
            <w:tcW w:w="1291" w:type="dxa"/>
            <w:vAlign w:val="center"/>
          </w:tcPr>
          <w:p w:rsidR="00CF1B44" w:rsidRDefault="00122F46">
            <w:pPr>
              <w:jc w:val="right"/>
            </w:pPr>
            <w:r>
              <w:rPr>
                <w:rFonts w:eastAsiaTheme="minorEastAsia"/>
                <w:color w:val="000000" w:themeColor="text1"/>
                <w:szCs w:val="21"/>
              </w:rPr>
              <w:t>-0.01%</w:t>
            </w:r>
          </w:p>
        </w:tc>
      </w:tr>
      <w:tr w:rsidR="00CF1B44">
        <w:tc>
          <w:tcPr>
            <w:tcW w:w="1290" w:type="dxa"/>
            <w:vAlign w:val="center"/>
          </w:tcPr>
          <w:p w:rsidR="00CF1B44" w:rsidRDefault="00122F46">
            <w:pPr>
              <w:jc w:val="left"/>
            </w:pPr>
            <w:r>
              <w:rPr>
                <w:rFonts w:eastAsiaTheme="minorEastAsia"/>
                <w:color w:val="000000" w:themeColor="text1"/>
                <w:szCs w:val="21"/>
              </w:rPr>
              <w:lastRenderedPageBreak/>
              <w:t>过去一年</w:t>
            </w:r>
          </w:p>
        </w:tc>
        <w:tc>
          <w:tcPr>
            <w:tcW w:w="1291" w:type="dxa"/>
            <w:vAlign w:val="center"/>
          </w:tcPr>
          <w:p w:rsidR="00CF1B44" w:rsidRDefault="00122F46">
            <w:pPr>
              <w:jc w:val="right"/>
            </w:pPr>
            <w:r>
              <w:rPr>
                <w:rFonts w:eastAsiaTheme="minorEastAsia"/>
                <w:color w:val="000000" w:themeColor="text1"/>
                <w:szCs w:val="21"/>
              </w:rPr>
              <w:t>1.93%</w:t>
            </w:r>
          </w:p>
        </w:tc>
        <w:tc>
          <w:tcPr>
            <w:tcW w:w="1291" w:type="dxa"/>
            <w:vAlign w:val="center"/>
          </w:tcPr>
          <w:p w:rsidR="00CF1B44" w:rsidRDefault="00122F46">
            <w:pPr>
              <w:jc w:val="right"/>
            </w:pPr>
            <w:r>
              <w:rPr>
                <w:rFonts w:eastAsiaTheme="minorEastAsia"/>
                <w:color w:val="000000" w:themeColor="text1"/>
                <w:szCs w:val="21"/>
              </w:rPr>
              <w:t>0.04%</w:t>
            </w:r>
          </w:p>
        </w:tc>
        <w:tc>
          <w:tcPr>
            <w:tcW w:w="1291" w:type="dxa"/>
            <w:vAlign w:val="center"/>
          </w:tcPr>
          <w:p w:rsidR="00CF1B44" w:rsidRDefault="00122F46">
            <w:pPr>
              <w:jc w:val="right"/>
            </w:pPr>
            <w:r>
              <w:rPr>
                <w:rFonts w:eastAsiaTheme="minorEastAsia"/>
                <w:color w:val="000000" w:themeColor="text1"/>
                <w:szCs w:val="21"/>
              </w:rPr>
              <w:t>2.84%</w:t>
            </w:r>
          </w:p>
        </w:tc>
        <w:tc>
          <w:tcPr>
            <w:tcW w:w="1291" w:type="dxa"/>
            <w:vAlign w:val="center"/>
          </w:tcPr>
          <w:p w:rsidR="00CF1B44" w:rsidRDefault="00122F46">
            <w:pPr>
              <w:jc w:val="right"/>
            </w:pPr>
            <w:r>
              <w:rPr>
                <w:rFonts w:eastAsiaTheme="minorEastAsia"/>
                <w:color w:val="000000" w:themeColor="text1"/>
                <w:szCs w:val="21"/>
              </w:rPr>
              <w:t>0.05%</w:t>
            </w:r>
          </w:p>
        </w:tc>
        <w:tc>
          <w:tcPr>
            <w:tcW w:w="1291" w:type="dxa"/>
            <w:vAlign w:val="center"/>
          </w:tcPr>
          <w:p w:rsidR="00CF1B44" w:rsidRDefault="00122F46">
            <w:pPr>
              <w:jc w:val="right"/>
            </w:pPr>
            <w:r>
              <w:rPr>
                <w:rFonts w:eastAsiaTheme="minorEastAsia"/>
                <w:color w:val="000000" w:themeColor="text1"/>
                <w:szCs w:val="21"/>
              </w:rPr>
              <w:t>-0.91%</w:t>
            </w:r>
          </w:p>
        </w:tc>
        <w:tc>
          <w:tcPr>
            <w:tcW w:w="1291" w:type="dxa"/>
            <w:vAlign w:val="center"/>
          </w:tcPr>
          <w:p w:rsidR="00CF1B44" w:rsidRDefault="00122F46">
            <w:pPr>
              <w:jc w:val="right"/>
            </w:pPr>
            <w:r>
              <w:rPr>
                <w:rFonts w:eastAsiaTheme="minorEastAsia"/>
                <w:color w:val="000000" w:themeColor="text1"/>
                <w:szCs w:val="21"/>
              </w:rPr>
              <w:t>-0.01%</w:t>
            </w:r>
          </w:p>
        </w:tc>
      </w:tr>
      <w:tr w:rsidR="00CF1B44">
        <w:tc>
          <w:tcPr>
            <w:tcW w:w="1290" w:type="dxa"/>
            <w:vAlign w:val="center"/>
          </w:tcPr>
          <w:p w:rsidR="00CF1B44" w:rsidRDefault="00122F46">
            <w:pPr>
              <w:jc w:val="left"/>
            </w:pPr>
            <w:r>
              <w:rPr>
                <w:rFonts w:eastAsiaTheme="minorEastAsia"/>
                <w:color w:val="000000" w:themeColor="text1"/>
                <w:szCs w:val="21"/>
              </w:rPr>
              <w:t>过去三年</w:t>
            </w:r>
          </w:p>
        </w:tc>
        <w:tc>
          <w:tcPr>
            <w:tcW w:w="1291" w:type="dxa"/>
            <w:vAlign w:val="center"/>
          </w:tcPr>
          <w:p w:rsidR="00CF1B44" w:rsidRDefault="00122F46">
            <w:pPr>
              <w:jc w:val="right"/>
            </w:pPr>
            <w:r>
              <w:rPr>
                <w:rFonts w:eastAsiaTheme="minorEastAsia"/>
                <w:color w:val="000000" w:themeColor="text1"/>
                <w:szCs w:val="21"/>
              </w:rPr>
              <w:t>10.95%</w:t>
            </w:r>
          </w:p>
        </w:tc>
        <w:tc>
          <w:tcPr>
            <w:tcW w:w="1291" w:type="dxa"/>
            <w:vAlign w:val="center"/>
          </w:tcPr>
          <w:p w:rsidR="00CF1B44" w:rsidRDefault="00122F46">
            <w:pPr>
              <w:jc w:val="right"/>
            </w:pPr>
            <w:r>
              <w:rPr>
                <w:rFonts w:eastAsiaTheme="minorEastAsia"/>
                <w:color w:val="000000" w:themeColor="text1"/>
                <w:szCs w:val="21"/>
              </w:rPr>
              <w:t>0.07%</w:t>
            </w:r>
          </w:p>
        </w:tc>
        <w:tc>
          <w:tcPr>
            <w:tcW w:w="1291" w:type="dxa"/>
            <w:vAlign w:val="center"/>
          </w:tcPr>
          <w:p w:rsidR="00CF1B44" w:rsidRDefault="00122F46">
            <w:pPr>
              <w:jc w:val="right"/>
            </w:pPr>
            <w:r>
              <w:rPr>
                <w:rFonts w:eastAsiaTheme="minorEastAsia"/>
                <w:color w:val="000000" w:themeColor="text1"/>
                <w:szCs w:val="21"/>
              </w:rPr>
              <w:t>14.46%</w:t>
            </w:r>
          </w:p>
        </w:tc>
        <w:tc>
          <w:tcPr>
            <w:tcW w:w="1291" w:type="dxa"/>
            <w:vAlign w:val="center"/>
          </w:tcPr>
          <w:p w:rsidR="00CF1B44" w:rsidRDefault="00122F46">
            <w:pPr>
              <w:jc w:val="right"/>
            </w:pPr>
            <w:r>
              <w:rPr>
                <w:rFonts w:eastAsiaTheme="minorEastAsia"/>
                <w:color w:val="000000" w:themeColor="text1"/>
                <w:szCs w:val="21"/>
              </w:rPr>
              <w:t>0.06%</w:t>
            </w:r>
          </w:p>
        </w:tc>
        <w:tc>
          <w:tcPr>
            <w:tcW w:w="1291" w:type="dxa"/>
            <w:vAlign w:val="center"/>
          </w:tcPr>
          <w:p w:rsidR="00CF1B44" w:rsidRDefault="00122F46">
            <w:pPr>
              <w:jc w:val="right"/>
            </w:pPr>
            <w:r>
              <w:rPr>
                <w:rFonts w:eastAsiaTheme="minorEastAsia"/>
                <w:color w:val="000000" w:themeColor="text1"/>
                <w:szCs w:val="21"/>
              </w:rPr>
              <w:t>-3.51%</w:t>
            </w:r>
          </w:p>
        </w:tc>
        <w:tc>
          <w:tcPr>
            <w:tcW w:w="1291" w:type="dxa"/>
            <w:vAlign w:val="center"/>
          </w:tcPr>
          <w:p w:rsidR="00CF1B44" w:rsidRDefault="00122F46">
            <w:pPr>
              <w:jc w:val="right"/>
            </w:pPr>
            <w:r>
              <w:rPr>
                <w:rFonts w:eastAsiaTheme="minorEastAsia"/>
                <w:color w:val="000000" w:themeColor="text1"/>
                <w:szCs w:val="21"/>
              </w:rPr>
              <w:t>0.01%</w:t>
            </w:r>
          </w:p>
        </w:tc>
      </w:tr>
      <w:tr w:rsidR="00CF1B44">
        <w:tc>
          <w:tcPr>
            <w:tcW w:w="1290" w:type="dxa"/>
            <w:vAlign w:val="center"/>
          </w:tcPr>
          <w:p w:rsidR="00CF1B44" w:rsidRDefault="00122F46">
            <w:pPr>
              <w:jc w:val="left"/>
            </w:pPr>
            <w:r>
              <w:rPr>
                <w:rFonts w:eastAsiaTheme="minorEastAsia"/>
                <w:color w:val="000000" w:themeColor="text1"/>
                <w:szCs w:val="21"/>
              </w:rPr>
              <w:t>过去五年</w:t>
            </w:r>
          </w:p>
        </w:tc>
        <w:tc>
          <w:tcPr>
            <w:tcW w:w="1291" w:type="dxa"/>
            <w:vAlign w:val="center"/>
          </w:tcPr>
          <w:p w:rsidR="00CF1B44" w:rsidRDefault="00122F46">
            <w:pPr>
              <w:jc w:val="right"/>
            </w:pPr>
            <w:r>
              <w:rPr>
                <w:rFonts w:eastAsiaTheme="minorEastAsia"/>
                <w:color w:val="000000" w:themeColor="text1"/>
                <w:szCs w:val="21"/>
              </w:rPr>
              <w:t>-</w:t>
            </w:r>
          </w:p>
        </w:tc>
        <w:tc>
          <w:tcPr>
            <w:tcW w:w="1291" w:type="dxa"/>
            <w:vAlign w:val="center"/>
          </w:tcPr>
          <w:p w:rsidR="00CF1B44" w:rsidRDefault="00122F46">
            <w:pPr>
              <w:jc w:val="right"/>
            </w:pPr>
            <w:r>
              <w:rPr>
                <w:rFonts w:eastAsiaTheme="minorEastAsia"/>
                <w:color w:val="000000" w:themeColor="text1"/>
                <w:szCs w:val="21"/>
              </w:rPr>
              <w:t>-</w:t>
            </w:r>
          </w:p>
        </w:tc>
        <w:tc>
          <w:tcPr>
            <w:tcW w:w="1291" w:type="dxa"/>
            <w:vAlign w:val="center"/>
          </w:tcPr>
          <w:p w:rsidR="00CF1B44" w:rsidRDefault="00122F46">
            <w:pPr>
              <w:jc w:val="right"/>
            </w:pPr>
            <w:r>
              <w:rPr>
                <w:rFonts w:eastAsiaTheme="minorEastAsia"/>
                <w:color w:val="000000" w:themeColor="text1"/>
                <w:szCs w:val="21"/>
              </w:rPr>
              <w:t>-</w:t>
            </w:r>
          </w:p>
        </w:tc>
        <w:tc>
          <w:tcPr>
            <w:tcW w:w="1291" w:type="dxa"/>
            <w:vAlign w:val="center"/>
          </w:tcPr>
          <w:p w:rsidR="00CF1B44" w:rsidRDefault="00122F46">
            <w:pPr>
              <w:jc w:val="right"/>
            </w:pPr>
            <w:r>
              <w:rPr>
                <w:rFonts w:eastAsiaTheme="minorEastAsia"/>
                <w:color w:val="000000" w:themeColor="text1"/>
                <w:szCs w:val="21"/>
              </w:rPr>
              <w:t>-</w:t>
            </w:r>
          </w:p>
        </w:tc>
        <w:tc>
          <w:tcPr>
            <w:tcW w:w="1291" w:type="dxa"/>
            <w:vAlign w:val="center"/>
          </w:tcPr>
          <w:p w:rsidR="00CF1B44" w:rsidRDefault="00122F46">
            <w:pPr>
              <w:jc w:val="right"/>
            </w:pPr>
            <w:r>
              <w:rPr>
                <w:rFonts w:eastAsiaTheme="minorEastAsia"/>
                <w:color w:val="000000" w:themeColor="text1"/>
                <w:szCs w:val="21"/>
              </w:rPr>
              <w:t>-</w:t>
            </w:r>
          </w:p>
        </w:tc>
        <w:tc>
          <w:tcPr>
            <w:tcW w:w="1291" w:type="dxa"/>
            <w:vAlign w:val="center"/>
          </w:tcPr>
          <w:p w:rsidR="00CF1B44" w:rsidRDefault="00122F46">
            <w:pPr>
              <w:jc w:val="right"/>
            </w:pPr>
            <w:r>
              <w:rPr>
                <w:rFonts w:eastAsiaTheme="minorEastAsia"/>
                <w:color w:val="000000" w:themeColor="text1"/>
                <w:szCs w:val="21"/>
              </w:rPr>
              <w:t>-</w:t>
            </w:r>
          </w:p>
        </w:tc>
      </w:tr>
      <w:tr w:rsidR="00CF1B44">
        <w:tc>
          <w:tcPr>
            <w:tcW w:w="1290" w:type="dxa"/>
            <w:vAlign w:val="center"/>
          </w:tcPr>
          <w:p w:rsidR="00CF1B44" w:rsidRDefault="00122F46">
            <w:pPr>
              <w:jc w:val="left"/>
            </w:pPr>
            <w:r>
              <w:rPr>
                <w:rFonts w:eastAsiaTheme="minorEastAsia"/>
                <w:color w:val="000000" w:themeColor="text1"/>
                <w:szCs w:val="21"/>
              </w:rPr>
              <w:t>自基金合同生效起至今</w:t>
            </w:r>
          </w:p>
        </w:tc>
        <w:tc>
          <w:tcPr>
            <w:tcW w:w="1291" w:type="dxa"/>
            <w:vAlign w:val="center"/>
          </w:tcPr>
          <w:p w:rsidR="00CF1B44" w:rsidRDefault="00122F46">
            <w:pPr>
              <w:jc w:val="right"/>
            </w:pPr>
            <w:r>
              <w:rPr>
                <w:rFonts w:eastAsiaTheme="minorEastAsia"/>
                <w:color w:val="000000" w:themeColor="text1"/>
                <w:szCs w:val="21"/>
              </w:rPr>
              <w:t>14.14%</w:t>
            </w:r>
          </w:p>
        </w:tc>
        <w:tc>
          <w:tcPr>
            <w:tcW w:w="1291" w:type="dxa"/>
            <w:vAlign w:val="center"/>
          </w:tcPr>
          <w:p w:rsidR="00CF1B44" w:rsidRDefault="00122F46">
            <w:pPr>
              <w:jc w:val="right"/>
            </w:pPr>
            <w:r>
              <w:rPr>
                <w:rFonts w:eastAsiaTheme="minorEastAsia"/>
                <w:color w:val="000000" w:themeColor="text1"/>
                <w:szCs w:val="21"/>
              </w:rPr>
              <w:t>0.06%</w:t>
            </w:r>
          </w:p>
        </w:tc>
        <w:tc>
          <w:tcPr>
            <w:tcW w:w="1291" w:type="dxa"/>
            <w:vAlign w:val="center"/>
          </w:tcPr>
          <w:p w:rsidR="00CF1B44" w:rsidRDefault="00122F46">
            <w:pPr>
              <w:jc w:val="right"/>
            </w:pPr>
            <w:r>
              <w:rPr>
                <w:rFonts w:eastAsiaTheme="minorEastAsia"/>
                <w:color w:val="000000" w:themeColor="text1"/>
                <w:szCs w:val="21"/>
              </w:rPr>
              <w:t>19.43%</w:t>
            </w:r>
          </w:p>
        </w:tc>
        <w:tc>
          <w:tcPr>
            <w:tcW w:w="1291" w:type="dxa"/>
            <w:vAlign w:val="center"/>
          </w:tcPr>
          <w:p w:rsidR="00CF1B44" w:rsidRDefault="00122F46">
            <w:pPr>
              <w:jc w:val="right"/>
            </w:pPr>
            <w:r>
              <w:rPr>
                <w:rFonts w:eastAsiaTheme="minorEastAsia"/>
                <w:color w:val="000000" w:themeColor="text1"/>
                <w:szCs w:val="21"/>
              </w:rPr>
              <w:t>0.06%</w:t>
            </w:r>
          </w:p>
        </w:tc>
        <w:tc>
          <w:tcPr>
            <w:tcW w:w="1291" w:type="dxa"/>
            <w:vAlign w:val="center"/>
          </w:tcPr>
          <w:p w:rsidR="00CF1B44" w:rsidRDefault="00122F46">
            <w:pPr>
              <w:jc w:val="right"/>
            </w:pPr>
            <w:r>
              <w:rPr>
                <w:rFonts w:eastAsiaTheme="minorEastAsia"/>
                <w:color w:val="000000" w:themeColor="text1"/>
                <w:szCs w:val="21"/>
              </w:rPr>
              <w:t>-5.29%</w:t>
            </w:r>
          </w:p>
        </w:tc>
        <w:tc>
          <w:tcPr>
            <w:tcW w:w="1291" w:type="dxa"/>
            <w:vAlign w:val="center"/>
          </w:tcPr>
          <w:p w:rsidR="00CF1B44" w:rsidRDefault="00122F46">
            <w:pPr>
              <w:jc w:val="right"/>
            </w:pPr>
            <w:r>
              <w:rPr>
                <w:rFonts w:eastAsiaTheme="minorEastAsia"/>
                <w:color w:val="000000" w:themeColor="text1"/>
                <w:szCs w:val="21"/>
              </w:rPr>
              <w:t>0.00%</w:t>
            </w:r>
          </w:p>
        </w:tc>
      </w:tr>
    </w:tbl>
    <w:p w:rsidR="005E6DF3" w:rsidRPr="00B27A29" w:rsidRDefault="005C671B">
      <w:pPr>
        <w:adjustRightInd w:val="0"/>
        <w:spacing w:beforeLines="100" w:before="312" w:line="360" w:lineRule="auto"/>
        <w:rPr>
          <w:rFonts w:eastAsiaTheme="minorEastAsia"/>
          <w:b/>
          <w:color w:val="000000" w:themeColor="text1"/>
          <w:kern w:val="0"/>
          <w:szCs w:val="21"/>
        </w:rPr>
      </w:pPr>
      <w:r w:rsidRPr="00B27A29">
        <w:rPr>
          <w:rFonts w:eastAsiaTheme="minorEastAsia"/>
          <w:b/>
          <w:color w:val="000000" w:themeColor="text1"/>
          <w:szCs w:val="21"/>
        </w:rPr>
        <w:t>2</w:t>
      </w:r>
      <w:r w:rsidRPr="00B27A29">
        <w:rPr>
          <w:rFonts w:eastAsiaTheme="minorEastAsia"/>
          <w:b/>
          <w:color w:val="000000" w:themeColor="text1"/>
          <w:szCs w:val="21"/>
        </w:rPr>
        <w:t>、</w:t>
      </w:r>
      <w:r w:rsidRPr="00B27A29">
        <w:rPr>
          <w:rFonts w:eastAsiaTheme="minorEastAsia"/>
          <w:b/>
          <w:color w:val="000000" w:themeColor="text1"/>
          <w:kern w:val="0"/>
          <w:szCs w:val="21"/>
        </w:rPr>
        <w:t>上投摩根丰瑞债券</w:t>
      </w:r>
      <w:r w:rsidRPr="00B27A29">
        <w:rPr>
          <w:rFonts w:eastAsiaTheme="minorEastAsia"/>
          <w:b/>
          <w:color w:val="000000" w:themeColor="text1"/>
          <w:kern w:val="0"/>
          <w:szCs w:val="21"/>
        </w:rPr>
        <w:t>C</w:t>
      </w:r>
      <w:r w:rsidRPr="00B27A29">
        <w:rPr>
          <w:rFonts w:eastAsiaTheme="minorEastAsia"/>
          <w:b/>
          <w:color w:val="000000" w:themeColor="text1"/>
          <w:kern w:val="0"/>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CF1B44">
        <w:tc>
          <w:tcPr>
            <w:tcW w:w="1290" w:type="dxa"/>
            <w:vAlign w:val="center"/>
          </w:tcPr>
          <w:p w:rsidR="00CF1B44" w:rsidRDefault="00122F46">
            <w:pPr>
              <w:jc w:val="left"/>
            </w:pPr>
            <w:r>
              <w:rPr>
                <w:rFonts w:eastAsiaTheme="minorEastAsia"/>
                <w:color w:val="000000" w:themeColor="text1"/>
                <w:szCs w:val="21"/>
              </w:rPr>
              <w:t>过去三个月</w:t>
            </w:r>
          </w:p>
        </w:tc>
        <w:tc>
          <w:tcPr>
            <w:tcW w:w="1291" w:type="dxa"/>
            <w:vAlign w:val="center"/>
          </w:tcPr>
          <w:p w:rsidR="00CF1B44" w:rsidRDefault="00122F46">
            <w:pPr>
              <w:jc w:val="right"/>
            </w:pPr>
            <w:r>
              <w:rPr>
                <w:rFonts w:eastAsiaTheme="minorEastAsia"/>
                <w:color w:val="000000" w:themeColor="text1"/>
                <w:szCs w:val="21"/>
              </w:rPr>
              <w:t>0.92%</w:t>
            </w:r>
          </w:p>
        </w:tc>
        <w:tc>
          <w:tcPr>
            <w:tcW w:w="1291" w:type="dxa"/>
            <w:vAlign w:val="center"/>
          </w:tcPr>
          <w:p w:rsidR="00CF1B44" w:rsidRDefault="00122F46">
            <w:pPr>
              <w:jc w:val="right"/>
            </w:pPr>
            <w:r>
              <w:rPr>
                <w:rFonts w:eastAsiaTheme="minorEastAsia"/>
                <w:color w:val="000000" w:themeColor="text1"/>
                <w:szCs w:val="21"/>
              </w:rPr>
              <w:t>0.02%</w:t>
            </w:r>
          </w:p>
        </w:tc>
        <w:tc>
          <w:tcPr>
            <w:tcW w:w="1291" w:type="dxa"/>
            <w:vAlign w:val="center"/>
          </w:tcPr>
          <w:p w:rsidR="00CF1B44" w:rsidRDefault="00122F46">
            <w:pPr>
              <w:jc w:val="right"/>
            </w:pPr>
            <w:r>
              <w:rPr>
                <w:rFonts w:eastAsiaTheme="minorEastAsia"/>
                <w:color w:val="000000" w:themeColor="text1"/>
                <w:szCs w:val="21"/>
              </w:rPr>
              <w:t>1.23%</w:t>
            </w:r>
          </w:p>
        </w:tc>
        <w:tc>
          <w:tcPr>
            <w:tcW w:w="1291" w:type="dxa"/>
            <w:vAlign w:val="center"/>
          </w:tcPr>
          <w:p w:rsidR="00CF1B44" w:rsidRDefault="00122F46">
            <w:pPr>
              <w:jc w:val="right"/>
            </w:pPr>
            <w:r>
              <w:rPr>
                <w:rFonts w:eastAsiaTheme="minorEastAsia"/>
                <w:color w:val="000000" w:themeColor="text1"/>
                <w:szCs w:val="21"/>
              </w:rPr>
              <w:t>0.03%</w:t>
            </w:r>
          </w:p>
        </w:tc>
        <w:tc>
          <w:tcPr>
            <w:tcW w:w="1291" w:type="dxa"/>
            <w:vAlign w:val="center"/>
          </w:tcPr>
          <w:p w:rsidR="00CF1B44" w:rsidRDefault="00122F46">
            <w:pPr>
              <w:jc w:val="right"/>
            </w:pPr>
            <w:r>
              <w:rPr>
                <w:rFonts w:eastAsiaTheme="minorEastAsia"/>
                <w:color w:val="000000" w:themeColor="text1"/>
                <w:szCs w:val="21"/>
              </w:rPr>
              <w:t>-0.31%</w:t>
            </w:r>
          </w:p>
        </w:tc>
        <w:tc>
          <w:tcPr>
            <w:tcW w:w="1291" w:type="dxa"/>
            <w:vAlign w:val="center"/>
          </w:tcPr>
          <w:p w:rsidR="00CF1B44" w:rsidRDefault="00122F46">
            <w:pPr>
              <w:jc w:val="right"/>
            </w:pPr>
            <w:r>
              <w:rPr>
                <w:rFonts w:eastAsiaTheme="minorEastAsia"/>
                <w:color w:val="000000" w:themeColor="text1"/>
                <w:szCs w:val="21"/>
              </w:rPr>
              <w:t>-0.01%</w:t>
            </w:r>
          </w:p>
        </w:tc>
      </w:tr>
      <w:tr w:rsidR="00CF1B44">
        <w:tc>
          <w:tcPr>
            <w:tcW w:w="1290" w:type="dxa"/>
            <w:vAlign w:val="center"/>
          </w:tcPr>
          <w:p w:rsidR="00CF1B44" w:rsidRDefault="00122F46">
            <w:pPr>
              <w:jc w:val="left"/>
            </w:pPr>
            <w:r>
              <w:rPr>
                <w:rFonts w:eastAsiaTheme="minorEastAsia"/>
                <w:color w:val="000000" w:themeColor="text1"/>
                <w:szCs w:val="21"/>
              </w:rPr>
              <w:t>过去六个月</w:t>
            </w:r>
          </w:p>
        </w:tc>
        <w:tc>
          <w:tcPr>
            <w:tcW w:w="1291" w:type="dxa"/>
            <w:vAlign w:val="center"/>
          </w:tcPr>
          <w:p w:rsidR="00CF1B44" w:rsidRDefault="00122F46">
            <w:pPr>
              <w:jc w:val="right"/>
            </w:pPr>
            <w:r>
              <w:rPr>
                <w:rFonts w:eastAsiaTheme="minorEastAsia"/>
                <w:color w:val="000000" w:themeColor="text1"/>
                <w:szCs w:val="21"/>
              </w:rPr>
              <w:t>1.40%</w:t>
            </w:r>
          </w:p>
        </w:tc>
        <w:tc>
          <w:tcPr>
            <w:tcW w:w="1291" w:type="dxa"/>
            <w:vAlign w:val="center"/>
          </w:tcPr>
          <w:p w:rsidR="00CF1B44" w:rsidRDefault="00122F46">
            <w:pPr>
              <w:jc w:val="right"/>
            </w:pPr>
            <w:r>
              <w:rPr>
                <w:rFonts w:eastAsiaTheme="minorEastAsia"/>
                <w:color w:val="000000" w:themeColor="text1"/>
                <w:szCs w:val="21"/>
              </w:rPr>
              <w:t>0.03%</w:t>
            </w:r>
          </w:p>
        </w:tc>
        <w:tc>
          <w:tcPr>
            <w:tcW w:w="1291" w:type="dxa"/>
            <w:vAlign w:val="center"/>
          </w:tcPr>
          <w:p w:rsidR="00CF1B44" w:rsidRDefault="00122F46">
            <w:pPr>
              <w:jc w:val="right"/>
            </w:pPr>
            <w:r>
              <w:rPr>
                <w:rFonts w:eastAsiaTheme="minorEastAsia"/>
                <w:color w:val="000000" w:themeColor="text1"/>
                <w:szCs w:val="21"/>
              </w:rPr>
              <w:t>2.19%</w:t>
            </w:r>
          </w:p>
        </w:tc>
        <w:tc>
          <w:tcPr>
            <w:tcW w:w="1291" w:type="dxa"/>
            <w:vAlign w:val="center"/>
          </w:tcPr>
          <w:p w:rsidR="00CF1B44" w:rsidRDefault="00122F46">
            <w:pPr>
              <w:jc w:val="right"/>
            </w:pPr>
            <w:r>
              <w:rPr>
                <w:rFonts w:eastAsiaTheme="minorEastAsia"/>
                <w:color w:val="000000" w:themeColor="text1"/>
                <w:szCs w:val="21"/>
              </w:rPr>
              <w:t>0.04%</w:t>
            </w:r>
          </w:p>
        </w:tc>
        <w:tc>
          <w:tcPr>
            <w:tcW w:w="1291" w:type="dxa"/>
            <w:vAlign w:val="center"/>
          </w:tcPr>
          <w:p w:rsidR="00CF1B44" w:rsidRDefault="00122F46">
            <w:pPr>
              <w:jc w:val="right"/>
            </w:pPr>
            <w:r>
              <w:rPr>
                <w:rFonts w:eastAsiaTheme="minorEastAsia"/>
                <w:color w:val="000000" w:themeColor="text1"/>
                <w:szCs w:val="21"/>
              </w:rPr>
              <w:t>-0.79%</w:t>
            </w:r>
          </w:p>
        </w:tc>
        <w:tc>
          <w:tcPr>
            <w:tcW w:w="1291" w:type="dxa"/>
            <w:vAlign w:val="center"/>
          </w:tcPr>
          <w:p w:rsidR="00CF1B44" w:rsidRDefault="00122F46">
            <w:pPr>
              <w:jc w:val="right"/>
            </w:pPr>
            <w:r>
              <w:rPr>
                <w:rFonts w:eastAsiaTheme="minorEastAsia"/>
                <w:color w:val="000000" w:themeColor="text1"/>
                <w:szCs w:val="21"/>
              </w:rPr>
              <w:t>-0.01%</w:t>
            </w:r>
          </w:p>
        </w:tc>
      </w:tr>
      <w:tr w:rsidR="00CF1B44">
        <w:tc>
          <w:tcPr>
            <w:tcW w:w="1290" w:type="dxa"/>
            <w:vAlign w:val="center"/>
          </w:tcPr>
          <w:p w:rsidR="00CF1B44" w:rsidRDefault="00122F46">
            <w:pPr>
              <w:jc w:val="left"/>
            </w:pPr>
            <w:r>
              <w:rPr>
                <w:rFonts w:eastAsiaTheme="minorEastAsia"/>
                <w:color w:val="000000" w:themeColor="text1"/>
                <w:szCs w:val="21"/>
              </w:rPr>
              <w:t>过去一年</w:t>
            </w:r>
          </w:p>
        </w:tc>
        <w:tc>
          <w:tcPr>
            <w:tcW w:w="1291" w:type="dxa"/>
            <w:vAlign w:val="center"/>
          </w:tcPr>
          <w:p w:rsidR="00CF1B44" w:rsidRDefault="00122F46">
            <w:pPr>
              <w:jc w:val="right"/>
            </w:pPr>
            <w:r>
              <w:rPr>
                <w:rFonts w:eastAsiaTheme="minorEastAsia"/>
                <w:color w:val="000000" w:themeColor="text1"/>
                <w:szCs w:val="21"/>
              </w:rPr>
              <w:t>1.84%</w:t>
            </w:r>
          </w:p>
        </w:tc>
        <w:tc>
          <w:tcPr>
            <w:tcW w:w="1291" w:type="dxa"/>
            <w:vAlign w:val="center"/>
          </w:tcPr>
          <w:p w:rsidR="00CF1B44" w:rsidRDefault="00122F46">
            <w:pPr>
              <w:jc w:val="right"/>
            </w:pPr>
            <w:r>
              <w:rPr>
                <w:rFonts w:eastAsiaTheme="minorEastAsia"/>
                <w:color w:val="000000" w:themeColor="text1"/>
                <w:szCs w:val="21"/>
              </w:rPr>
              <w:t>0.04%</w:t>
            </w:r>
          </w:p>
        </w:tc>
        <w:tc>
          <w:tcPr>
            <w:tcW w:w="1291" w:type="dxa"/>
            <w:vAlign w:val="center"/>
          </w:tcPr>
          <w:p w:rsidR="00CF1B44" w:rsidRDefault="00122F46">
            <w:pPr>
              <w:jc w:val="right"/>
            </w:pPr>
            <w:r>
              <w:rPr>
                <w:rFonts w:eastAsiaTheme="minorEastAsia"/>
                <w:color w:val="000000" w:themeColor="text1"/>
                <w:szCs w:val="21"/>
              </w:rPr>
              <w:t>2.84%</w:t>
            </w:r>
          </w:p>
        </w:tc>
        <w:tc>
          <w:tcPr>
            <w:tcW w:w="1291" w:type="dxa"/>
            <w:vAlign w:val="center"/>
          </w:tcPr>
          <w:p w:rsidR="00CF1B44" w:rsidRDefault="00122F46">
            <w:pPr>
              <w:jc w:val="right"/>
            </w:pPr>
            <w:r>
              <w:rPr>
                <w:rFonts w:eastAsiaTheme="minorEastAsia"/>
                <w:color w:val="000000" w:themeColor="text1"/>
                <w:szCs w:val="21"/>
              </w:rPr>
              <w:t>0.05%</w:t>
            </w:r>
          </w:p>
        </w:tc>
        <w:tc>
          <w:tcPr>
            <w:tcW w:w="1291" w:type="dxa"/>
            <w:vAlign w:val="center"/>
          </w:tcPr>
          <w:p w:rsidR="00CF1B44" w:rsidRDefault="00122F46">
            <w:pPr>
              <w:jc w:val="right"/>
            </w:pPr>
            <w:r>
              <w:rPr>
                <w:rFonts w:eastAsiaTheme="minorEastAsia"/>
                <w:color w:val="000000" w:themeColor="text1"/>
                <w:szCs w:val="21"/>
              </w:rPr>
              <w:t>-1.00%</w:t>
            </w:r>
          </w:p>
        </w:tc>
        <w:tc>
          <w:tcPr>
            <w:tcW w:w="1291" w:type="dxa"/>
            <w:vAlign w:val="center"/>
          </w:tcPr>
          <w:p w:rsidR="00CF1B44" w:rsidRDefault="00122F46">
            <w:pPr>
              <w:jc w:val="right"/>
            </w:pPr>
            <w:r>
              <w:rPr>
                <w:rFonts w:eastAsiaTheme="minorEastAsia"/>
                <w:color w:val="000000" w:themeColor="text1"/>
                <w:szCs w:val="21"/>
              </w:rPr>
              <w:t>-0.01%</w:t>
            </w:r>
          </w:p>
        </w:tc>
      </w:tr>
      <w:tr w:rsidR="00CF1B44">
        <w:tc>
          <w:tcPr>
            <w:tcW w:w="1290" w:type="dxa"/>
            <w:vAlign w:val="center"/>
          </w:tcPr>
          <w:p w:rsidR="00CF1B44" w:rsidRDefault="00122F46">
            <w:pPr>
              <w:jc w:val="left"/>
            </w:pPr>
            <w:r>
              <w:rPr>
                <w:rFonts w:eastAsiaTheme="minorEastAsia"/>
                <w:color w:val="000000" w:themeColor="text1"/>
                <w:szCs w:val="21"/>
              </w:rPr>
              <w:t>过去三年</w:t>
            </w:r>
          </w:p>
        </w:tc>
        <w:tc>
          <w:tcPr>
            <w:tcW w:w="1291" w:type="dxa"/>
            <w:vAlign w:val="center"/>
          </w:tcPr>
          <w:p w:rsidR="00CF1B44" w:rsidRDefault="00122F46">
            <w:pPr>
              <w:jc w:val="right"/>
            </w:pPr>
            <w:r>
              <w:rPr>
                <w:rFonts w:eastAsiaTheme="minorEastAsia"/>
                <w:color w:val="000000" w:themeColor="text1"/>
                <w:szCs w:val="21"/>
              </w:rPr>
              <w:t>10.84%</w:t>
            </w:r>
          </w:p>
        </w:tc>
        <w:tc>
          <w:tcPr>
            <w:tcW w:w="1291" w:type="dxa"/>
            <w:vAlign w:val="center"/>
          </w:tcPr>
          <w:p w:rsidR="00CF1B44" w:rsidRDefault="00122F46">
            <w:pPr>
              <w:jc w:val="right"/>
            </w:pPr>
            <w:r>
              <w:rPr>
                <w:rFonts w:eastAsiaTheme="minorEastAsia"/>
                <w:color w:val="000000" w:themeColor="text1"/>
                <w:szCs w:val="21"/>
              </w:rPr>
              <w:t>0.07%</w:t>
            </w:r>
          </w:p>
        </w:tc>
        <w:tc>
          <w:tcPr>
            <w:tcW w:w="1291" w:type="dxa"/>
            <w:vAlign w:val="center"/>
          </w:tcPr>
          <w:p w:rsidR="00CF1B44" w:rsidRDefault="00122F46">
            <w:pPr>
              <w:jc w:val="right"/>
            </w:pPr>
            <w:r>
              <w:rPr>
                <w:rFonts w:eastAsiaTheme="minorEastAsia"/>
                <w:color w:val="000000" w:themeColor="text1"/>
                <w:szCs w:val="21"/>
              </w:rPr>
              <w:t>14.46%</w:t>
            </w:r>
          </w:p>
        </w:tc>
        <w:tc>
          <w:tcPr>
            <w:tcW w:w="1291" w:type="dxa"/>
            <w:vAlign w:val="center"/>
          </w:tcPr>
          <w:p w:rsidR="00CF1B44" w:rsidRDefault="00122F46">
            <w:pPr>
              <w:jc w:val="right"/>
            </w:pPr>
            <w:r>
              <w:rPr>
                <w:rFonts w:eastAsiaTheme="minorEastAsia"/>
                <w:color w:val="000000" w:themeColor="text1"/>
                <w:szCs w:val="21"/>
              </w:rPr>
              <w:t>0.06%</w:t>
            </w:r>
          </w:p>
        </w:tc>
        <w:tc>
          <w:tcPr>
            <w:tcW w:w="1291" w:type="dxa"/>
            <w:vAlign w:val="center"/>
          </w:tcPr>
          <w:p w:rsidR="00CF1B44" w:rsidRDefault="00122F46">
            <w:pPr>
              <w:jc w:val="right"/>
            </w:pPr>
            <w:r>
              <w:rPr>
                <w:rFonts w:eastAsiaTheme="minorEastAsia"/>
                <w:color w:val="000000" w:themeColor="text1"/>
                <w:szCs w:val="21"/>
              </w:rPr>
              <w:t>-3.62%</w:t>
            </w:r>
          </w:p>
        </w:tc>
        <w:tc>
          <w:tcPr>
            <w:tcW w:w="1291" w:type="dxa"/>
            <w:vAlign w:val="center"/>
          </w:tcPr>
          <w:p w:rsidR="00CF1B44" w:rsidRDefault="00122F46">
            <w:pPr>
              <w:jc w:val="right"/>
            </w:pPr>
            <w:r>
              <w:rPr>
                <w:rFonts w:eastAsiaTheme="minorEastAsia"/>
                <w:color w:val="000000" w:themeColor="text1"/>
                <w:szCs w:val="21"/>
              </w:rPr>
              <w:t>0.01%</w:t>
            </w:r>
          </w:p>
        </w:tc>
      </w:tr>
      <w:tr w:rsidR="00CF1B44">
        <w:tc>
          <w:tcPr>
            <w:tcW w:w="1290" w:type="dxa"/>
            <w:vAlign w:val="center"/>
          </w:tcPr>
          <w:p w:rsidR="00CF1B44" w:rsidRDefault="00122F46">
            <w:pPr>
              <w:jc w:val="left"/>
            </w:pPr>
            <w:r>
              <w:rPr>
                <w:rFonts w:eastAsiaTheme="minorEastAsia"/>
                <w:color w:val="000000" w:themeColor="text1"/>
                <w:szCs w:val="21"/>
              </w:rPr>
              <w:t>过去五年</w:t>
            </w:r>
          </w:p>
        </w:tc>
        <w:tc>
          <w:tcPr>
            <w:tcW w:w="1291" w:type="dxa"/>
            <w:vAlign w:val="center"/>
          </w:tcPr>
          <w:p w:rsidR="00CF1B44" w:rsidRDefault="00122F46">
            <w:pPr>
              <w:jc w:val="right"/>
            </w:pPr>
            <w:r>
              <w:rPr>
                <w:rFonts w:eastAsiaTheme="minorEastAsia"/>
                <w:color w:val="000000" w:themeColor="text1"/>
                <w:szCs w:val="21"/>
              </w:rPr>
              <w:t>-</w:t>
            </w:r>
          </w:p>
        </w:tc>
        <w:tc>
          <w:tcPr>
            <w:tcW w:w="1291" w:type="dxa"/>
            <w:vAlign w:val="center"/>
          </w:tcPr>
          <w:p w:rsidR="00CF1B44" w:rsidRDefault="00122F46">
            <w:pPr>
              <w:jc w:val="right"/>
            </w:pPr>
            <w:r>
              <w:rPr>
                <w:rFonts w:eastAsiaTheme="minorEastAsia"/>
                <w:color w:val="000000" w:themeColor="text1"/>
                <w:szCs w:val="21"/>
              </w:rPr>
              <w:t>-</w:t>
            </w:r>
          </w:p>
        </w:tc>
        <w:tc>
          <w:tcPr>
            <w:tcW w:w="1291" w:type="dxa"/>
            <w:vAlign w:val="center"/>
          </w:tcPr>
          <w:p w:rsidR="00CF1B44" w:rsidRDefault="00122F46">
            <w:pPr>
              <w:jc w:val="right"/>
            </w:pPr>
            <w:r>
              <w:rPr>
                <w:rFonts w:eastAsiaTheme="minorEastAsia"/>
                <w:color w:val="000000" w:themeColor="text1"/>
                <w:szCs w:val="21"/>
              </w:rPr>
              <w:t>-</w:t>
            </w:r>
          </w:p>
        </w:tc>
        <w:tc>
          <w:tcPr>
            <w:tcW w:w="1291" w:type="dxa"/>
            <w:vAlign w:val="center"/>
          </w:tcPr>
          <w:p w:rsidR="00CF1B44" w:rsidRDefault="00122F46">
            <w:pPr>
              <w:jc w:val="right"/>
            </w:pPr>
            <w:r>
              <w:rPr>
                <w:rFonts w:eastAsiaTheme="minorEastAsia"/>
                <w:color w:val="000000" w:themeColor="text1"/>
                <w:szCs w:val="21"/>
              </w:rPr>
              <w:t>-</w:t>
            </w:r>
          </w:p>
        </w:tc>
        <w:tc>
          <w:tcPr>
            <w:tcW w:w="1291" w:type="dxa"/>
            <w:vAlign w:val="center"/>
          </w:tcPr>
          <w:p w:rsidR="00CF1B44" w:rsidRDefault="00122F46">
            <w:pPr>
              <w:jc w:val="right"/>
            </w:pPr>
            <w:r>
              <w:rPr>
                <w:rFonts w:eastAsiaTheme="minorEastAsia"/>
                <w:color w:val="000000" w:themeColor="text1"/>
                <w:szCs w:val="21"/>
              </w:rPr>
              <w:t>-</w:t>
            </w:r>
          </w:p>
        </w:tc>
        <w:tc>
          <w:tcPr>
            <w:tcW w:w="1291" w:type="dxa"/>
            <w:vAlign w:val="center"/>
          </w:tcPr>
          <w:p w:rsidR="00CF1B44" w:rsidRDefault="00122F46">
            <w:pPr>
              <w:jc w:val="right"/>
            </w:pPr>
            <w:r>
              <w:rPr>
                <w:rFonts w:eastAsiaTheme="minorEastAsia"/>
                <w:color w:val="000000" w:themeColor="text1"/>
                <w:szCs w:val="21"/>
              </w:rPr>
              <w:t>-</w:t>
            </w:r>
          </w:p>
        </w:tc>
      </w:tr>
      <w:tr w:rsidR="00CF1B44">
        <w:tc>
          <w:tcPr>
            <w:tcW w:w="1290" w:type="dxa"/>
            <w:vAlign w:val="center"/>
          </w:tcPr>
          <w:p w:rsidR="00CF1B44" w:rsidRDefault="00122F46">
            <w:pPr>
              <w:jc w:val="left"/>
            </w:pPr>
            <w:r>
              <w:rPr>
                <w:rFonts w:eastAsiaTheme="minorEastAsia"/>
                <w:color w:val="000000" w:themeColor="text1"/>
                <w:szCs w:val="21"/>
              </w:rPr>
              <w:t>自基金合同生效起至今</w:t>
            </w:r>
          </w:p>
        </w:tc>
        <w:tc>
          <w:tcPr>
            <w:tcW w:w="1291" w:type="dxa"/>
            <w:vAlign w:val="center"/>
          </w:tcPr>
          <w:p w:rsidR="00CF1B44" w:rsidRDefault="00122F46">
            <w:pPr>
              <w:jc w:val="right"/>
            </w:pPr>
            <w:r>
              <w:rPr>
                <w:rFonts w:eastAsiaTheme="minorEastAsia"/>
                <w:color w:val="000000" w:themeColor="text1"/>
                <w:szCs w:val="21"/>
              </w:rPr>
              <w:t>14.23%</w:t>
            </w:r>
          </w:p>
        </w:tc>
        <w:tc>
          <w:tcPr>
            <w:tcW w:w="1291" w:type="dxa"/>
            <w:vAlign w:val="center"/>
          </w:tcPr>
          <w:p w:rsidR="00CF1B44" w:rsidRDefault="00122F46">
            <w:pPr>
              <w:jc w:val="right"/>
            </w:pPr>
            <w:r>
              <w:rPr>
                <w:rFonts w:eastAsiaTheme="minorEastAsia"/>
                <w:color w:val="000000" w:themeColor="text1"/>
                <w:szCs w:val="21"/>
              </w:rPr>
              <w:t>0.06%</w:t>
            </w:r>
          </w:p>
        </w:tc>
        <w:tc>
          <w:tcPr>
            <w:tcW w:w="1291" w:type="dxa"/>
            <w:vAlign w:val="center"/>
          </w:tcPr>
          <w:p w:rsidR="00CF1B44" w:rsidRDefault="00122F46">
            <w:pPr>
              <w:jc w:val="right"/>
            </w:pPr>
            <w:r>
              <w:rPr>
                <w:rFonts w:eastAsiaTheme="minorEastAsia"/>
                <w:color w:val="000000" w:themeColor="text1"/>
                <w:szCs w:val="21"/>
              </w:rPr>
              <w:t>19.43%</w:t>
            </w:r>
          </w:p>
        </w:tc>
        <w:tc>
          <w:tcPr>
            <w:tcW w:w="1291" w:type="dxa"/>
            <w:vAlign w:val="center"/>
          </w:tcPr>
          <w:p w:rsidR="00CF1B44" w:rsidRDefault="00122F46">
            <w:pPr>
              <w:jc w:val="right"/>
            </w:pPr>
            <w:r>
              <w:rPr>
                <w:rFonts w:eastAsiaTheme="minorEastAsia"/>
                <w:color w:val="000000" w:themeColor="text1"/>
                <w:szCs w:val="21"/>
              </w:rPr>
              <w:t>0.06%</w:t>
            </w:r>
          </w:p>
        </w:tc>
        <w:tc>
          <w:tcPr>
            <w:tcW w:w="1291" w:type="dxa"/>
            <w:vAlign w:val="center"/>
          </w:tcPr>
          <w:p w:rsidR="00CF1B44" w:rsidRDefault="00122F46">
            <w:pPr>
              <w:jc w:val="right"/>
            </w:pPr>
            <w:r>
              <w:rPr>
                <w:rFonts w:eastAsiaTheme="minorEastAsia"/>
                <w:color w:val="000000" w:themeColor="text1"/>
                <w:szCs w:val="21"/>
              </w:rPr>
              <w:t>-5.20%</w:t>
            </w:r>
          </w:p>
        </w:tc>
        <w:tc>
          <w:tcPr>
            <w:tcW w:w="1291" w:type="dxa"/>
            <w:vAlign w:val="center"/>
          </w:tcPr>
          <w:p w:rsidR="00CF1B44" w:rsidRDefault="00122F46">
            <w:pPr>
              <w:jc w:val="right"/>
            </w:pPr>
            <w:r>
              <w:rPr>
                <w:rFonts w:eastAsiaTheme="minorEastAsia"/>
                <w:color w:val="000000" w:themeColor="text1"/>
                <w:szCs w:val="21"/>
              </w:rPr>
              <w:t>0.00%</w:t>
            </w:r>
          </w:p>
        </w:tc>
      </w:tr>
    </w:tbl>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3.2.2</w:t>
      </w:r>
      <w:r w:rsidRPr="00B27A29">
        <w:rPr>
          <w:rFonts w:eastAsiaTheme="minorEastAsia"/>
          <w:b/>
          <w:color w:val="000000" w:themeColor="text1"/>
          <w:kern w:val="0"/>
          <w:szCs w:val="21"/>
        </w:rPr>
        <w:t xml:space="preserve">　</w:t>
      </w:r>
      <w:r w:rsidRPr="00B27A29">
        <w:rPr>
          <w:rStyle w:val="af5"/>
          <w:color w:val="000000" w:themeColor="text1"/>
          <w:szCs w:val="21"/>
          <w:shd w:val="clear" w:color="auto" w:fill="FFFFFF"/>
        </w:rPr>
        <w:t>自基金合同生效以来</w:t>
      </w:r>
      <w:r w:rsidRPr="00B27A29">
        <w:rPr>
          <w:rFonts w:eastAsiaTheme="minorEastAsia"/>
          <w:b/>
          <w:color w:val="000000" w:themeColor="text1"/>
          <w:szCs w:val="21"/>
        </w:rPr>
        <w:t>基金累计净值增长率变动及其与同期业绩比较基准收益率变动的比较</w:t>
      </w:r>
    </w:p>
    <w:p w:rsidR="005E6DF3" w:rsidRPr="00B27A29" w:rsidRDefault="005C671B">
      <w:pPr>
        <w:spacing w:line="360" w:lineRule="auto"/>
        <w:jc w:val="center"/>
        <w:rPr>
          <w:rFonts w:eastAsiaTheme="minorEastAsia"/>
          <w:color w:val="000000" w:themeColor="text1"/>
          <w:szCs w:val="21"/>
        </w:rPr>
      </w:pPr>
      <w:r w:rsidRPr="00B27A29">
        <w:rPr>
          <w:rFonts w:eastAsiaTheme="minorEastAsia"/>
          <w:color w:val="000000" w:themeColor="text1"/>
          <w:szCs w:val="21"/>
        </w:rPr>
        <w:t>上投摩根丰瑞债券型证券投资基金</w:t>
      </w:r>
    </w:p>
    <w:p w:rsidR="005E6DF3" w:rsidRPr="00B27A29" w:rsidRDefault="005C671B">
      <w:pPr>
        <w:pStyle w:val="a9"/>
        <w:snapToGrid w:val="0"/>
        <w:spacing w:line="360" w:lineRule="auto"/>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累计净值增长率与业绩比较基准收益率的历史走势对比图</w:t>
      </w:r>
    </w:p>
    <w:p w:rsidR="005E6DF3" w:rsidRPr="00B27A29" w:rsidRDefault="005C671B">
      <w:pPr>
        <w:pStyle w:val="a9"/>
        <w:snapToGrid w:val="0"/>
        <w:spacing w:line="360" w:lineRule="auto"/>
        <w:ind w:firstLine="480"/>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(2017</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11</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27</w:t>
      </w:r>
      <w:r w:rsidRPr="00B27A29">
        <w:rPr>
          <w:rFonts w:ascii="Times New Roman" w:eastAsiaTheme="minorEastAsia" w:hAnsi="Times New Roman"/>
          <w:color w:val="000000" w:themeColor="text1"/>
        </w:rPr>
        <w:t>日至</w:t>
      </w:r>
      <w:r w:rsidRPr="00B27A29">
        <w:rPr>
          <w:rFonts w:ascii="Times New Roman" w:eastAsiaTheme="minorEastAsia" w:hAnsi="Times New Roman"/>
          <w:color w:val="000000" w:themeColor="text1"/>
        </w:rPr>
        <w:t>2021</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6</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30</w:t>
      </w:r>
      <w:r w:rsidRPr="00B27A29">
        <w:rPr>
          <w:rFonts w:ascii="Times New Roman" w:eastAsiaTheme="minorEastAsia" w:hAnsi="Times New Roman"/>
          <w:color w:val="000000" w:themeColor="text1"/>
        </w:rPr>
        <w:t>日</w:t>
      </w:r>
      <w:r w:rsidRPr="00B27A29">
        <w:rPr>
          <w:rFonts w:ascii="Times New Roman" w:eastAsiaTheme="minorEastAsia" w:hAnsi="Times New Roman"/>
          <w:color w:val="000000" w:themeColor="text1"/>
        </w:rPr>
        <w:t>)</w:t>
      </w:r>
    </w:p>
    <w:p w:rsidR="005E6DF3" w:rsidRPr="00B27A29" w:rsidRDefault="005C671B">
      <w:pPr>
        <w:snapToGrid w:val="0"/>
        <w:spacing w:line="360" w:lineRule="auto"/>
        <w:rPr>
          <w:rFonts w:eastAsiaTheme="minorEastAsia"/>
          <w:color w:val="000000" w:themeColor="text1"/>
          <w:szCs w:val="21"/>
        </w:rPr>
      </w:pPr>
      <w:r w:rsidRPr="00B27A29">
        <w:rPr>
          <w:rFonts w:eastAsiaTheme="minorEastAsia"/>
          <w:color w:val="000000" w:themeColor="text1"/>
          <w:szCs w:val="21"/>
        </w:rPr>
        <w:t>1</w:t>
      </w:r>
      <w:r w:rsidRPr="00B27A29">
        <w:rPr>
          <w:rFonts w:eastAsiaTheme="minorEastAsia"/>
          <w:color w:val="000000" w:themeColor="text1"/>
          <w:szCs w:val="21"/>
        </w:rPr>
        <w:t>．上投摩根丰瑞债券</w:t>
      </w:r>
      <w:r w:rsidRPr="00B27A29">
        <w:rPr>
          <w:rFonts w:eastAsiaTheme="minorEastAsia"/>
          <w:color w:val="000000" w:themeColor="text1"/>
          <w:szCs w:val="21"/>
        </w:rPr>
        <w:t>A</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drawing>
          <wp:inline distT="0" distB="0" distL="0" distR="0" wp14:anchorId="5E1D8726" wp14:editId="2DD6A0AF">
            <wp:extent cx="5591175" cy="3276600"/>
            <wp:effectExtent l="0" t="0" r="0" b="0"/>
            <wp:docPr id="2" name="图片 2"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CF1B44" w:rsidRDefault="00122F46">
      <w:pPr>
        <w:spacing w:line="360" w:lineRule="auto"/>
        <w:ind w:firstLineChars="200" w:firstLine="420"/>
        <w:rPr>
          <w:rFonts w:eastAsiaTheme="minorEastAsia"/>
          <w:color w:val="000000" w:themeColor="text1"/>
          <w:szCs w:val="21"/>
        </w:rPr>
      </w:pPr>
      <w:r>
        <w:rPr>
          <w:rFonts w:eastAsiaTheme="minorEastAsia"/>
          <w:color w:val="000000" w:themeColor="text1"/>
          <w:szCs w:val="21"/>
        </w:rPr>
        <w:lastRenderedPageBreak/>
        <w:t>注：本基金合同生效日为</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w:t>
      </w:r>
      <w:r>
        <w:rPr>
          <w:rFonts w:eastAsiaTheme="minorEastAsia"/>
          <w:color w:val="000000" w:themeColor="text1"/>
          <w:szCs w:val="21"/>
        </w:rPr>
        <w:t>27</w:t>
      </w:r>
      <w:r>
        <w:rPr>
          <w:rFonts w:eastAsiaTheme="minorEastAsia"/>
          <w:color w:val="000000" w:themeColor="text1"/>
          <w:szCs w:val="21"/>
        </w:rPr>
        <w:t>日，图示的时间段为合同生效日至本报告期末。</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本基金建仓期为本基金合同生效日起</w:t>
      </w:r>
      <w:r w:rsidRPr="00B27A29">
        <w:rPr>
          <w:rFonts w:eastAsiaTheme="minorEastAsia"/>
          <w:color w:val="000000" w:themeColor="text1"/>
          <w:szCs w:val="21"/>
        </w:rPr>
        <w:t xml:space="preserve"> 6 </w:t>
      </w:r>
      <w:r w:rsidRPr="00B27A29">
        <w:rPr>
          <w:rFonts w:eastAsiaTheme="minorEastAsia"/>
          <w:color w:val="000000" w:themeColor="text1"/>
          <w:szCs w:val="21"/>
        </w:rPr>
        <w:t>个月，建仓期结束时资产配置比例符合本基金基金合同规定。</w:t>
      </w:r>
    </w:p>
    <w:p w:rsidR="005E6DF3" w:rsidRPr="00B27A29" w:rsidRDefault="005C671B">
      <w:pPr>
        <w:snapToGrid w:val="0"/>
        <w:spacing w:beforeLines="100" w:before="312" w:line="360" w:lineRule="auto"/>
        <w:rPr>
          <w:rFonts w:eastAsiaTheme="minorEastAsia"/>
          <w:color w:val="000000" w:themeColor="text1"/>
          <w:szCs w:val="21"/>
        </w:rPr>
      </w:pPr>
      <w:r w:rsidRPr="00B27A29">
        <w:rPr>
          <w:rFonts w:eastAsiaTheme="minorEastAsia"/>
          <w:color w:val="000000" w:themeColor="text1"/>
          <w:szCs w:val="21"/>
        </w:rPr>
        <w:t>2</w:t>
      </w:r>
      <w:r w:rsidRPr="00B27A29">
        <w:rPr>
          <w:rFonts w:eastAsiaTheme="minorEastAsia"/>
          <w:color w:val="000000" w:themeColor="text1"/>
          <w:szCs w:val="21"/>
        </w:rPr>
        <w:t>．上投摩根丰瑞债券</w:t>
      </w:r>
      <w:r w:rsidRPr="00B27A29">
        <w:rPr>
          <w:rFonts w:eastAsiaTheme="minorEastAsia"/>
          <w:color w:val="000000" w:themeColor="text1"/>
          <w:szCs w:val="21"/>
        </w:rPr>
        <w:t>C</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drawing>
          <wp:inline distT="0" distB="0" distL="0" distR="0" wp14:anchorId="1DDF3849" wp14:editId="177F12C7">
            <wp:extent cx="5591175" cy="3276600"/>
            <wp:effectExtent l="0" t="0" r="0" b="0"/>
            <wp:docPr id="3" name="图片 3"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浏览器下载\走势图柱状图\走势图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CF1B44" w:rsidRDefault="00122F46">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w:t>
      </w:r>
      <w:r>
        <w:rPr>
          <w:rFonts w:eastAsiaTheme="minorEastAsia"/>
          <w:color w:val="000000" w:themeColor="text1"/>
          <w:szCs w:val="21"/>
        </w:rPr>
        <w:t>27</w:t>
      </w:r>
      <w:r>
        <w:rPr>
          <w:rFonts w:eastAsiaTheme="minorEastAsia"/>
          <w:color w:val="000000" w:themeColor="text1"/>
          <w:szCs w:val="21"/>
        </w:rPr>
        <w:t>日，图示的时间段为合同生效日至本报告期末。</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本基金建仓期为本基金合同生效日起</w:t>
      </w:r>
      <w:r w:rsidRPr="00B27A29">
        <w:rPr>
          <w:rFonts w:eastAsiaTheme="minorEastAsia"/>
          <w:color w:val="000000" w:themeColor="text1"/>
          <w:szCs w:val="21"/>
        </w:rPr>
        <w:t xml:space="preserve"> 6 </w:t>
      </w:r>
      <w:r w:rsidRPr="00B27A29">
        <w:rPr>
          <w:rFonts w:eastAsiaTheme="minorEastAsia"/>
          <w:color w:val="000000" w:themeColor="text1"/>
          <w:szCs w:val="21"/>
        </w:rPr>
        <w:t>个月，建仓期结束时资产配置比例符合本基金基金合同规定。</w:t>
      </w:r>
    </w:p>
    <w:p w:rsidR="005E6DF3" w:rsidRPr="00B27A29" w:rsidRDefault="005E6DF3">
      <w:pPr>
        <w:tabs>
          <w:tab w:val="left" w:pos="1800"/>
        </w:tabs>
        <w:spacing w:line="288" w:lineRule="auto"/>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§4  </w:t>
      </w:r>
      <w:r w:rsidRPr="00B27A29">
        <w:rPr>
          <w:rFonts w:eastAsiaTheme="minorEastAsia"/>
          <w:color w:val="000000" w:themeColor="text1"/>
          <w:kern w:val="0"/>
          <w:sz w:val="21"/>
          <w:szCs w:val="21"/>
        </w:rPr>
        <w:t>管理人报告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4.1 </w:t>
      </w:r>
      <w:r w:rsidRPr="00B27A29">
        <w:rPr>
          <w:rFonts w:eastAsiaTheme="minorEastAsia"/>
          <w:b/>
          <w:color w:val="000000" w:themeColor="text1"/>
          <w:kern w:val="0"/>
          <w:szCs w:val="21"/>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930"/>
        <w:gridCol w:w="1210"/>
        <w:gridCol w:w="1309"/>
        <w:gridCol w:w="1254"/>
        <w:gridCol w:w="3276"/>
      </w:tblGrid>
      <w:tr w:rsidR="005E6DF3" w:rsidRPr="00B27A29">
        <w:tc>
          <w:tcPr>
            <w:tcW w:w="952"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姓名</w:t>
            </w:r>
          </w:p>
        </w:tc>
        <w:tc>
          <w:tcPr>
            <w:tcW w:w="930"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职务</w:t>
            </w:r>
          </w:p>
        </w:tc>
        <w:tc>
          <w:tcPr>
            <w:tcW w:w="2519" w:type="dxa"/>
            <w:gridSpan w:val="2"/>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任本基金的基金经理期限</w:t>
            </w:r>
          </w:p>
        </w:tc>
        <w:tc>
          <w:tcPr>
            <w:tcW w:w="1254"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证券从业年限</w:t>
            </w:r>
          </w:p>
        </w:tc>
        <w:tc>
          <w:tcPr>
            <w:tcW w:w="3276"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说明</w:t>
            </w:r>
          </w:p>
        </w:tc>
      </w:tr>
      <w:tr w:rsidR="005E6DF3" w:rsidRPr="00B27A29">
        <w:tc>
          <w:tcPr>
            <w:tcW w:w="952"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930" w:type="dxa"/>
            <w:vMerge/>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1210"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任职日期</w:t>
            </w:r>
          </w:p>
        </w:tc>
        <w:tc>
          <w:tcPr>
            <w:tcW w:w="1309"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离任日期</w:t>
            </w:r>
          </w:p>
        </w:tc>
        <w:tc>
          <w:tcPr>
            <w:tcW w:w="1254"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3276"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r>
      <w:tr w:rsidR="00CF1B44">
        <w:tc>
          <w:tcPr>
            <w:tcW w:w="952" w:type="dxa"/>
            <w:vAlign w:val="center"/>
          </w:tcPr>
          <w:p w:rsidR="00CF1B44" w:rsidRDefault="00122F46">
            <w:pPr>
              <w:jc w:val="center"/>
            </w:pPr>
            <w:r>
              <w:rPr>
                <w:rFonts w:eastAsiaTheme="minorEastAsia"/>
                <w:color w:val="000000" w:themeColor="text1"/>
                <w:szCs w:val="21"/>
              </w:rPr>
              <w:t>聂曙光</w:t>
            </w:r>
          </w:p>
        </w:tc>
        <w:tc>
          <w:tcPr>
            <w:tcW w:w="930" w:type="dxa"/>
            <w:vAlign w:val="center"/>
          </w:tcPr>
          <w:p w:rsidR="00CF1B44" w:rsidRDefault="00122F46">
            <w:pPr>
              <w:jc w:val="center"/>
            </w:pPr>
            <w:r>
              <w:rPr>
                <w:rFonts w:eastAsiaTheme="minorEastAsia"/>
                <w:color w:val="000000" w:themeColor="text1"/>
                <w:szCs w:val="21"/>
              </w:rPr>
              <w:t>本基金基金经理、债券投资部总监</w:t>
            </w:r>
          </w:p>
        </w:tc>
        <w:tc>
          <w:tcPr>
            <w:tcW w:w="1210" w:type="dxa"/>
            <w:vAlign w:val="center"/>
          </w:tcPr>
          <w:p w:rsidR="00CF1B44" w:rsidRDefault="00122F46">
            <w:pPr>
              <w:jc w:val="center"/>
            </w:pPr>
            <w:r>
              <w:rPr>
                <w:rFonts w:eastAsiaTheme="minorEastAsia"/>
                <w:color w:val="000000" w:themeColor="text1"/>
                <w:szCs w:val="21"/>
              </w:rPr>
              <w:t>2019-08-29</w:t>
            </w:r>
          </w:p>
        </w:tc>
        <w:tc>
          <w:tcPr>
            <w:tcW w:w="1309" w:type="dxa"/>
            <w:vAlign w:val="center"/>
          </w:tcPr>
          <w:p w:rsidR="00CF1B44" w:rsidRDefault="00122F46">
            <w:pPr>
              <w:jc w:val="center"/>
            </w:pPr>
            <w:r>
              <w:rPr>
                <w:rFonts w:eastAsiaTheme="minorEastAsia"/>
                <w:color w:val="000000" w:themeColor="text1"/>
                <w:szCs w:val="21"/>
              </w:rPr>
              <w:t>-</w:t>
            </w:r>
          </w:p>
        </w:tc>
        <w:tc>
          <w:tcPr>
            <w:tcW w:w="1254" w:type="dxa"/>
            <w:vAlign w:val="center"/>
          </w:tcPr>
          <w:p w:rsidR="00CF1B44" w:rsidRDefault="00122F46">
            <w:pPr>
              <w:jc w:val="center"/>
            </w:pPr>
            <w:r>
              <w:rPr>
                <w:rFonts w:eastAsiaTheme="minorEastAsia"/>
                <w:color w:val="000000" w:themeColor="text1"/>
                <w:szCs w:val="21"/>
              </w:rPr>
              <w:t>15</w:t>
            </w:r>
            <w:r>
              <w:rPr>
                <w:rFonts w:eastAsiaTheme="minorEastAsia"/>
                <w:color w:val="000000" w:themeColor="text1"/>
                <w:szCs w:val="21"/>
              </w:rPr>
              <w:t>年</w:t>
            </w:r>
          </w:p>
        </w:tc>
        <w:tc>
          <w:tcPr>
            <w:tcW w:w="3276" w:type="dxa"/>
            <w:vAlign w:val="center"/>
          </w:tcPr>
          <w:p w:rsidR="00CF1B44" w:rsidRDefault="00122F46">
            <w:r>
              <w:rPr>
                <w:rFonts w:eastAsiaTheme="minorEastAsia"/>
                <w:color w:val="000000" w:themeColor="text1"/>
                <w:szCs w:val="21"/>
              </w:rPr>
              <w:t>聂曙光先生，自</w:t>
            </w:r>
            <w:r>
              <w:rPr>
                <w:rFonts w:eastAsiaTheme="minorEastAsia"/>
                <w:color w:val="000000" w:themeColor="text1"/>
                <w:szCs w:val="21"/>
              </w:rPr>
              <w:t>2004</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月至</w:t>
            </w:r>
            <w:r>
              <w:rPr>
                <w:rFonts w:eastAsiaTheme="minorEastAsia"/>
                <w:color w:val="000000" w:themeColor="text1"/>
                <w:szCs w:val="21"/>
              </w:rPr>
              <w:t>2006</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月在南京银行任债券分析师；</w:t>
            </w:r>
            <w:r>
              <w:rPr>
                <w:rFonts w:eastAsiaTheme="minorEastAsia"/>
                <w:color w:val="000000" w:themeColor="text1"/>
                <w:szCs w:val="21"/>
              </w:rPr>
              <w:t>2006</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月至</w:t>
            </w:r>
            <w:r>
              <w:rPr>
                <w:rFonts w:eastAsiaTheme="minorEastAsia"/>
                <w:color w:val="000000" w:themeColor="text1"/>
                <w:szCs w:val="21"/>
              </w:rPr>
              <w:t>2009</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月在兴业银行任债券投资经理；</w:t>
            </w:r>
            <w:r>
              <w:rPr>
                <w:rFonts w:eastAsiaTheme="minorEastAsia"/>
                <w:color w:val="000000" w:themeColor="text1"/>
                <w:szCs w:val="21"/>
              </w:rPr>
              <w:t>2009</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月至</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月在中欧基金管理有限公司先后担任研究员、基</w:t>
            </w:r>
            <w:r>
              <w:rPr>
                <w:rFonts w:eastAsiaTheme="minorEastAsia"/>
                <w:color w:val="000000" w:themeColor="text1"/>
                <w:szCs w:val="21"/>
              </w:rPr>
              <w:lastRenderedPageBreak/>
              <w:t>金经理助理、基金经理、固定收益部总监、固定收益事业部临时负责人等职务。自</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月起加入上投摩根基金管理有限公司，先后担任基金经理、债券投资部总监兼资深基金经理，自</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月起担任上投摩根纯债债券型证券投资基金基金经理，自</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月起同时担任上投摩根红利回报混合型证券投资基金基金经理，自</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w:t>
            </w:r>
            <w:r>
              <w:rPr>
                <w:rFonts w:eastAsiaTheme="minorEastAsia"/>
                <w:color w:val="000000" w:themeColor="text1"/>
                <w:szCs w:val="21"/>
              </w:rPr>
              <w:t>起同时担任上投摩根纯债丰利债券型证券投资基金基金经理，自</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月起同时担任上投摩根稳进回报混合型证券投资基金基金经理，</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月至</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月同时担任上投摩根天颐年丰混合型证券投资基金基金经理，</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月同时担任上投摩根优信增利债券型证券投资基金基金经理，</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月同时担任上投摩根安鑫回报混合型证券投资基金基金经理，</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月至</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月同时担任上投摩根岁岁丰定期开放债券型证券投资基金基金经理，</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月至</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月同时担任上投摩根安瑞</w:t>
            </w:r>
            <w:r>
              <w:rPr>
                <w:rFonts w:eastAsiaTheme="minorEastAsia"/>
                <w:color w:val="000000" w:themeColor="text1"/>
                <w:szCs w:val="21"/>
              </w:rPr>
              <w:t>回报混合型证券投资基金基金经理，自</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月起同时担任上投摩根安通回报混合型证券投资基金基金经理，</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月同时担任上投摩根安裕回报混合型证券投资基金基金经理，</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月至</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月同时担任上投摩根岁岁益定期开放债券型证券投资基金，自</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月起同时担任上投摩根丰瑞债券型证券投资基金基金经理，自</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月起同时担任上投摩根瑞盛</w:t>
            </w:r>
            <w:r>
              <w:rPr>
                <w:rFonts w:eastAsiaTheme="minorEastAsia"/>
                <w:color w:val="000000" w:themeColor="text1"/>
                <w:szCs w:val="21"/>
              </w:rPr>
              <w:t>87</w:t>
            </w:r>
            <w:r>
              <w:rPr>
                <w:rFonts w:eastAsiaTheme="minorEastAsia"/>
                <w:color w:val="000000" w:themeColor="text1"/>
                <w:szCs w:val="21"/>
              </w:rPr>
              <w:t>个月定期开放债券型证券投资基金基金经理。</w:t>
            </w:r>
          </w:p>
        </w:tc>
      </w:tr>
      <w:tr w:rsidR="00CF1B44">
        <w:tc>
          <w:tcPr>
            <w:tcW w:w="952" w:type="dxa"/>
            <w:vAlign w:val="center"/>
          </w:tcPr>
          <w:p w:rsidR="00CF1B44" w:rsidRDefault="00122F46">
            <w:pPr>
              <w:jc w:val="center"/>
            </w:pPr>
            <w:r>
              <w:rPr>
                <w:rFonts w:eastAsiaTheme="minorEastAsia"/>
                <w:color w:val="000000" w:themeColor="text1"/>
                <w:szCs w:val="21"/>
              </w:rPr>
              <w:lastRenderedPageBreak/>
              <w:t>雷杨娟</w:t>
            </w:r>
          </w:p>
        </w:tc>
        <w:tc>
          <w:tcPr>
            <w:tcW w:w="930" w:type="dxa"/>
            <w:vAlign w:val="center"/>
          </w:tcPr>
          <w:p w:rsidR="00CF1B44" w:rsidRDefault="00122F46">
            <w:pPr>
              <w:jc w:val="center"/>
            </w:pPr>
            <w:r>
              <w:rPr>
                <w:rFonts w:eastAsiaTheme="minorEastAsia"/>
                <w:color w:val="000000" w:themeColor="text1"/>
                <w:szCs w:val="21"/>
              </w:rPr>
              <w:t>本基金基金经理</w:t>
            </w:r>
          </w:p>
        </w:tc>
        <w:tc>
          <w:tcPr>
            <w:tcW w:w="1210" w:type="dxa"/>
            <w:vAlign w:val="center"/>
          </w:tcPr>
          <w:p w:rsidR="00CF1B44" w:rsidRDefault="00122F46">
            <w:pPr>
              <w:jc w:val="center"/>
            </w:pPr>
            <w:r>
              <w:rPr>
                <w:rFonts w:eastAsiaTheme="minorEastAsia"/>
                <w:color w:val="000000" w:themeColor="text1"/>
                <w:szCs w:val="21"/>
              </w:rPr>
              <w:t>2020-07-31</w:t>
            </w:r>
          </w:p>
        </w:tc>
        <w:tc>
          <w:tcPr>
            <w:tcW w:w="1309" w:type="dxa"/>
            <w:vAlign w:val="center"/>
          </w:tcPr>
          <w:p w:rsidR="00CF1B44" w:rsidRDefault="00122F46">
            <w:pPr>
              <w:jc w:val="center"/>
            </w:pPr>
            <w:r>
              <w:rPr>
                <w:rFonts w:eastAsiaTheme="minorEastAsia"/>
                <w:color w:val="000000" w:themeColor="text1"/>
                <w:szCs w:val="21"/>
              </w:rPr>
              <w:t>-</w:t>
            </w:r>
          </w:p>
        </w:tc>
        <w:tc>
          <w:tcPr>
            <w:tcW w:w="1254" w:type="dxa"/>
            <w:vAlign w:val="center"/>
          </w:tcPr>
          <w:p w:rsidR="00CF1B44" w:rsidRDefault="00122F46">
            <w:pPr>
              <w:jc w:val="center"/>
            </w:pPr>
            <w:r>
              <w:rPr>
                <w:rFonts w:eastAsiaTheme="minorEastAsia"/>
                <w:color w:val="000000" w:themeColor="text1"/>
                <w:szCs w:val="21"/>
              </w:rPr>
              <w:t>15</w:t>
            </w:r>
            <w:r>
              <w:rPr>
                <w:rFonts w:eastAsiaTheme="minorEastAsia"/>
                <w:color w:val="000000" w:themeColor="text1"/>
                <w:szCs w:val="21"/>
              </w:rPr>
              <w:t>年</w:t>
            </w:r>
          </w:p>
        </w:tc>
        <w:tc>
          <w:tcPr>
            <w:tcW w:w="3276" w:type="dxa"/>
            <w:vAlign w:val="center"/>
          </w:tcPr>
          <w:p w:rsidR="00CF1B44" w:rsidRDefault="00122F46">
            <w:r>
              <w:rPr>
                <w:rFonts w:eastAsiaTheme="minorEastAsia"/>
                <w:color w:val="000000" w:themeColor="text1"/>
                <w:szCs w:val="21"/>
              </w:rPr>
              <w:t>清华大学工商管理硕士，现任债券投资部副总监兼资深基金经理。雷杨娟女士自</w:t>
            </w:r>
            <w:r>
              <w:rPr>
                <w:rFonts w:eastAsiaTheme="minorEastAsia"/>
                <w:color w:val="000000" w:themeColor="text1"/>
                <w:szCs w:val="21"/>
              </w:rPr>
              <w:t>2004</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月至</w:t>
            </w:r>
            <w:r>
              <w:rPr>
                <w:rFonts w:eastAsiaTheme="minorEastAsia"/>
                <w:color w:val="000000" w:themeColor="text1"/>
                <w:szCs w:val="21"/>
              </w:rPr>
              <w:t>2008</w:t>
            </w:r>
            <w:r>
              <w:rPr>
                <w:rFonts w:eastAsiaTheme="minorEastAsia"/>
                <w:color w:val="000000" w:themeColor="text1"/>
                <w:szCs w:val="21"/>
              </w:rPr>
              <w:lastRenderedPageBreak/>
              <w:t>年</w:t>
            </w:r>
            <w:r>
              <w:rPr>
                <w:rFonts w:eastAsiaTheme="minorEastAsia"/>
                <w:color w:val="000000" w:themeColor="text1"/>
                <w:szCs w:val="21"/>
              </w:rPr>
              <w:t>12</w:t>
            </w:r>
            <w:r>
              <w:rPr>
                <w:rFonts w:eastAsiaTheme="minorEastAsia"/>
                <w:color w:val="000000" w:themeColor="text1"/>
                <w:szCs w:val="21"/>
              </w:rPr>
              <w:t>月在厦门国际银行工作，历任总裁（总经理）办公室副行长秘书兼集团秘书、资金运营部外汇及外币债券交易员；</w:t>
            </w:r>
            <w:r>
              <w:rPr>
                <w:rFonts w:eastAsiaTheme="minorEastAsia"/>
                <w:color w:val="000000" w:themeColor="text1"/>
                <w:szCs w:val="21"/>
              </w:rPr>
              <w:t>2009</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月至</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月在中国民生银行金融市场部工作，历任人民币债券自营交易员、银行账户投资经理、投顾账户投资经理；</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月起加入上投摩根基金管理有限公司，历任专户投资二部副总监兼资深投资经理，现任债券投资部副总监兼资深基金经理，自</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月起担任上投摩根丰瑞债券型证券投资基金经理，</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月同时担任上投摩根瑞利纯债债券型证券投资基金基金经理，自</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月起同时担任上投摩根瑞盛</w:t>
            </w:r>
            <w:r>
              <w:rPr>
                <w:rFonts w:eastAsiaTheme="minorEastAsia"/>
                <w:color w:val="000000" w:themeColor="text1"/>
                <w:szCs w:val="21"/>
              </w:rPr>
              <w:t>87</w:t>
            </w:r>
            <w:r>
              <w:rPr>
                <w:rFonts w:eastAsiaTheme="minorEastAsia"/>
                <w:color w:val="000000" w:themeColor="text1"/>
                <w:szCs w:val="21"/>
              </w:rPr>
              <w:t>个月定期开放债券型证券投资基金基金经理。</w:t>
            </w:r>
          </w:p>
        </w:tc>
      </w:tr>
    </w:tbl>
    <w:p w:rsidR="00CF1B44" w:rsidRDefault="00122F46">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lastRenderedPageBreak/>
        <w:t>注：</w:t>
      </w:r>
      <w:r>
        <w:rPr>
          <w:rFonts w:eastAsiaTheme="minorEastAsia"/>
          <w:color w:val="000000" w:themeColor="text1"/>
          <w:szCs w:val="21"/>
        </w:rPr>
        <w:t>1.</w:t>
      </w:r>
      <w:r>
        <w:rPr>
          <w:rFonts w:eastAsiaTheme="minorEastAsia"/>
          <w:color w:val="000000" w:themeColor="text1"/>
          <w:szCs w:val="21"/>
        </w:rPr>
        <w:t>任职日期和离任日期均指根据公司决定确定的聘任日期和解聘日期。</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2.</w:t>
      </w:r>
      <w:r w:rsidRPr="00B27A29">
        <w:rPr>
          <w:rFonts w:eastAsiaTheme="minorEastAsia"/>
          <w:color w:val="000000" w:themeColor="text1"/>
          <w:szCs w:val="21"/>
        </w:rPr>
        <w:t>证券从业的含义遵从行业协会《证券业从业人员资格管理办法》的相关规定。</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4.2</w:t>
      </w:r>
      <w:r w:rsidRPr="00B27A29">
        <w:rPr>
          <w:rFonts w:eastAsiaTheme="minorEastAsia"/>
          <w:b/>
          <w:color w:val="000000" w:themeColor="text1"/>
          <w:kern w:val="0"/>
          <w:szCs w:val="21"/>
        </w:rPr>
        <w:t>管理人对报告期内本基金运作遵规守信情况的说明</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报告期内，基金管理人不存在损害基金份额持有人利益的行为，勤勉尽责地为基金份额持有人谋求利益。基金管理人遵守了《证券投资基金法》及其他有关法律法规、《上投摩根丰瑞债券型证券投资基金基金合同》的规定。除以下情况外，基金经理对个股和投资组合的比例遵循了投资决策委员会的授权限制，基金投资比例符合基金合同和法律法规的要求：本基金曾出现个别由于市场原因引起的投资组合的投资指标被动偏离相关比例要求的情形，但已在规定时间内调整完毕。</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4.3 </w:t>
      </w:r>
      <w:r w:rsidRPr="00B27A29">
        <w:rPr>
          <w:rFonts w:eastAsiaTheme="minorEastAsia"/>
          <w:b/>
          <w:color w:val="000000" w:themeColor="text1"/>
          <w:kern w:val="0"/>
          <w:szCs w:val="21"/>
        </w:rPr>
        <w:t>公平交易专项说明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4.3.1 </w:t>
      </w:r>
      <w:r w:rsidRPr="00B27A29">
        <w:rPr>
          <w:rFonts w:eastAsiaTheme="minorEastAsia"/>
          <w:color w:val="000000" w:themeColor="text1"/>
          <w:szCs w:val="21"/>
        </w:rPr>
        <w:t>公平交易制度的执行情况</w:t>
      </w:r>
    </w:p>
    <w:p w:rsidR="00CF1B44" w:rsidRDefault="00122F46">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w:t>
      </w:r>
      <w:r>
        <w:rPr>
          <w:rFonts w:eastAsiaTheme="minorEastAsia"/>
          <w:color w:val="000000" w:themeColor="text1"/>
          <w:szCs w:val="21"/>
        </w:rPr>
        <w:lastRenderedPageBreak/>
        <w:t>均得到公平对待。</w:t>
      </w:r>
    </w:p>
    <w:p w:rsidR="00CF1B44" w:rsidRDefault="00122F46">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对于交易所市场投资活动，本公司执行集中交易制度，确保不同投资组合在买卖同一证券时，按照时间优先、比例分配的原则在各投资组合间公平分配交易量；对于银行间市场投资活动</w:t>
      </w:r>
      <w:r>
        <w:rPr>
          <w:rFonts w:eastAsiaTheme="minorEastAsia"/>
          <w:color w:val="000000" w:themeColor="text1"/>
          <w:szCs w:val="21"/>
        </w:rPr>
        <w:t>，本公司通过对手库控制和交易室询价机制，严格防范对手风险并检查价格公允性；对于申购投资行为，本公司遵循价格优先、比例分配的原则，根据事前独立申报的价格和数量对交易结果进行公平分配。</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报告期内，通过对不同投资组合之间的收益率差异比较、对同向交易和反向交易的交易时机和交易价差监控分析，未发现整体公平交易执行出现异常的情况。</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4.3.2 </w:t>
      </w:r>
      <w:r w:rsidRPr="00B27A29">
        <w:rPr>
          <w:rFonts w:eastAsiaTheme="minorEastAsia"/>
          <w:color w:val="000000" w:themeColor="text1"/>
          <w:szCs w:val="21"/>
        </w:rPr>
        <w:t>异常交易行为的专项说明</w:t>
      </w:r>
    </w:p>
    <w:p w:rsidR="00CF1B44" w:rsidRDefault="00122F46">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报告期内，通过对交易价格、交易时间、交易方向等的分析，未发现有可能导致不公平交易和利益输送的异常交易行为。</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所有投资组合参与的交易所公开竞价同日反向交易成交较少的单边交易量超过该证券当日成交量的</w:t>
      </w:r>
      <w:r w:rsidRPr="00B27A29">
        <w:rPr>
          <w:rFonts w:eastAsiaTheme="minorEastAsia"/>
          <w:color w:val="000000" w:themeColor="text1"/>
          <w:szCs w:val="21"/>
        </w:rPr>
        <w:t>5%</w:t>
      </w:r>
      <w:r w:rsidRPr="00B27A29">
        <w:rPr>
          <w:rFonts w:eastAsiaTheme="minorEastAsia"/>
          <w:color w:val="000000" w:themeColor="text1"/>
          <w:szCs w:val="21"/>
        </w:rPr>
        <w:t>的情形：无。</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4.4 </w:t>
      </w:r>
      <w:r w:rsidRPr="00B27A29">
        <w:rPr>
          <w:rFonts w:eastAsiaTheme="minorEastAsia"/>
          <w:b/>
          <w:color w:val="000000" w:themeColor="text1"/>
          <w:kern w:val="0"/>
          <w:szCs w:val="21"/>
        </w:rPr>
        <w:t>报告期内基金的投资策略和业绩表现说明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4.4.1</w:t>
      </w:r>
      <w:r w:rsidRPr="00B27A29">
        <w:rPr>
          <w:rFonts w:eastAsiaTheme="minorEastAsia"/>
          <w:color w:val="000000" w:themeColor="text1"/>
          <w:szCs w:val="21"/>
        </w:rPr>
        <w:t>报告期内基金投资策略和运作分析</w:t>
      </w:r>
    </w:p>
    <w:p w:rsidR="00CF1B44" w:rsidRDefault="00122F46">
      <w:pPr>
        <w:spacing w:line="360" w:lineRule="auto"/>
        <w:ind w:firstLineChars="200" w:firstLine="420"/>
        <w:rPr>
          <w:rFonts w:eastAsiaTheme="minorEastAsia"/>
          <w:color w:val="000000" w:themeColor="text1"/>
          <w:szCs w:val="21"/>
        </w:rPr>
      </w:pPr>
      <w:r>
        <w:rPr>
          <w:rFonts w:eastAsiaTheme="minorEastAsia"/>
          <w:color w:val="000000" w:themeColor="text1"/>
          <w:szCs w:val="21"/>
        </w:rPr>
        <w:t>2021</w:t>
      </w:r>
      <w:r>
        <w:rPr>
          <w:rFonts w:eastAsiaTheme="minorEastAsia"/>
          <w:color w:val="000000" w:themeColor="text1"/>
          <w:szCs w:val="21"/>
        </w:rPr>
        <w:t>第二季度总体延续了第一季度的复苏韧性，经济数据高位企稳。</w:t>
      </w:r>
      <w:r>
        <w:rPr>
          <w:rFonts w:eastAsiaTheme="minorEastAsia"/>
          <w:color w:val="000000" w:themeColor="text1"/>
          <w:szCs w:val="21"/>
        </w:rPr>
        <w:t>5</w:t>
      </w:r>
      <w:r>
        <w:rPr>
          <w:rFonts w:eastAsiaTheme="minorEastAsia"/>
          <w:color w:val="000000" w:themeColor="text1"/>
          <w:szCs w:val="21"/>
        </w:rPr>
        <w:t>月，工业企业两年平均利润增速高位小幅回落，处于下行通道，工业增加值增速回落，</w:t>
      </w:r>
      <w:r>
        <w:rPr>
          <w:rFonts w:eastAsiaTheme="minorEastAsia"/>
          <w:color w:val="000000" w:themeColor="text1"/>
          <w:szCs w:val="21"/>
        </w:rPr>
        <w:t>PPI</w:t>
      </w:r>
      <w:r>
        <w:rPr>
          <w:rFonts w:eastAsiaTheme="minorEastAsia"/>
          <w:color w:val="000000" w:themeColor="text1"/>
          <w:szCs w:val="21"/>
        </w:rPr>
        <w:t>进一步上升至</w:t>
      </w:r>
      <w:r>
        <w:rPr>
          <w:rFonts w:eastAsiaTheme="minorEastAsia"/>
          <w:color w:val="000000" w:themeColor="text1"/>
          <w:szCs w:val="21"/>
        </w:rPr>
        <w:t>9%</w:t>
      </w:r>
      <w:r>
        <w:rPr>
          <w:rFonts w:eastAsiaTheme="minorEastAsia"/>
          <w:color w:val="000000" w:themeColor="text1"/>
          <w:szCs w:val="21"/>
        </w:rPr>
        <w:t>，价格继续攀升，行业间表现分化加剧。在</w:t>
      </w:r>
      <w:r>
        <w:rPr>
          <w:rFonts w:eastAsiaTheme="minorEastAsia"/>
          <w:color w:val="000000" w:themeColor="text1"/>
          <w:szCs w:val="21"/>
        </w:rPr>
        <w:t>PPI</w:t>
      </w:r>
      <w:r>
        <w:rPr>
          <w:rFonts w:eastAsiaTheme="minorEastAsia"/>
          <w:color w:val="000000" w:themeColor="text1"/>
          <w:szCs w:val="21"/>
        </w:rPr>
        <w:t>的支撑下，</w:t>
      </w:r>
      <w:r>
        <w:rPr>
          <w:rFonts w:eastAsiaTheme="minorEastAsia"/>
          <w:color w:val="000000" w:themeColor="text1"/>
          <w:szCs w:val="21"/>
        </w:rPr>
        <w:t>5</w:t>
      </w:r>
      <w:r>
        <w:rPr>
          <w:rFonts w:eastAsiaTheme="minorEastAsia"/>
          <w:color w:val="000000" w:themeColor="text1"/>
          <w:szCs w:val="21"/>
        </w:rPr>
        <w:t>月固定资产投资两年平均增速较上月略有提高，制造业投资修复加速，地产投资依然强劲，基建增速有望企稳。</w:t>
      </w:r>
      <w:r>
        <w:rPr>
          <w:rFonts w:eastAsiaTheme="minorEastAsia"/>
          <w:color w:val="000000" w:themeColor="text1"/>
          <w:szCs w:val="21"/>
        </w:rPr>
        <w:t>M1</w:t>
      </w:r>
      <w:r>
        <w:rPr>
          <w:rFonts w:eastAsiaTheme="minorEastAsia"/>
          <w:color w:val="000000" w:themeColor="text1"/>
          <w:szCs w:val="21"/>
        </w:rPr>
        <w:t>延续年初以来下降的趋势，</w:t>
      </w:r>
      <w:r>
        <w:rPr>
          <w:rFonts w:eastAsiaTheme="minorEastAsia"/>
          <w:color w:val="000000" w:themeColor="text1"/>
          <w:szCs w:val="21"/>
        </w:rPr>
        <w:t>M2</w:t>
      </w:r>
      <w:r>
        <w:rPr>
          <w:rFonts w:eastAsiaTheme="minorEastAsia"/>
          <w:color w:val="000000" w:themeColor="text1"/>
          <w:szCs w:val="21"/>
        </w:rPr>
        <w:t>小幅反弹。生产强</w:t>
      </w:r>
      <w:r>
        <w:rPr>
          <w:rFonts w:eastAsiaTheme="minorEastAsia"/>
          <w:color w:val="000000" w:themeColor="text1"/>
          <w:szCs w:val="21"/>
        </w:rPr>
        <w:t>于消费，消费依旧疲软，必需品消费表现好于非必需品消费。</w:t>
      </w:r>
      <w:r>
        <w:rPr>
          <w:rFonts w:eastAsiaTheme="minorEastAsia"/>
          <w:color w:val="000000" w:themeColor="text1"/>
          <w:szCs w:val="21"/>
        </w:rPr>
        <w:t>CPI</w:t>
      </w:r>
      <w:r>
        <w:rPr>
          <w:rFonts w:eastAsiaTheme="minorEastAsia"/>
          <w:color w:val="000000" w:themeColor="text1"/>
          <w:szCs w:val="21"/>
        </w:rPr>
        <w:t>维持稳定，</w:t>
      </w:r>
      <w:r>
        <w:rPr>
          <w:rFonts w:eastAsiaTheme="minorEastAsia"/>
          <w:color w:val="000000" w:themeColor="text1"/>
          <w:szCs w:val="21"/>
        </w:rPr>
        <w:t>PPI</w:t>
      </w:r>
      <w:r>
        <w:rPr>
          <w:rFonts w:eastAsiaTheme="minorEastAsia"/>
          <w:color w:val="000000" w:themeColor="text1"/>
          <w:szCs w:val="21"/>
        </w:rPr>
        <w:t>陡峭上升趋势大概率或已结束。出口增速回落，进口增速上升。</w:t>
      </w:r>
    </w:p>
    <w:p w:rsidR="00CF1B44" w:rsidRDefault="00122F46">
      <w:pPr>
        <w:spacing w:line="360" w:lineRule="auto"/>
        <w:ind w:firstLineChars="200" w:firstLine="420"/>
        <w:rPr>
          <w:rFonts w:eastAsiaTheme="minorEastAsia"/>
          <w:color w:val="000000" w:themeColor="text1"/>
          <w:szCs w:val="21"/>
        </w:rPr>
      </w:pPr>
      <w:r>
        <w:rPr>
          <w:rFonts w:eastAsiaTheme="minorEastAsia"/>
          <w:color w:val="000000" w:themeColor="text1"/>
          <w:szCs w:val="21"/>
        </w:rPr>
        <w:t>货币政策方面，央行操作仍是以</w:t>
      </w:r>
      <w:r>
        <w:rPr>
          <w:rFonts w:eastAsiaTheme="minorEastAsia"/>
          <w:color w:val="000000" w:themeColor="text1"/>
          <w:szCs w:val="21"/>
        </w:rPr>
        <w:t>“</w:t>
      </w:r>
      <w:r>
        <w:rPr>
          <w:rFonts w:eastAsiaTheme="minorEastAsia"/>
          <w:color w:val="000000" w:themeColor="text1"/>
          <w:szCs w:val="21"/>
        </w:rPr>
        <w:t>稳</w:t>
      </w:r>
      <w:r>
        <w:rPr>
          <w:rFonts w:eastAsiaTheme="minorEastAsia"/>
          <w:color w:val="000000" w:themeColor="text1"/>
          <w:szCs w:val="21"/>
        </w:rPr>
        <w:t>”</w:t>
      </w:r>
      <w:r>
        <w:rPr>
          <w:rFonts w:eastAsiaTheme="minorEastAsia"/>
          <w:color w:val="000000" w:themeColor="text1"/>
          <w:szCs w:val="21"/>
        </w:rPr>
        <w:t>为主，整个季度净投放</w:t>
      </w:r>
      <w:r>
        <w:rPr>
          <w:rFonts w:eastAsiaTheme="minorEastAsia"/>
          <w:color w:val="000000" w:themeColor="text1"/>
          <w:szCs w:val="21"/>
        </w:rPr>
        <w:t>1639</w:t>
      </w:r>
      <w:r>
        <w:rPr>
          <w:rFonts w:eastAsiaTheme="minorEastAsia"/>
          <w:color w:val="000000" w:themeColor="text1"/>
          <w:szCs w:val="21"/>
        </w:rPr>
        <w:t>亿元，</w:t>
      </w:r>
      <w:r>
        <w:rPr>
          <w:rFonts w:eastAsiaTheme="minorEastAsia"/>
          <w:color w:val="000000" w:themeColor="text1"/>
          <w:szCs w:val="21"/>
        </w:rPr>
        <w:t>MLF</w:t>
      </w:r>
      <w:r>
        <w:rPr>
          <w:rFonts w:eastAsiaTheme="minorEastAsia"/>
          <w:color w:val="000000" w:themeColor="text1"/>
          <w:szCs w:val="21"/>
        </w:rPr>
        <w:t>投放基本保持对冲操作，仅在</w:t>
      </w:r>
      <w:r>
        <w:rPr>
          <w:rFonts w:eastAsiaTheme="minorEastAsia"/>
          <w:color w:val="000000" w:themeColor="text1"/>
          <w:szCs w:val="21"/>
        </w:rPr>
        <w:t>4</w:t>
      </w:r>
      <w:r>
        <w:rPr>
          <w:rFonts w:eastAsiaTheme="minorEastAsia"/>
          <w:color w:val="000000" w:themeColor="text1"/>
          <w:szCs w:val="21"/>
        </w:rPr>
        <w:t>月中旬小额净投放</w:t>
      </w:r>
      <w:r>
        <w:rPr>
          <w:rFonts w:eastAsiaTheme="minorEastAsia"/>
          <w:color w:val="000000" w:themeColor="text1"/>
          <w:szCs w:val="21"/>
        </w:rPr>
        <w:t>500</w:t>
      </w:r>
      <w:r>
        <w:rPr>
          <w:rFonts w:eastAsiaTheme="minorEastAsia"/>
          <w:color w:val="000000" w:themeColor="text1"/>
          <w:szCs w:val="21"/>
        </w:rPr>
        <w:t>亿元。资金利率在二季度基本保持稳定，除</w:t>
      </w:r>
      <w:r>
        <w:rPr>
          <w:rFonts w:eastAsiaTheme="minorEastAsia"/>
          <w:color w:val="000000" w:themeColor="text1"/>
          <w:szCs w:val="21"/>
        </w:rPr>
        <w:t>DR001</w:t>
      </w:r>
      <w:r>
        <w:rPr>
          <w:rFonts w:eastAsiaTheme="minorEastAsia"/>
          <w:color w:val="000000" w:themeColor="text1"/>
          <w:szCs w:val="21"/>
        </w:rPr>
        <w:t>平均值较上个季度上行</w:t>
      </w:r>
      <w:r>
        <w:rPr>
          <w:rFonts w:eastAsiaTheme="minorEastAsia"/>
          <w:color w:val="000000" w:themeColor="text1"/>
          <w:szCs w:val="21"/>
        </w:rPr>
        <w:t>7bp</w:t>
      </w:r>
      <w:r>
        <w:rPr>
          <w:rFonts w:eastAsiaTheme="minorEastAsia"/>
          <w:color w:val="000000" w:themeColor="text1"/>
          <w:szCs w:val="21"/>
        </w:rPr>
        <w:t>至</w:t>
      </w:r>
      <w:r>
        <w:rPr>
          <w:rFonts w:eastAsiaTheme="minorEastAsia"/>
          <w:color w:val="000000" w:themeColor="text1"/>
          <w:szCs w:val="21"/>
        </w:rPr>
        <w:t>1.97%</w:t>
      </w:r>
      <w:r>
        <w:rPr>
          <w:rFonts w:eastAsiaTheme="minorEastAsia"/>
          <w:color w:val="000000" w:themeColor="text1"/>
          <w:szCs w:val="21"/>
        </w:rPr>
        <w:t>以外，</w:t>
      </w:r>
      <w:r>
        <w:rPr>
          <w:rFonts w:eastAsiaTheme="minorEastAsia"/>
          <w:color w:val="000000" w:themeColor="text1"/>
          <w:szCs w:val="21"/>
        </w:rPr>
        <w:t>R001</w:t>
      </w:r>
      <w:r>
        <w:rPr>
          <w:rFonts w:eastAsiaTheme="minorEastAsia"/>
          <w:color w:val="000000" w:themeColor="text1"/>
          <w:szCs w:val="21"/>
        </w:rPr>
        <w:t>、</w:t>
      </w:r>
      <w:r>
        <w:rPr>
          <w:rFonts w:eastAsiaTheme="minorEastAsia"/>
          <w:color w:val="000000" w:themeColor="text1"/>
          <w:szCs w:val="21"/>
        </w:rPr>
        <w:t>DR007</w:t>
      </w:r>
      <w:r>
        <w:rPr>
          <w:rFonts w:eastAsiaTheme="minorEastAsia"/>
          <w:color w:val="000000" w:themeColor="text1"/>
          <w:szCs w:val="21"/>
        </w:rPr>
        <w:t>和</w:t>
      </w:r>
      <w:r>
        <w:rPr>
          <w:rFonts w:eastAsiaTheme="minorEastAsia"/>
          <w:color w:val="000000" w:themeColor="text1"/>
          <w:szCs w:val="21"/>
        </w:rPr>
        <w:t>R007</w:t>
      </w:r>
      <w:r>
        <w:rPr>
          <w:rFonts w:eastAsiaTheme="minorEastAsia"/>
          <w:color w:val="000000" w:themeColor="text1"/>
          <w:szCs w:val="21"/>
        </w:rPr>
        <w:t>平均值分别为</w:t>
      </w:r>
      <w:r>
        <w:rPr>
          <w:rFonts w:eastAsiaTheme="minorEastAsia"/>
          <w:color w:val="000000" w:themeColor="text1"/>
          <w:szCs w:val="21"/>
        </w:rPr>
        <w:t>2.03%</w:t>
      </w:r>
      <w:r>
        <w:rPr>
          <w:rFonts w:eastAsiaTheme="minorEastAsia"/>
          <w:color w:val="000000" w:themeColor="text1"/>
          <w:szCs w:val="21"/>
        </w:rPr>
        <w:t>、</w:t>
      </w:r>
      <w:r>
        <w:rPr>
          <w:rFonts w:eastAsiaTheme="minorEastAsia"/>
          <w:color w:val="000000" w:themeColor="text1"/>
          <w:szCs w:val="21"/>
        </w:rPr>
        <w:t>2.16%</w:t>
      </w:r>
      <w:r>
        <w:rPr>
          <w:rFonts w:eastAsiaTheme="minorEastAsia"/>
          <w:color w:val="000000" w:themeColor="text1"/>
          <w:szCs w:val="21"/>
        </w:rPr>
        <w:t>和</w:t>
      </w:r>
      <w:r>
        <w:rPr>
          <w:rFonts w:eastAsiaTheme="minorEastAsia"/>
          <w:color w:val="000000" w:themeColor="text1"/>
          <w:szCs w:val="21"/>
        </w:rPr>
        <w:t>2.25%</w:t>
      </w:r>
      <w:r>
        <w:rPr>
          <w:rFonts w:eastAsiaTheme="minorEastAsia"/>
          <w:color w:val="000000" w:themeColor="text1"/>
          <w:szCs w:val="21"/>
        </w:rPr>
        <w:t>，较上个季度分别下行</w:t>
      </w:r>
      <w:r>
        <w:rPr>
          <w:rFonts w:eastAsiaTheme="minorEastAsia"/>
          <w:color w:val="000000" w:themeColor="text1"/>
          <w:szCs w:val="21"/>
        </w:rPr>
        <w:t>2bp</w:t>
      </w:r>
      <w:r>
        <w:rPr>
          <w:rFonts w:eastAsiaTheme="minorEastAsia"/>
          <w:color w:val="000000" w:themeColor="text1"/>
          <w:szCs w:val="21"/>
        </w:rPr>
        <w:t>、</w:t>
      </w:r>
      <w:r>
        <w:rPr>
          <w:rFonts w:eastAsiaTheme="minorEastAsia"/>
          <w:color w:val="000000" w:themeColor="text1"/>
          <w:szCs w:val="21"/>
        </w:rPr>
        <w:t>5bp</w:t>
      </w:r>
      <w:r>
        <w:rPr>
          <w:rFonts w:eastAsiaTheme="minorEastAsia"/>
          <w:color w:val="000000" w:themeColor="text1"/>
          <w:szCs w:val="21"/>
        </w:rPr>
        <w:t>和</w:t>
      </w:r>
      <w:r>
        <w:rPr>
          <w:rFonts w:eastAsiaTheme="minorEastAsia"/>
          <w:color w:val="000000" w:themeColor="text1"/>
          <w:szCs w:val="21"/>
        </w:rPr>
        <w:t>10bp</w:t>
      </w:r>
      <w:r>
        <w:rPr>
          <w:rFonts w:eastAsiaTheme="minorEastAsia"/>
          <w:color w:val="000000" w:themeColor="text1"/>
          <w:szCs w:val="21"/>
        </w:rPr>
        <w:t>。流动性宽松程度略超一季度时市场对二季度的</w:t>
      </w:r>
      <w:r>
        <w:rPr>
          <w:rFonts w:eastAsiaTheme="minorEastAsia"/>
          <w:color w:val="000000" w:themeColor="text1"/>
          <w:szCs w:val="21"/>
        </w:rPr>
        <w:t>预期。</w:t>
      </w:r>
    </w:p>
    <w:p w:rsidR="00CF1B44" w:rsidRDefault="00122F46">
      <w:pPr>
        <w:spacing w:line="360" w:lineRule="auto"/>
        <w:ind w:firstLineChars="200" w:firstLine="420"/>
        <w:rPr>
          <w:rFonts w:eastAsiaTheme="minorEastAsia"/>
          <w:color w:val="000000" w:themeColor="text1"/>
          <w:szCs w:val="21"/>
        </w:rPr>
      </w:pPr>
      <w:r>
        <w:rPr>
          <w:rFonts w:eastAsiaTheme="minorEastAsia"/>
          <w:color w:val="000000" w:themeColor="text1"/>
          <w:szCs w:val="21"/>
        </w:rPr>
        <w:t>债券市场方面，地方债供给明显低于预期，且受一季度主力配置机构偏谨慎，配置节奏明显慢于往年导致第二季度配置压力较大的影响，叠加流动性宽松，推动</w:t>
      </w:r>
      <w:r>
        <w:rPr>
          <w:rFonts w:eastAsiaTheme="minorEastAsia"/>
          <w:color w:val="000000" w:themeColor="text1"/>
          <w:szCs w:val="21"/>
        </w:rPr>
        <w:t>10</w:t>
      </w:r>
      <w:r>
        <w:rPr>
          <w:rFonts w:eastAsiaTheme="minorEastAsia"/>
          <w:color w:val="000000" w:themeColor="text1"/>
          <w:szCs w:val="21"/>
        </w:rPr>
        <w:t>年期国债和</w:t>
      </w:r>
      <w:r>
        <w:rPr>
          <w:rFonts w:eastAsiaTheme="minorEastAsia"/>
          <w:color w:val="000000" w:themeColor="text1"/>
          <w:szCs w:val="21"/>
        </w:rPr>
        <w:t>10</w:t>
      </w:r>
      <w:r>
        <w:rPr>
          <w:rFonts w:eastAsiaTheme="minorEastAsia"/>
          <w:color w:val="000000" w:themeColor="text1"/>
          <w:szCs w:val="21"/>
        </w:rPr>
        <w:t>年期国开债收益率在</w:t>
      </w:r>
      <w:r>
        <w:rPr>
          <w:rFonts w:eastAsiaTheme="minorEastAsia"/>
          <w:color w:val="000000" w:themeColor="text1"/>
          <w:szCs w:val="21"/>
        </w:rPr>
        <w:t>4-5</w:t>
      </w:r>
      <w:r>
        <w:rPr>
          <w:rFonts w:eastAsiaTheme="minorEastAsia"/>
          <w:color w:val="000000" w:themeColor="text1"/>
          <w:szCs w:val="21"/>
        </w:rPr>
        <w:t>月份下行明显，收益率最低下探至</w:t>
      </w:r>
      <w:r>
        <w:rPr>
          <w:rFonts w:eastAsiaTheme="minorEastAsia"/>
          <w:color w:val="000000" w:themeColor="text1"/>
          <w:szCs w:val="21"/>
        </w:rPr>
        <w:t>3.04%</w:t>
      </w:r>
      <w:r>
        <w:rPr>
          <w:rFonts w:eastAsiaTheme="minorEastAsia"/>
          <w:color w:val="000000" w:themeColor="text1"/>
          <w:szCs w:val="21"/>
        </w:rPr>
        <w:t>和</w:t>
      </w:r>
      <w:r>
        <w:rPr>
          <w:rFonts w:eastAsiaTheme="minorEastAsia"/>
          <w:color w:val="000000" w:themeColor="text1"/>
          <w:szCs w:val="21"/>
        </w:rPr>
        <w:t>3.47%</w:t>
      </w:r>
      <w:r>
        <w:rPr>
          <w:rFonts w:eastAsiaTheme="minorEastAsia"/>
          <w:color w:val="000000" w:themeColor="text1"/>
          <w:szCs w:val="21"/>
        </w:rPr>
        <w:t>，分别较</w:t>
      </w:r>
      <w:r>
        <w:rPr>
          <w:rFonts w:eastAsiaTheme="minorEastAsia"/>
          <w:color w:val="000000" w:themeColor="text1"/>
          <w:szCs w:val="21"/>
        </w:rPr>
        <w:t>3</w:t>
      </w:r>
      <w:r>
        <w:rPr>
          <w:rFonts w:eastAsiaTheme="minorEastAsia"/>
          <w:color w:val="000000" w:themeColor="text1"/>
          <w:szCs w:val="21"/>
        </w:rPr>
        <w:t>月底下行</w:t>
      </w:r>
      <w:r>
        <w:rPr>
          <w:rFonts w:eastAsiaTheme="minorEastAsia"/>
          <w:color w:val="000000" w:themeColor="text1"/>
          <w:szCs w:val="21"/>
        </w:rPr>
        <w:t>15bp</w:t>
      </w:r>
      <w:r>
        <w:rPr>
          <w:rFonts w:eastAsiaTheme="minorEastAsia"/>
          <w:color w:val="000000" w:themeColor="text1"/>
          <w:szCs w:val="21"/>
        </w:rPr>
        <w:t>和</w:t>
      </w:r>
      <w:r>
        <w:rPr>
          <w:rFonts w:eastAsiaTheme="minorEastAsia"/>
          <w:color w:val="000000" w:themeColor="text1"/>
          <w:szCs w:val="21"/>
        </w:rPr>
        <w:t>10bp</w:t>
      </w:r>
      <w:r>
        <w:rPr>
          <w:rFonts w:eastAsiaTheme="minorEastAsia"/>
          <w:color w:val="000000" w:themeColor="text1"/>
          <w:szCs w:val="21"/>
        </w:rPr>
        <w:t>，后从</w:t>
      </w:r>
      <w:r>
        <w:rPr>
          <w:rFonts w:eastAsiaTheme="minorEastAsia"/>
          <w:color w:val="000000" w:themeColor="text1"/>
          <w:szCs w:val="21"/>
        </w:rPr>
        <w:t>6</w:t>
      </w:r>
      <w:r>
        <w:rPr>
          <w:rFonts w:eastAsiaTheme="minorEastAsia"/>
          <w:color w:val="000000" w:themeColor="text1"/>
          <w:szCs w:val="21"/>
        </w:rPr>
        <w:t>月初略有回调，截至</w:t>
      </w:r>
      <w:r>
        <w:rPr>
          <w:rFonts w:eastAsiaTheme="minorEastAsia"/>
          <w:color w:val="000000" w:themeColor="text1"/>
          <w:szCs w:val="21"/>
        </w:rPr>
        <w:t>6</w:t>
      </w:r>
      <w:r>
        <w:rPr>
          <w:rFonts w:eastAsiaTheme="minorEastAsia"/>
          <w:color w:val="000000" w:themeColor="text1"/>
          <w:szCs w:val="21"/>
        </w:rPr>
        <w:t>月底最后一个工作日，</w:t>
      </w:r>
      <w:r>
        <w:rPr>
          <w:rFonts w:eastAsiaTheme="minorEastAsia"/>
          <w:color w:val="000000" w:themeColor="text1"/>
          <w:szCs w:val="21"/>
        </w:rPr>
        <w:t>10</w:t>
      </w:r>
      <w:r>
        <w:rPr>
          <w:rFonts w:eastAsiaTheme="minorEastAsia"/>
          <w:color w:val="000000" w:themeColor="text1"/>
          <w:szCs w:val="21"/>
        </w:rPr>
        <w:t>年期国债和</w:t>
      </w:r>
      <w:r>
        <w:rPr>
          <w:rFonts w:eastAsiaTheme="minorEastAsia"/>
          <w:color w:val="000000" w:themeColor="text1"/>
          <w:szCs w:val="21"/>
        </w:rPr>
        <w:t>10</w:t>
      </w:r>
      <w:r>
        <w:rPr>
          <w:rFonts w:eastAsiaTheme="minorEastAsia"/>
          <w:color w:val="000000" w:themeColor="text1"/>
          <w:szCs w:val="21"/>
        </w:rPr>
        <w:t>年期国开债收益率分别小</w:t>
      </w:r>
      <w:r>
        <w:rPr>
          <w:rFonts w:eastAsiaTheme="minorEastAsia"/>
          <w:color w:val="000000" w:themeColor="text1"/>
          <w:szCs w:val="21"/>
        </w:rPr>
        <w:lastRenderedPageBreak/>
        <w:t>幅回调至</w:t>
      </w:r>
      <w:r>
        <w:rPr>
          <w:rFonts w:eastAsiaTheme="minorEastAsia"/>
          <w:color w:val="000000" w:themeColor="text1"/>
          <w:szCs w:val="21"/>
        </w:rPr>
        <w:t>3.08%</w:t>
      </w:r>
      <w:r>
        <w:rPr>
          <w:rFonts w:eastAsiaTheme="minorEastAsia"/>
          <w:color w:val="000000" w:themeColor="text1"/>
          <w:szCs w:val="21"/>
        </w:rPr>
        <w:t>和</w:t>
      </w:r>
      <w:r>
        <w:rPr>
          <w:rFonts w:eastAsiaTheme="minorEastAsia"/>
          <w:color w:val="000000" w:themeColor="text1"/>
          <w:szCs w:val="21"/>
        </w:rPr>
        <w:t>3.49%</w:t>
      </w:r>
      <w:r>
        <w:rPr>
          <w:rFonts w:eastAsiaTheme="minorEastAsia"/>
          <w:color w:val="000000" w:themeColor="text1"/>
          <w:szCs w:val="21"/>
        </w:rPr>
        <w:t>。</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展望第三季度，预计经济复苏的趋势仍将维持，流动性仍然维稳，债券供给压力持平或略有上升，对债券市场仍然是多空交织的影响，因此，仍计划保持谨慎操作，追求确定性收益。</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4.4.2</w:t>
      </w:r>
      <w:r w:rsidRPr="00B27A29">
        <w:rPr>
          <w:rFonts w:eastAsiaTheme="minorEastAsia"/>
          <w:color w:val="000000" w:themeColor="text1"/>
          <w:szCs w:val="21"/>
        </w:rPr>
        <w:t>报告期内基金的业绩表现</w:t>
      </w:r>
    </w:p>
    <w:p w:rsidR="00CF1B44" w:rsidRDefault="00122F46">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本报告期上投摩根丰瑞债券</w:t>
      </w:r>
      <w:r>
        <w:rPr>
          <w:rFonts w:eastAsiaTheme="minorEastAsia"/>
          <w:color w:val="000000" w:themeColor="text1"/>
          <w:szCs w:val="21"/>
        </w:rPr>
        <w:t>A</w:t>
      </w:r>
      <w:r>
        <w:rPr>
          <w:rFonts w:eastAsiaTheme="minorEastAsia"/>
          <w:color w:val="000000" w:themeColor="text1"/>
          <w:szCs w:val="21"/>
        </w:rPr>
        <w:t>份额净值增长率为</w:t>
      </w:r>
      <w:r>
        <w:rPr>
          <w:rFonts w:eastAsiaTheme="minorEastAsia"/>
          <w:color w:val="000000" w:themeColor="text1"/>
          <w:szCs w:val="21"/>
        </w:rPr>
        <w:t>:0.94%</w:t>
      </w:r>
      <w:r>
        <w:rPr>
          <w:rFonts w:eastAsiaTheme="minorEastAsia"/>
          <w:color w:val="000000" w:themeColor="text1"/>
          <w:szCs w:val="21"/>
        </w:rPr>
        <w:t>，同期业绩比较基准收益率为</w:t>
      </w:r>
      <w:r>
        <w:rPr>
          <w:rFonts w:eastAsiaTheme="minorEastAsia"/>
          <w:color w:val="000000" w:themeColor="text1"/>
          <w:szCs w:val="21"/>
        </w:rPr>
        <w:t>:1.23%,</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上投摩根丰瑞债券</w:t>
      </w:r>
      <w:r w:rsidRPr="00B27A29">
        <w:rPr>
          <w:rFonts w:eastAsiaTheme="minorEastAsia"/>
          <w:color w:val="000000" w:themeColor="text1"/>
          <w:szCs w:val="21"/>
        </w:rPr>
        <w:t>C</w:t>
      </w:r>
      <w:r w:rsidRPr="00B27A29">
        <w:rPr>
          <w:rFonts w:eastAsiaTheme="minorEastAsia"/>
          <w:color w:val="000000" w:themeColor="text1"/>
          <w:szCs w:val="21"/>
        </w:rPr>
        <w:t>份额净值增长率为</w:t>
      </w:r>
      <w:r w:rsidRPr="00B27A29">
        <w:rPr>
          <w:rFonts w:eastAsiaTheme="minorEastAsia"/>
          <w:color w:val="000000" w:themeColor="text1"/>
          <w:szCs w:val="21"/>
        </w:rPr>
        <w:t>:0.92%</w:t>
      </w:r>
      <w:r w:rsidRPr="00B27A29">
        <w:rPr>
          <w:rFonts w:eastAsiaTheme="minorEastAsia"/>
          <w:color w:val="000000" w:themeColor="text1"/>
          <w:szCs w:val="21"/>
        </w:rPr>
        <w:t>，同期业绩比较基准收益率为</w:t>
      </w:r>
      <w:r w:rsidRPr="00B27A29">
        <w:rPr>
          <w:rFonts w:eastAsiaTheme="minorEastAsia"/>
          <w:color w:val="000000" w:themeColor="text1"/>
          <w:szCs w:val="21"/>
        </w:rPr>
        <w:t>:1.23%</w:t>
      </w:r>
      <w:r w:rsidRPr="00B27A29">
        <w:rPr>
          <w:rFonts w:eastAsiaTheme="minorEastAsia"/>
          <w:color w:val="000000" w:themeColor="text1"/>
          <w:szCs w:val="21"/>
        </w:rPr>
        <w:t>。</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spacing w:line="360" w:lineRule="auto"/>
        <w:rPr>
          <w:rFonts w:eastAsiaTheme="minorEastAsia"/>
          <w:color w:val="000000" w:themeColor="text1"/>
          <w:szCs w:val="21"/>
        </w:rPr>
      </w:pPr>
      <w:r w:rsidRPr="00B27A29">
        <w:rPr>
          <w:rFonts w:eastAsiaTheme="minorEastAsia"/>
          <w:b/>
          <w:color w:val="000000" w:themeColor="text1"/>
          <w:kern w:val="0"/>
          <w:szCs w:val="21"/>
        </w:rPr>
        <w:t>4.5</w:t>
      </w:r>
      <w:r w:rsidRPr="00B27A29">
        <w:rPr>
          <w:rFonts w:eastAsiaTheme="minorEastAsia"/>
          <w:b/>
          <w:color w:val="000000" w:themeColor="text1"/>
          <w:kern w:val="0"/>
          <w:szCs w:val="21"/>
        </w:rPr>
        <w:t>报告期内基金持有人数或基金资产净值预警说明</w:t>
      </w:r>
    </w:p>
    <w:p w:rsidR="005E6DF3" w:rsidRPr="00B27A29" w:rsidRDefault="005C671B">
      <w:pPr>
        <w:spacing w:line="360" w:lineRule="auto"/>
        <w:ind w:firstLineChars="200" w:firstLine="420"/>
        <w:rPr>
          <w:rFonts w:eastAsiaTheme="minorEastAsia"/>
          <w:color w:val="000000" w:themeColor="text1"/>
          <w:kern w:val="0"/>
          <w:szCs w:val="21"/>
        </w:rPr>
      </w:pPr>
      <w:r w:rsidRPr="00B27A29">
        <w:rPr>
          <w:rFonts w:eastAsiaTheme="minorEastAsia"/>
          <w:color w:val="000000" w:themeColor="text1"/>
          <w:kern w:val="0"/>
          <w:szCs w:val="21"/>
        </w:rPr>
        <w:t>无。</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§5  </w:t>
      </w:r>
      <w:r w:rsidRPr="00B27A29">
        <w:rPr>
          <w:rFonts w:eastAsiaTheme="minorEastAsia"/>
          <w:color w:val="000000" w:themeColor="text1"/>
          <w:kern w:val="0"/>
          <w:sz w:val="21"/>
          <w:szCs w:val="21"/>
        </w:rPr>
        <w:t>投资组合报告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5.1 </w:t>
      </w:r>
      <w:r w:rsidRPr="00B27A29">
        <w:rPr>
          <w:rFonts w:eastAsiaTheme="minorEastAsia"/>
          <w:b/>
          <w:color w:val="000000" w:themeColor="text1"/>
          <w:kern w:val="0"/>
          <w:szCs w:val="21"/>
        </w:rPr>
        <w:t>报告期末基金资产组合情况</w:t>
      </w:r>
    </w:p>
    <w:tbl>
      <w:tblPr>
        <w:tblStyle w:val="afa"/>
        <w:tblW w:w="8897" w:type="dxa"/>
        <w:tblInd w:w="108" w:type="dxa"/>
        <w:tblLayout w:type="fixed"/>
        <w:tblLook w:val="04A0" w:firstRow="1" w:lastRow="0" w:firstColumn="1" w:lastColumn="0" w:noHBand="0" w:noVBand="1"/>
      </w:tblPr>
      <w:tblGrid>
        <w:gridCol w:w="720"/>
        <w:gridCol w:w="3357"/>
        <w:gridCol w:w="2977"/>
        <w:gridCol w:w="1843"/>
      </w:tblGrid>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序号</w:t>
            </w:r>
          </w:p>
        </w:tc>
        <w:tc>
          <w:tcPr>
            <w:tcW w:w="335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项目</w:t>
            </w:r>
          </w:p>
        </w:tc>
        <w:tc>
          <w:tcPr>
            <w:tcW w:w="297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金额</w:t>
            </w:r>
            <w:r w:rsidRPr="00B27A29">
              <w:rPr>
                <w:rFonts w:eastAsiaTheme="minorEastAsia"/>
                <w:color w:val="000000" w:themeColor="text1"/>
                <w:szCs w:val="21"/>
              </w:rPr>
              <w:t>(</w:t>
            </w:r>
            <w:r w:rsidRPr="00B27A29">
              <w:rPr>
                <w:rFonts w:eastAsiaTheme="minorEastAsia"/>
                <w:color w:val="000000" w:themeColor="text1"/>
                <w:szCs w:val="21"/>
              </w:rPr>
              <w:t>元</w:t>
            </w: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占基金总资产的比例</w:t>
            </w: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1</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权益投资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其中：股票</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固定收益投资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1,296,184,682.00</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98.12</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其中：债券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1,296,184,682.00</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98.12</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autoSpaceDE w:val="0"/>
              <w:autoSpaceDN w:val="0"/>
              <w:adjustRightInd w:val="0"/>
              <w:spacing w:before="29" w:line="360" w:lineRule="auto"/>
              <w:ind w:left="17" w:firstLineChars="300" w:firstLine="630"/>
              <w:jc w:val="left"/>
              <w:rPr>
                <w:rFonts w:eastAsiaTheme="minorEastAsia"/>
                <w:color w:val="000000" w:themeColor="text1"/>
                <w:szCs w:val="21"/>
              </w:rPr>
            </w:pPr>
            <w:r w:rsidRPr="00B27A29">
              <w:rPr>
                <w:rFonts w:eastAsiaTheme="minorEastAsia"/>
                <w:color w:val="000000" w:themeColor="text1"/>
                <w:szCs w:val="21"/>
              </w:rPr>
              <w:t>资产支持证券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3</w:t>
            </w:r>
          </w:p>
        </w:tc>
        <w:tc>
          <w:tcPr>
            <w:tcW w:w="3357" w:type="dxa"/>
          </w:tcPr>
          <w:p w:rsidR="005E6DF3" w:rsidRPr="00B27A29" w:rsidRDefault="005C671B">
            <w:pPr>
              <w:spacing w:before="29" w:line="360" w:lineRule="auto"/>
              <w:ind w:leftChars="50" w:left="105"/>
              <w:rPr>
                <w:rFonts w:eastAsiaTheme="minorEastAsia"/>
                <w:color w:val="000000" w:themeColor="text1"/>
                <w:szCs w:val="21"/>
              </w:rPr>
            </w:pPr>
            <w:r w:rsidRPr="00B27A29">
              <w:rPr>
                <w:rFonts w:eastAsiaTheme="minorEastAsia"/>
                <w:color w:val="000000" w:themeColor="text1"/>
                <w:szCs w:val="21"/>
              </w:rPr>
              <w:t>贵金属投资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4</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金融衍生品投资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5</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其中：买断式回购的买入返售金融资产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6</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银行存款和结算备付金合计</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9,486,623.13</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0.72</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7</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其他各项资产</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15,327,541.49</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1.16</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8</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合计</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1,320,998,846.62</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100.00</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lastRenderedPageBreak/>
        <w:t xml:space="preserve">5.2 </w:t>
      </w:r>
      <w:r w:rsidRPr="00B27A29">
        <w:rPr>
          <w:rFonts w:eastAsiaTheme="minorEastAsia"/>
          <w:b/>
          <w:color w:val="000000" w:themeColor="text1"/>
          <w:kern w:val="0"/>
          <w:szCs w:val="21"/>
        </w:rPr>
        <w:t>报告期末按行业分类的股票投资组合</w:t>
      </w:r>
    </w:p>
    <w:p w:rsidR="005E6DF3" w:rsidRPr="00B27A29" w:rsidRDefault="005C671B">
      <w:pPr>
        <w:rPr>
          <w:b/>
        </w:rPr>
      </w:pPr>
      <w:r w:rsidRPr="00B27A29">
        <w:rPr>
          <w:b/>
        </w:rPr>
        <w:t xml:space="preserve"> </w:t>
      </w:r>
      <w:r w:rsidRPr="00B27A29">
        <w:rPr>
          <w:rFonts w:eastAsiaTheme="minorEastAsia"/>
          <w:b/>
          <w:color w:val="000000" w:themeColor="text1"/>
          <w:kern w:val="0"/>
          <w:szCs w:val="21"/>
        </w:rPr>
        <w:t>5.2.1</w:t>
      </w:r>
      <w:r w:rsidRPr="00B27A29">
        <w:rPr>
          <w:rFonts w:eastAsiaTheme="minorEastAsia"/>
          <w:b/>
          <w:color w:val="000000" w:themeColor="text1"/>
          <w:kern w:val="0"/>
          <w:szCs w:val="21"/>
        </w:rPr>
        <w:t>报告期末按行业分类的境内股票投资组合</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本基金本报告期末未持有股票。</w:t>
      </w:r>
    </w:p>
    <w:p w:rsidR="00B27A29" w:rsidRPr="00B27A29" w:rsidRDefault="00B27A29" w:rsidP="00B27A29">
      <w:pPr>
        <w:spacing w:line="360" w:lineRule="auto"/>
        <w:rPr>
          <w:rFonts w:eastAsiaTheme="minorEastAsia"/>
          <w:szCs w:val="21"/>
        </w:rPr>
      </w:pPr>
      <w:bookmarkStart w:id="1" w:name="_Hlk73460790"/>
      <w:r w:rsidRPr="00B27A29">
        <w:rPr>
          <w:rFonts w:eastAsiaTheme="minorEastAsia"/>
          <w:b/>
          <w:bCs/>
          <w:kern w:val="0"/>
          <w:szCs w:val="21"/>
        </w:rPr>
        <w:t>5.3</w:t>
      </w:r>
      <w:r w:rsidRPr="00B27A29">
        <w:rPr>
          <w:rFonts w:asciiTheme="minorEastAsia" w:eastAsiaTheme="minorEastAsia" w:hAnsiTheme="minorEastAsia" w:hint="eastAsia"/>
          <w:b/>
          <w:bCs/>
          <w:kern w:val="0"/>
          <w:szCs w:val="21"/>
        </w:rPr>
        <w:t>期末按公允价值占基金资产净值比例大小排序的股票投资明细</w:t>
      </w:r>
      <w:r w:rsidRPr="00B27A29">
        <w:rPr>
          <w:rFonts w:asciiTheme="minorEastAsia" w:eastAsiaTheme="minorEastAsia" w:hAnsiTheme="minorEastAsia" w:hint="eastAsia"/>
          <w:b/>
          <w:bCs/>
          <w:kern w:val="0"/>
          <w:szCs w:val="21"/>
        </w:rPr>
        <w:cr/>
      </w:r>
      <w:r w:rsidRPr="00B27A29">
        <w:rPr>
          <w:rFonts w:eastAsiaTheme="minorEastAsia"/>
          <w:b/>
          <w:bCs/>
          <w:kern w:val="0"/>
          <w:szCs w:val="21"/>
        </w:rPr>
        <w:t>5.3.1</w:t>
      </w:r>
      <w:r w:rsidRPr="00B27A29">
        <w:rPr>
          <w:rFonts w:asciiTheme="minorEastAsia" w:eastAsiaTheme="minorEastAsia" w:hAnsiTheme="minorEastAsia" w:hint="eastAsia"/>
          <w:b/>
          <w:bCs/>
          <w:kern w:val="0"/>
          <w:szCs w:val="21"/>
        </w:rPr>
        <w:t>报告期末按公允价值占基金资产净值比例大小排序的前十名股票投资明细</w:t>
      </w:r>
    </w:p>
    <w:p w:rsidR="00B27A29" w:rsidRPr="00B27A29" w:rsidRDefault="00B27A29" w:rsidP="00B27A29">
      <w:pPr>
        <w:spacing w:line="360" w:lineRule="auto"/>
        <w:ind w:firstLineChars="200" w:firstLine="420"/>
        <w:rPr>
          <w:rFonts w:eastAsiaTheme="minorEastAsia"/>
          <w:szCs w:val="21"/>
        </w:rPr>
      </w:pPr>
      <w:r w:rsidRPr="00B27A29">
        <w:rPr>
          <w:rFonts w:eastAsiaTheme="minorEastAsia"/>
          <w:szCs w:val="21"/>
        </w:rPr>
        <w:t>本基金本报告期末未持有股票。</w:t>
      </w:r>
    </w:p>
    <w:bookmarkEnd w:id="1"/>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5.4 </w:t>
      </w:r>
      <w:r w:rsidRPr="00B27A29">
        <w:rPr>
          <w:rFonts w:eastAsiaTheme="minorEastAsia"/>
          <w:b/>
          <w:color w:val="000000" w:themeColor="text1"/>
          <w:kern w:val="0"/>
          <w:szCs w:val="21"/>
        </w:rPr>
        <w:t>报告期末按债券品种分类的债券投资组合</w:t>
      </w:r>
    </w:p>
    <w:tbl>
      <w:tblPr>
        <w:tblW w:w="85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260"/>
        <w:gridCol w:w="2835"/>
        <w:gridCol w:w="1616"/>
      </w:tblGrid>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序号</w:t>
            </w:r>
          </w:p>
        </w:tc>
        <w:tc>
          <w:tcPr>
            <w:tcW w:w="326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债券品种</w:t>
            </w:r>
          </w:p>
        </w:tc>
        <w:tc>
          <w:tcPr>
            <w:tcW w:w="2835"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公允价值</w:t>
            </w:r>
            <w:r w:rsidRPr="00B27A29">
              <w:rPr>
                <w:rFonts w:eastAsiaTheme="minorEastAsia"/>
                <w:color w:val="000000" w:themeColor="text1"/>
                <w:szCs w:val="21"/>
              </w:rPr>
              <w:t>(</w:t>
            </w:r>
            <w:r w:rsidRPr="00B27A29">
              <w:rPr>
                <w:rFonts w:eastAsiaTheme="minorEastAsia"/>
                <w:color w:val="000000" w:themeColor="text1"/>
                <w:szCs w:val="21"/>
              </w:rPr>
              <w:t>元</w:t>
            </w: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占基金资产净值比例</w:t>
            </w:r>
            <w:r w:rsidRPr="00B27A29">
              <w:rPr>
                <w:rFonts w:eastAsiaTheme="minorEastAsia"/>
                <w:color w:val="000000" w:themeColor="text1"/>
                <w:szCs w:val="21"/>
              </w:rPr>
              <w:t>(</w:t>
            </w:r>
            <w:r w:rsidRPr="00B27A29">
              <w:rPr>
                <w:rFonts w:eastAsiaTheme="minorEastAsia"/>
                <w:color w:val="000000" w:themeColor="text1"/>
                <w:szCs w:val="21"/>
              </w:rPr>
              <w:t>％</w:t>
            </w: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1</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国家债券</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70,193,000.00</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5.53</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央行票据</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3</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金融债券</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990,496,682.00</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77.97</w:t>
            </w:r>
          </w:p>
        </w:tc>
      </w:tr>
      <w:tr w:rsidR="005E6DF3" w:rsidRPr="00B27A29">
        <w:tc>
          <w:tcPr>
            <w:tcW w:w="817"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其中：政策性金融债</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587,074,682.00</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46.21</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4</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企业债券</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5</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企业短期融资券</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6</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中期票据</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7</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可转债（可交换债）</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8</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同业存单</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235,495,000.00</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18.54</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9</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其他</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10</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合计</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1,296,184,682.00</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102.04</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5.5 </w:t>
      </w:r>
      <w:r w:rsidRPr="00B27A29">
        <w:rPr>
          <w:rFonts w:eastAsiaTheme="minorEastAsia"/>
          <w:b/>
          <w:color w:val="000000" w:themeColor="text1"/>
          <w:kern w:val="0"/>
          <w:szCs w:val="21"/>
        </w:rPr>
        <w:t>报告期末按公允价值占基金资产净值比例大小排序的前五名债券投资明细</w:t>
      </w:r>
    </w:p>
    <w:tbl>
      <w:tblPr>
        <w:tblStyle w:val="afa"/>
        <w:tblW w:w="9021" w:type="dxa"/>
        <w:tblInd w:w="108" w:type="dxa"/>
        <w:tblLayout w:type="fixed"/>
        <w:tblLook w:val="04A0" w:firstRow="1" w:lastRow="0" w:firstColumn="1" w:lastColumn="0" w:noHBand="0" w:noVBand="1"/>
      </w:tblPr>
      <w:tblGrid>
        <w:gridCol w:w="1504"/>
        <w:gridCol w:w="1504"/>
        <w:gridCol w:w="1504"/>
        <w:gridCol w:w="1503"/>
        <w:gridCol w:w="1503"/>
        <w:gridCol w:w="1503"/>
      </w:tblGrid>
      <w:tr w:rsidR="005E6DF3" w:rsidRPr="00B27A29">
        <w:tc>
          <w:tcPr>
            <w:tcW w:w="1504"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序号</w:t>
            </w:r>
          </w:p>
        </w:tc>
        <w:tc>
          <w:tcPr>
            <w:tcW w:w="1504"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债券代码</w:t>
            </w:r>
          </w:p>
        </w:tc>
        <w:tc>
          <w:tcPr>
            <w:tcW w:w="1504"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债券名称</w:t>
            </w:r>
          </w:p>
        </w:tc>
        <w:tc>
          <w:tcPr>
            <w:tcW w:w="1503"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数量（张）</w:t>
            </w:r>
          </w:p>
        </w:tc>
        <w:tc>
          <w:tcPr>
            <w:tcW w:w="1503"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公允价值</w:t>
            </w:r>
            <w:r w:rsidRPr="00B27A29">
              <w:rPr>
                <w:rFonts w:eastAsiaTheme="minorEastAsia"/>
                <w:color w:val="000000" w:themeColor="text1"/>
                <w:kern w:val="0"/>
                <w:szCs w:val="21"/>
              </w:rPr>
              <w:t>(</w:t>
            </w:r>
            <w:r w:rsidRPr="00B27A29">
              <w:rPr>
                <w:rFonts w:eastAsiaTheme="minorEastAsia"/>
                <w:color w:val="000000" w:themeColor="text1"/>
                <w:kern w:val="0"/>
                <w:szCs w:val="21"/>
              </w:rPr>
              <w:t>元</w:t>
            </w:r>
            <w:r w:rsidRPr="00B27A29">
              <w:rPr>
                <w:rFonts w:eastAsiaTheme="minorEastAsia"/>
                <w:color w:val="000000" w:themeColor="text1"/>
                <w:kern w:val="0"/>
                <w:szCs w:val="21"/>
              </w:rPr>
              <w:t>)</w:t>
            </w:r>
          </w:p>
        </w:tc>
        <w:tc>
          <w:tcPr>
            <w:tcW w:w="1503"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占基金资产净值比例（％）</w:t>
            </w:r>
          </w:p>
        </w:tc>
      </w:tr>
      <w:tr w:rsidR="00CF1B44">
        <w:tc>
          <w:tcPr>
            <w:tcW w:w="1504" w:type="dxa"/>
            <w:vAlign w:val="center"/>
          </w:tcPr>
          <w:p w:rsidR="00CF1B44" w:rsidRDefault="00122F46">
            <w:pPr>
              <w:jc w:val="center"/>
            </w:pPr>
            <w:r>
              <w:rPr>
                <w:rFonts w:eastAsiaTheme="minorEastAsia"/>
                <w:color w:val="000000" w:themeColor="text1"/>
                <w:szCs w:val="21"/>
              </w:rPr>
              <w:t>1</w:t>
            </w:r>
          </w:p>
        </w:tc>
        <w:tc>
          <w:tcPr>
            <w:tcW w:w="1504" w:type="dxa"/>
            <w:vAlign w:val="center"/>
          </w:tcPr>
          <w:p w:rsidR="00CF1B44" w:rsidRDefault="00122F46">
            <w:pPr>
              <w:jc w:val="center"/>
            </w:pPr>
            <w:r>
              <w:rPr>
                <w:rFonts w:eastAsiaTheme="minorEastAsia"/>
                <w:color w:val="000000" w:themeColor="text1"/>
                <w:szCs w:val="21"/>
              </w:rPr>
              <w:t>180204</w:t>
            </w:r>
          </w:p>
        </w:tc>
        <w:tc>
          <w:tcPr>
            <w:tcW w:w="1504" w:type="dxa"/>
            <w:vAlign w:val="center"/>
          </w:tcPr>
          <w:p w:rsidR="00CF1B44" w:rsidRDefault="00122F46">
            <w:pPr>
              <w:jc w:val="center"/>
            </w:pPr>
            <w:r>
              <w:rPr>
                <w:rFonts w:eastAsiaTheme="minorEastAsia"/>
                <w:color w:val="000000" w:themeColor="text1"/>
                <w:szCs w:val="21"/>
              </w:rPr>
              <w:t>18</w:t>
            </w:r>
            <w:r>
              <w:rPr>
                <w:rFonts w:eastAsiaTheme="minorEastAsia"/>
                <w:color w:val="000000" w:themeColor="text1"/>
                <w:szCs w:val="21"/>
              </w:rPr>
              <w:t>国开</w:t>
            </w:r>
            <w:r>
              <w:rPr>
                <w:rFonts w:eastAsiaTheme="minorEastAsia"/>
                <w:color w:val="000000" w:themeColor="text1"/>
                <w:szCs w:val="21"/>
              </w:rPr>
              <w:t>04</w:t>
            </w:r>
          </w:p>
        </w:tc>
        <w:tc>
          <w:tcPr>
            <w:tcW w:w="1503" w:type="dxa"/>
            <w:vAlign w:val="center"/>
          </w:tcPr>
          <w:p w:rsidR="00CF1B44" w:rsidRDefault="00122F46">
            <w:pPr>
              <w:jc w:val="right"/>
            </w:pPr>
            <w:r>
              <w:rPr>
                <w:rFonts w:eastAsiaTheme="minorEastAsia"/>
                <w:color w:val="000000" w:themeColor="text1"/>
                <w:szCs w:val="21"/>
              </w:rPr>
              <w:t>2,500,000</w:t>
            </w:r>
          </w:p>
        </w:tc>
        <w:tc>
          <w:tcPr>
            <w:tcW w:w="1503" w:type="dxa"/>
            <w:vAlign w:val="center"/>
          </w:tcPr>
          <w:p w:rsidR="00CF1B44" w:rsidRDefault="00122F46">
            <w:pPr>
              <w:jc w:val="right"/>
            </w:pPr>
            <w:r>
              <w:rPr>
                <w:rFonts w:eastAsiaTheme="minorEastAsia"/>
                <w:color w:val="000000" w:themeColor="text1"/>
                <w:szCs w:val="21"/>
              </w:rPr>
              <w:t>257,825,000.00</w:t>
            </w:r>
          </w:p>
        </w:tc>
        <w:tc>
          <w:tcPr>
            <w:tcW w:w="1503" w:type="dxa"/>
            <w:vAlign w:val="center"/>
          </w:tcPr>
          <w:p w:rsidR="00CF1B44" w:rsidRDefault="00122F46">
            <w:pPr>
              <w:jc w:val="right"/>
            </w:pPr>
            <w:r>
              <w:rPr>
                <w:rFonts w:eastAsiaTheme="minorEastAsia"/>
                <w:color w:val="000000" w:themeColor="text1"/>
                <w:szCs w:val="21"/>
              </w:rPr>
              <w:t>20.30</w:t>
            </w:r>
          </w:p>
        </w:tc>
      </w:tr>
      <w:tr w:rsidR="00CF1B44">
        <w:tc>
          <w:tcPr>
            <w:tcW w:w="1504" w:type="dxa"/>
            <w:vAlign w:val="center"/>
          </w:tcPr>
          <w:p w:rsidR="00CF1B44" w:rsidRDefault="00122F46">
            <w:pPr>
              <w:jc w:val="center"/>
            </w:pPr>
            <w:r>
              <w:rPr>
                <w:rFonts w:eastAsiaTheme="minorEastAsia"/>
                <w:color w:val="000000" w:themeColor="text1"/>
                <w:szCs w:val="21"/>
              </w:rPr>
              <w:t>2</w:t>
            </w:r>
          </w:p>
        </w:tc>
        <w:tc>
          <w:tcPr>
            <w:tcW w:w="1504" w:type="dxa"/>
            <w:vAlign w:val="center"/>
          </w:tcPr>
          <w:p w:rsidR="00CF1B44" w:rsidRDefault="00122F46">
            <w:pPr>
              <w:jc w:val="center"/>
            </w:pPr>
            <w:r>
              <w:rPr>
                <w:rFonts w:eastAsiaTheme="minorEastAsia"/>
                <w:color w:val="000000" w:themeColor="text1"/>
                <w:szCs w:val="21"/>
              </w:rPr>
              <w:t>200202</w:t>
            </w:r>
          </w:p>
        </w:tc>
        <w:tc>
          <w:tcPr>
            <w:tcW w:w="1504" w:type="dxa"/>
            <w:vAlign w:val="center"/>
          </w:tcPr>
          <w:p w:rsidR="00CF1B44" w:rsidRDefault="00122F46">
            <w:pPr>
              <w:jc w:val="center"/>
            </w:pPr>
            <w:r>
              <w:rPr>
                <w:rFonts w:eastAsiaTheme="minorEastAsia"/>
                <w:color w:val="000000" w:themeColor="text1"/>
                <w:szCs w:val="21"/>
              </w:rPr>
              <w:t>20</w:t>
            </w:r>
            <w:r>
              <w:rPr>
                <w:rFonts w:eastAsiaTheme="minorEastAsia"/>
                <w:color w:val="000000" w:themeColor="text1"/>
                <w:szCs w:val="21"/>
              </w:rPr>
              <w:t>国开</w:t>
            </w:r>
            <w:r>
              <w:rPr>
                <w:rFonts w:eastAsiaTheme="minorEastAsia"/>
                <w:color w:val="000000" w:themeColor="text1"/>
                <w:szCs w:val="21"/>
              </w:rPr>
              <w:t>02</w:t>
            </w:r>
          </w:p>
        </w:tc>
        <w:tc>
          <w:tcPr>
            <w:tcW w:w="1503" w:type="dxa"/>
            <w:vAlign w:val="center"/>
          </w:tcPr>
          <w:p w:rsidR="00CF1B44" w:rsidRDefault="00122F46">
            <w:pPr>
              <w:jc w:val="right"/>
            </w:pPr>
            <w:r>
              <w:rPr>
                <w:rFonts w:eastAsiaTheme="minorEastAsia"/>
                <w:color w:val="000000" w:themeColor="text1"/>
                <w:szCs w:val="21"/>
              </w:rPr>
              <w:t>1,200,000</w:t>
            </w:r>
          </w:p>
        </w:tc>
        <w:tc>
          <w:tcPr>
            <w:tcW w:w="1503" w:type="dxa"/>
            <w:vAlign w:val="center"/>
          </w:tcPr>
          <w:p w:rsidR="00CF1B44" w:rsidRDefault="00122F46">
            <w:pPr>
              <w:jc w:val="right"/>
            </w:pPr>
            <w:r>
              <w:rPr>
                <w:rFonts w:eastAsiaTheme="minorEastAsia"/>
                <w:color w:val="000000" w:themeColor="text1"/>
                <w:szCs w:val="21"/>
              </w:rPr>
              <w:t>118,068,000.00</w:t>
            </w:r>
          </w:p>
        </w:tc>
        <w:tc>
          <w:tcPr>
            <w:tcW w:w="1503" w:type="dxa"/>
            <w:vAlign w:val="center"/>
          </w:tcPr>
          <w:p w:rsidR="00CF1B44" w:rsidRDefault="00122F46">
            <w:pPr>
              <w:jc w:val="right"/>
            </w:pPr>
            <w:r>
              <w:rPr>
                <w:rFonts w:eastAsiaTheme="minorEastAsia"/>
                <w:color w:val="000000" w:themeColor="text1"/>
                <w:szCs w:val="21"/>
              </w:rPr>
              <w:t>9.29</w:t>
            </w:r>
          </w:p>
        </w:tc>
      </w:tr>
      <w:tr w:rsidR="00CF1B44">
        <w:tc>
          <w:tcPr>
            <w:tcW w:w="1504" w:type="dxa"/>
            <w:vAlign w:val="center"/>
          </w:tcPr>
          <w:p w:rsidR="00CF1B44" w:rsidRDefault="00122F46">
            <w:pPr>
              <w:jc w:val="center"/>
            </w:pPr>
            <w:r>
              <w:rPr>
                <w:rFonts w:eastAsiaTheme="minorEastAsia"/>
                <w:color w:val="000000" w:themeColor="text1"/>
                <w:szCs w:val="21"/>
              </w:rPr>
              <w:t>3</w:t>
            </w:r>
          </w:p>
        </w:tc>
        <w:tc>
          <w:tcPr>
            <w:tcW w:w="1504" w:type="dxa"/>
            <w:vAlign w:val="center"/>
          </w:tcPr>
          <w:p w:rsidR="00CF1B44" w:rsidRDefault="00122F46">
            <w:pPr>
              <w:jc w:val="center"/>
            </w:pPr>
            <w:r>
              <w:rPr>
                <w:rFonts w:eastAsiaTheme="minorEastAsia"/>
                <w:color w:val="000000" w:themeColor="text1"/>
                <w:szCs w:val="21"/>
              </w:rPr>
              <w:t>2020003</w:t>
            </w:r>
          </w:p>
        </w:tc>
        <w:tc>
          <w:tcPr>
            <w:tcW w:w="1504" w:type="dxa"/>
            <w:vAlign w:val="center"/>
          </w:tcPr>
          <w:p w:rsidR="00CF1B44" w:rsidRDefault="00122F46">
            <w:pPr>
              <w:jc w:val="center"/>
            </w:pPr>
            <w:r>
              <w:rPr>
                <w:rFonts w:eastAsiaTheme="minorEastAsia"/>
                <w:color w:val="000000" w:themeColor="text1"/>
                <w:szCs w:val="21"/>
              </w:rPr>
              <w:t>20</w:t>
            </w:r>
            <w:r>
              <w:rPr>
                <w:rFonts w:eastAsiaTheme="minorEastAsia"/>
                <w:color w:val="000000" w:themeColor="text1"/>
                <w:szCs w:val="21"/>
              </w:rPr>
              <w:t>天津银行</w:t>
            </w:r>
            <w:r>
              <w:rPr>
                <w:rFonts w:eastAsiaTheme="minorEastAsia"/>
                <w:color w:val="000000" w:themeColor="text1"/>
                <w:szCs w:val="21"/>
              </w:rPr>
              <w:t>01</w:t>
            </w:r>
          </w:p>
        </w:tc>
        <w:tc>
          <w:tcPr>
            <w:tcW w:w="1503" w:type="dxa"/>
            <w:vAlign w:val="center"/>
          </w:tcPr>
          <w:p w:rsidR="00CF1B44" w:rsidRDefault="00122F46">
            <w:pPr>
              <w:jc w:val="right"/>
            </w:pPr>
            <w:r>
              <w:rPr>
                <w:rFonts w:eastAsiaTheme="minorEastAsia"/>
                <w:color w:val="000000" w:themeColor="text1"/>
                <w:szCs w:val="21"/>
              </w:rPr>
              <w:t>1,000,000</w:t>
            </w:r>
          </w:p>
        </w:tc>
        <w:tc>
          <w:tcPr>
            <w:tcW w:w="1503" w:type="dxa"/>
            <w:vAlign w:val="center"/>
          </w:tcPr>
          <w:p w:rsidR="00CF1B44" w:rsidRDefault="00122F46">
            <w:pPr>
              <w:jc w:val="right"/>
            </w:pPr>
            <w:r>
              <w:rPr>
                <w:rFonts w:eastAsiaTheme="minorEastAsia"/>
                <w:color w:val="000000" w:themeColor="text1"/>
                <w:szCs w:val="21"/>
              </w:rPr>
              <w:t>100,710,000.00</w:t>
            </w:r>
          </w:p>
        </w:tc>
        <w:tc>
          <w:tcPr>
            <w:tcW w:w="1503" w:type="dxa"/>
            <w:vAlign w:val="center"/>
          </w:tcPr>
          <w:p w:rsidR="00CF1B44" w:rsidRDefault="00122F46">
            <w:pPr>
              <w:jc w:val="right"/>
            </w:pPr>
            <w:r>
              <w:rPr>
                <w:rFonts w:eastAsiaTheme="minorEastAsia"/>
                <w:color w:val="000000" w:themeColor="text1"/>
                <w:szCs w:val="21"/>
              </w:rPr>
              <w:t>7.93</w:t>
            </w:r>
          </w:p>
        </w:tc>
      </w:tr>
      <w:tr w:rsidR="00CF1B44">
        <w:tc>
          <w:tcPr>
            <w:tcW w:w="1504" w:type="dxa"/>
            <w:vAlign w:val="center"/>
          </w:tcPr>
          <w:p w:rsidR="00CF1B44" w:rsidRDefault="00122F46">
            <w:pPr>
              <w:jc w:val="center"/>
            </w:pPr>
            <w:r>
              <w:rPr>
                <w:rFonts w:eastAsiaTheme="minorEastAsia"/>
                <w:color w:val="000000" w:themeColor="text1"/>
                <w:szCs w:val="21"/>
              </w:rPr>
              <w:t>4</w:t>
            </w:r>
          </w:p>
        </w:tc>
        <w:tc>
          <w:tcPr>
            <w:tcW w:w="1504" w:type="dxa"/>
            <w:vAlign w:val="center"/>
          </w:tcPr>
          <w:p w:rsidR="00CF1B44" w:rsidRDefault="00122F46">
            <w:pPr>
              <w:jc w:val="center"/>
            </w:pPr>
            <w:r>
              <w:rPr>
                <w:rFonts w:eastAsiaTheme="minorEastAsia"/>
                <w:color w:val="000000" w:themeColor="text1"/>
                <w:szCs w:val="21"/>
              </w:rPr>
              <w:t>210202</w:t>
            </w:r>
          </w:p>
        </w:tc>
        <w:tc>
          <w:tcPr>
            <w:tcW w:w="1504" w:type="dxa"/>
            <w:vAlign w:val="center"/>
          </w:tcPr>
          <w:p w:rsidR="00CF1B44" w:rsidRDefault="00122F46">
            <w:pPr>
              <w:jc w:val="center"/>
            </w:pPr>
            <w:r>
              <w:rPr>
                <w:rFonts w:eastAsiaTheme="minorEastAsia"/>
                <w:color w:val="000000" w:themeColor="text1"/>
                <w:szCs w:val="21"/>
              </w:rPr>
              <w:t>21</w:t>
            </w:r>
            <w:r>
              <w:rPr>
                <w:rFonts w:eastAsiaTheme="minorEastAsia"/>
                <w:color w:val="000000" w:themeColor="text1"/>
                <w:szCs w:val="21"/>
              </w:rPr>
              <w:t>国开</w:t>
            </w:r>
            <w:r>
              <w:rPr>
                <w:rFonts w:eastAsiaTheme="minorEastAsia"/>
                <w:color w:val="000000" w:themeColor="text1"/>
                <w:szCs w:val="21"/>
              </w:rPr>
              <w:t>02</w:t>
            </w:r>
          </w:p>
        </w:tc>
        <w:tc>
          <w:tcPr>
            <w:tcW w:w="1503" w:type="dxa"/>
            <w:vAlign w:val="center"/>
          </w:tcPr>
          <w:p w:rsidR="00CF1B44" w:rsidRDefault="00122F46">
            <w:pPr>
              <w:jc w:val="right"/>
            </w:pPr>
            <w:r>
              <w:rPr>
                <w:rFonts w:eastAsiaTheme="minorEastAsia"/>
                <w:color w:val="000000" w:themeColor="text1"/>
                <w:szCs w:val="21"/>
              </w:rPr>
              <w:t>1,000,000</w:t>
            </w:r>
          </w:p>
        </w:tc>
        <w:tc>
          <w:tcPr>
            <w:tcW w:w="1503" w:type="dxa"/>
            <w:vAlign w:val="center"/>
          </w:tcPr>
          <w:p w:rsidR="00CF1B44" w:rsidRDefault="00122F46">
            <w:pPr>
              <w:jc w:val="right"/>
            </w:pPr>
            <w:r>
              <w:rPr>
                <w:rFonts w:eastAsiaTheme="minorEastAsia"/>
                <w:color w:val="000000" w:themeColor="text1"/>
                <w:szCs w:val="21"/>
              </w:rPr>
              <w:t>100,090,000.0</w:t>
            </w:r>
            <w:r>
              <w:rPr>
                <w:rFonts w:eastAsiaTheme="minorEastAsia"/>
                <w:color w:val="000000" w:themeColor="text1"/>
                <w:szCs w:val="21"/>
              </w:rPr>
              <w:lastRenderedPageBreak/>
              <w:t>0</w:t>
            </w:r>
          </w:p>
        </w:tc>
        <w:tc>
          <w:tcPr>
            <w:tcW w:w="1503" w:type="dxa"/>
            <w:vAlign w:val="center"/>
          </w:tcPr>
          <w:p w:rsidR="00CF1B44" w:rsidRDefault="00122F46">
            <w:pPr>
              <w:jc w:val="right"/>
            </w:pPr>
            <w:r>
              <w:rPr>
                <w:rFonts w:eastAsiaTheme="minorEastAsia"/>
                <w:color w:val="000000" w:themeColor="text1"/>
                <w:szCs w:val="21"/>
              </w:rPr>
              <w:lastRenderedPageBreak/>
              <w:t>7.88</w:t>
            </w:r>
          </w:p>
        </w:tc>
      </w:tr>
      <w:tr w:rsidR="00CF1B44">
        <w:tc>
          <w:tcPr>
            <w:tcW w:w="1504" w:type="dxa"/>
            <w:vAlign w:val="center"/>
          </w:tcPr>
          <w:p w:rsidR="00CF1B44" w:rsidRDefault="00122F46">
            <w:pPr>
              <w:jc w:val="center"/>
            </w:pPr>
            <w:r>
              <w:rPr>
                <w:rFonts w:eastAsiaTheme="minorEastAsia"/>
                <w:color w:val="000000" w:themeColor="text1"/>
                <w:szCs w:val="21"/>
              </w:rPr>
              <w:t>5</w:t>
            </w:r>
          </w:p>
        </w:tc>
        <w:tc>
          <w:tcPr>
            <w:tcW w:w="1504" w:type="dxa"/>
            <w:vAlign w:val="center"/>
          </w:tcPr>
          <w:p w:rsidR="00CF1B44" w:rsidRDefault="00122F46">
            <w:pPr>
              <w:jc w:val="center"/>
            </w:pPr>
            <w:r>
              <w:rPr>
                <w:rFonts w:eastAsiaTheme="minorEastAsia"/>
                <w:color w:val="000000" w:themeColor="text1"/>
                <w:szCs w:val="21"/>
              </w:rPr>
              <w:t>200302</w:t>
            </w:r>
          </w:p>
        </w:tc>
        <w:tc>
          <w:tcPr>
            <w:tcW w:w="1504" w:type="dxa"/>
            <w:vAlign w:val="center"/>
          </w:tcPr>
          <w:p w:rsidR="00CF1B44" w:rsidRDefault="00122F46">
            <w:pPr>
              <w:jc w:val="center"/>
            </w:pPr>
            <w:r>
              <w:rPr>
                <w:rFonts w:eastAsiaTheme="minorEastAsia"/>
                <w:color w:val="000000" w:themeColor="text1"/>
                <w:szCs w:val="21"/>
              </w:rPr>
              <w:t>20</w:t>
            </w:r>
            <w:r>
              <w:rPr>
                <w:rFonts w:eastAsiaTheme="minorEastAsia"/>
                <w:color w:val="000000" w:themeColor="text1"/>
                <w:szCs w:val="21"/>
              </w:rPr>
              <w:t>进出</w:t>
            </w:r>
            <w:r>
              <w:rPr>
                <w:rFonts w:eastAsiaTheme="minorEastAsia"/>
                <w:color w:val="000000" w:themeColor="text1"/>
                <w:szCs w:val="21"/>
              </w:rPr>
              <w:t>02</w:t>
            </w:r>
          </w:p>
        </w:tc>
        <w:tc>
          <w:tcPr>
            <w:tcW w:w="1503" w:type="dxa"/>
            <w:vAlign w:val="center"/>
          </w:tcPr>
          <w:p w:rsidR="00CF1B44" w:rsidRDefault="00122F46">
            <w:pPr>
              <w:jc w:val="right"/>
            </w:pPr>
            <w:r>
              <w:rPr>
                <w:rFonts w:eastAsiaTheme="minorEastAsia"/>
                <w:color w:val="000000" w:themeColor="text1"/>
                <w:szCs w:val="21"/>
              </w:rPr>
              <w:t>800,000</w:t>
            </w:r>
          </w:p>
        </w:tc>
        <w:tc>
          <w:tcPr>
            <w:tcW w:w="1503" w:type="dxa"/>
            <w:vAlign w:val="center"/>
          </w:tcPr>
          <w:p w:rsidR="00CF1B44" w:rsidRDefault="00122F46">
            <w:pPr>
              <w:jc w:val="right"/>
            </w:pPr>
            <w:r>
              <w:rPr>
                <w:rFonts w:eastAsiaTheme="minorEastAsia"/>
                <w:color w:val="000000" w:themeColor="text1"/>
                <w:szCs w:val="21"/>
              </w:rPr>
              <w:t>79,736,000.00</w:t>
            </w:r>
          </w:p>
        </w:tc>
        <w:tc>
          <w:tcPr>
            <w:tcW w:w="1503" w:type="dxa"/>
            <w:vAlign w:val="center"/>
          </w:tcPr>
          <w:p w:rsidR="00CF1B44" w:rsidRDefault="00122F46">
            <w:pPr>
              <w:jc w:val="right"/>
            </w:pPr>
            <w:r>
              <w:rPr>
                <w:rFonts w:eastAsiaTheme="minorEastAsia"/>
                <w:color w:val="000000" w:themeColor="text1"/>
                <w:szCs w:val="21"/>
              </w:rPr>
              <w:t>6.28</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5.6</w:t>
      </w:r>
      <w:r w:rsidRPr="00B27A29">
        <w:rPr>
          <w:rFonts w:eastAsiaTheme="minorEastAsia"/>
          <w:b/>
          <w:color w:val="000000" w:themeColor="text1"/>
          <w:kern w:val="0"/>
          <w:szCs w:val="21"/>
        </w:rPr>
        <w:t xml:space="preserve">　报告期末按公允价值占基金资产净值比例大小排序的前十名资产支持证券投资明细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本基金本报告期末未持有资产支持证券。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 xml:space="preserve">5.7 </w:t>
      </w:r>
      <w:r w:rsidRPr="00B27A29">
        <w:rPr>
          <w:rFonts w:eastAsiaTheme="minorEastAsia"/>
          <w:b/>
          <w:bCs/>
          <w:color w:val="000000" w:themeColor="text1"/>
          <w:kern w:val="0"/>
          <w:szCs w:val="21"/>
        </w:rPr>
        <w:t>报告期末按公允价值占基金资产净值比例大小排序的前五名贵金属投资明细</w:t>
      </w:r>
    </w:p>
    <w:p w:rsidR="005E6DF3" w:rsidRPr="00B27A29" w:rsidRDefault="005C671B">
      <w:pPr>
        <w:widowControl/>
        <w:spacing w:line="360" w:lineRule="auto"/>
        <w:ind w:firstLineChars="200" w:firstLine="420"/>
        <w:jc w:val="left"/>
        <w:rPr>
          <w:color w:val="000000" w:themeColor="text1"/>
          <w:szCs w:val="21"/>
        </w:rPr>
      </w:pPr>
      <w:r w:rsidRPr="00B27A29">
        <w:rPr>
          <w:color w:val="000000" w:themeColor="text1"/>
          <w:szCs w:val="21"/>
        </w:rPr>
        <w:t>本基金本报告期末未持有贵金属。</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5.8</w:t>
      </w:r>
      <w:r w:rsidRPr="00B27A29">
        <w:rPr>
          <w:rFonts w:eastAsiaTheme="minorEastAsia"/>
          <w:b/>
          <w:color w:val="000000" w:themeColor="text1"/>
          <w:kern w:val="0"/>
          <w:szCs w:val="21"/>
        </w:rPr>
        <w:t>报告期末按公允价值占基金资产净值比例大小排序的前五名权证投资明细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本基金本报告期末未持有权证。</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 xml:space="preserve">5.9 </w:t>
      </w:r>
      <w:r w:rsidRPr="00B27A29">
        <w:rPr>
          <w:rFonts w:eastAsiaTheme="minorEastAsia"/>
          <w:b/>
          <w:color w:val="000000" w:themeColor="text1"/>
          <w:szCs w:val="21"/>
        </w:rPr>
        <w:t>报告期末本基金投资的股指期货交易情况说明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本基金本报告期末未持有股指期货。</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5.10</w:t>
      </w:r>
      <w:r w:rsidRPr="00B27A29">
        <w:rPr>
          <w:rFonts w:eastAsiaTheme="minorEastAsia"/>
          <w:b/>
          <w:color w:val="000000" w:themeColor="text1"/>
          <w:szCs w:val="21"/>
        </w:rPr>
        <w:t>报告期末本基金投资的国债期货交易情况说明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本基金本报告期末未持有国债期货。</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w:t>
      </w:r>
      <w:r w:rsidRPr="00B27A29">
        <w:rPr>
          <w:rFonts w:eastAsiaTheme="minorEastAsia"/>
          <w:b/>
          <w:color w:val="000000" w:themeColor="text1"/>
          <w:kern w:val="0"/>
          <w:szCs w:val="21"/>
        </w:rPr>
        <w:t>投资组合报告附注</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5.11.1</w:t>
      </w:r>
      <w:r w:rsidRPr="00B27A29">
        <w:rPr>
          <w:rFonts w:eastAsiaTheme="minorEastAsia"/>
          <w:color w:val="000000" w:themeColor="text1"/>
          <w:szCs w:val="21"/>
        </w:rPr>
        <w:t>报告期内本基金投资的前十名证券的发行主体本期没有出现被监管部门立案调查，或在报告编制日前一年内受到公开谴责、处罚的情形。</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5.11.2</w:t>
      </w:r>
      <w:r w:rsidRPr="00B27A29">
        <w:rPr>
          <w:rFonts w:eastAsiaTheme="minorEastAsia"/>
          <w:color w:val="000000" w:themeColor="text1"/>
          <w:szCs w:val="21"/>
        </w:rPr>
        <w:t>报告期内本基金投资的前十名股票中没有在基金合同规定备选股票库之外的股票。</w:t>
      </w:r>
    </w:p>
    <w:p w:rsidR="005E6DF3" w:rsidRPr="00B27A29" w:rsidRDefault="005C671B">
      <w:pPr>
        <w:autoSpaceDE w:val="0"/>
        <w:autoSpaceDN w:val="0"/>
        <w:adjustRightInd w:val="0"/>
        <w:spacing w:line="360" w:lineRule="auto"/>
        <w:rPr>
          <w:rFonts w:eastAsiaTheme="minorEastAsia"/>
          <w:b/>
          <w:color w:val="000000" w:themeColor="text1"/>
          <w:kern w:val="0"/>
          <w:szCs w:val="21"/>
        </w:rPr>
      </w:pPr>
      <w:r w:rsidRPr="00B27A29">
        <w:rPr>
          <w:rFonts w:eastAsiaTheme="minorEastAsia"/>
          <w:b/>
          <w:color w:val="000000" w:themeColor="text1"/>
          <w:kern w:val="0"/>
          <w:szCs w:val="21"/>
        </w:rPr>
        <w:t>5.11.3</w:t>
      </w:r>
      <w:r w:rsidRPr="00B27A29">
        <w:rPr>
          <w:rFonts w:eastAsiaTheme="minorEastAsia"/>
          <w:b/>
          <w:color w:val="000000" w:themeColor="text1"/>
          <w:kern w:val="0"/>
          <w:szCs w:val="21"/>
        </w:rPr>
        <w:t>其他资产构成</w:t>
      </w:r>
    </w:p>
    <w:tbl>
      <w:tblPr>
        <w:tblStyle w:val="afa"/>
        <w:tblW w:w="8679" w:type="dxa"/>
        <w:tblInd w:w="108" w:type="dxa"/>
        <w:tblLayout w:type="fixed"/>
        <w:tblLook w:val="04A0" w:firstRow="1" w:lastRow="0" w:firstColumn="1" w:lastColumn="0" w:noHBand="0" w:noVBand="1"/>
      </w:tblPr>
      <w:tblGrid>
        <w:gridCol w:w="1110"/>
        <w:gridCol w:w="2761"/>
        <w:gridCol w:w="4808"/>
      </w:tblGrid>
      <w:tr w:rsidR="005E6DF3" w:rsidRPr="00B27A29">
        <w:tc>
          <w:tcPr>
            <w:tcW w:w="1110"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序号</w:t>
            </w:r>
          </w:p>
        </w:tc>
        <w:tc>
          <w:tcPr>
            <w:tcW w:w="2761"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名称</w:t>
            </w:r>
          </w:p>
        </w:tc>
        <w:tc>
          <w:tcPr>
            <w:tcW w:w="4808"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金额</w:t>
            </w:r>
            <w:r w:rsidRPr="00B27A29">
              <w:rPr>
                <w:rFonts w:eastAsiaTheme="minorEastAsia"/>
                <w:color w:val="000000" w:themeColor="text1"/>
                <w:kern w:val="0"/>
                <w:szCs w:val="21"/>
              </w:rPr>
              <w:t>(</w:t>
            </w:r>
            <w:r w:rsidRPr="00B27A29">
              <w:rPr>
                <w:rFonts w:eastAsiaTheme="minorEastAsia"/>
                <w:color w:val="000000" w:themeColor="text1"/>
                <w:kern w:val="0"/>
                <w:szCs w:val="21"/>
              </w:rPr>
              <w:t>元</w:t>
            </w: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kern w:val="0"/>
                <w:szCs w:val="21"/>
              </w:rPr>
            </w:pPr>
            <w:r w:rsidRPr="00B27A29">
              <w:rPr>
                <w:rFonts w:eastAsiaTheme="minorEastAsia"/>
                <w:color w:val="000000" w:themeColor="text1"/>
                <w:szCs w:val="21"/>
              </w:rPr>
              <w:t>1</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存出保证金</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689.89</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2</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应收证券清算款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3</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应收股利</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4</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应收利息</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15,326,851.60</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5</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应收申购款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6</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其他应收款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7</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szCs w:val="21"/>
              </w:rPr>
            </w:pPr>
            <w:r w:rsidRPr="00B27A29">
              <w:rPr>
                <w:rFonts w:eastAsiaTheme="minorEastAsia"/>
                <w:color w:val="000000" w:themeColor="text1"/>
                <w:szCs w:val="21"/>
              </w:rPr>
              <w:t>待摊费用</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lastRenderedPageBreak/>
              <w:t>8</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9</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合计</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15,327,541.49</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5.11.4</w:t>
      </w:r>
      <w:r w:rsidRPr="00B27A29">
        <w:rPr>
          <w:rFonts w:eastAsiaTheme="minorEastAsia"/>
          <w:b/>
          <w:color w:val="000000" w:themeColor="text1"/>
          <w:kern w:val="0"/>
          <w:szCs w:val="21"/>
        </w:rPr>
        <w:t>报告期末持有的处于转股期的可转换债券明细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本基金本报告期末未持有处于转股期的可转换债券。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szCs w:val="21"/>
        </w:rPr>
      </w:pPr>
      <w:r w:rsidRPr="00B27A29">
        <w:rPr>
          <w:rFonts w:eastAsiaTheme="minorEastAsia"/>
          <w:b/>
          <w:color w:val="000000" w:themeColor="text1"/>
          <w:kern w:val="0"/>
          <w:szCs w:val="21"/>
        </w:rPr>
        <w:t>5.11.5</w:t>
      </w:r>
      <w:r w:rsidRPr="00B27A29">
        <w:rPr>
          <w:rFonts w:eastAsiaTheme="minorEastAsia"/>
          <w:b/>
          <w:bCs/>
          <w:color w:val="000000" w:themeColor="text1"/>
          <w:szCs w:val="21"/>
        </w:rPr>
        <w:t>报告期末前十名股票中存在流通受限情况的说明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本基金本报告期末前十名股票中不存在流通受限情况。</w:t>
      </w:r>
    </w:p>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5.11.6</w:t>
      </w:r>
      <w:r w:rsidRPr="00B27A29">
        <w:rPr>
          <w:rFonts w:eastAsiaTheme="minorEastAsia"/>
          <w:b/>
          <w:color w:val="000000" w:themeColor="text1"/>
          <w:kern w:val="0"/>
          <w:szCs w:val="21"/>
        </w:rPr>
        <w:t>投资组合报告附注的其他文字描述部分</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因四舍五入的原因，投资组合报告中分项之和与合计数可能存在尾差。</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§6  </w:t>
      </w:r>
      <w:r w:rsidRPr="00B27A29">
        <w:rPr>
          <w:rFonts w:eastAsiaTheme="minorEastAsia"/>
          <w:color w:val="000000" w:themeColor="text1"/>
          <w:kern w:val="0"/>
          <w:sz w:val="21"/>
          <w:szCs w:val="21"/>
        </w:rPr>
        <w:t>开放式基金份额变动</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单位：份</w:t>
      </w:r>
    </w:p>
    <w:tbl>
      <w:tblPr>
        <w:tblW w:w="8634" w:type="dxa"/>
        <w:tblInd w:w="108" w:type="dxa"/>
        <w:tblLayout w:type="fixed"/>
        <w:tblLook w:val="04A0" w:firstRow="1" w:lastRow="0" w:firstColumn="1" w:lastColumn="0" w:noHBand="0" w:noVBand="1"/>
      </w:tblPr>
      <w:tblGrid>
        <w:gridCol w:w="3900"/>
        <w:gridCol w:w="2367"/>
        <w:gridCol w:w="2367"/>
      </w:tblGrid>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上投摩根丰瑞债券</w:t>
            </w:r>
            <w:r w:rsidRPr="00B27A29">
              <w:rPr>
                <w:rFonts w:eastAsiaTheme="minorEastAsia"/>
                <w:color w:val="000000" w:themeColor="text1"/>
                <w:szCs w:val="21"/>
              </w:rPr>
              <w:t>A</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上投摩根丰瑞债券</w:t>
            </w:r>
            <w:r w:rsidRPr="00B27A29">
              <w:rPr>
                <w:rFonts w:eastAsiaTheme="minorEastAsia"/>
                <w:color w:val="000000" w:themeColor="text1"/>
                <w:szCs w:val="21"/>
              </w:rPr>
              <w:t>C</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1,268,068,664.72</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26,737.59</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119,717.26</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减：报告期期间基金总赎回份额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21,501,085.50</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500.00</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报告期期间基金拆分变动份额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1,246,687,296.48</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26,237.59</w:t>
            </w:r>
          </w:p>
        </w:tc>
      </w:tr>
    </w:tbl>
    <w:p w:rsidR="005E6DF3" w:rsidRPr="00B27A29" w:rsidRDefault="005C671B">
      <w:pPr>
        <w:pStyle w:val="1"/>
        <w:tabs>
          <w:tab w:val="center" w:pos="4156"/>
          <w:tab w:val="right" w:pos="8312"/>
        </w:tabs>
        <w:spacing w:beforeLines="100" w:before="312" w:afterLines="100" w:after="312" w:line="360" w:lineRule="auto"/>
        <w:jc w:val="center"/>
        <w:rPr>
          <w:color w:val="000000" w:themeColor="text1"/>
          <w:sz w:val="21"/>
          <w:szCs w:val="21"/>
        </w:rPr>
      </w:pPr>
      <w:r w:rsidRPr="00B27A29">
        <w:rPr>
          <w:rFonts w:eastAsiaTheme="minorEastAsia"/>
          <w:color w:val="000000" w:themeColor="text1"/>
          <w:kern w:val="0"/>
          <w:sz w:val="21"/>
          <w:szCs w:val="21"/>
        </w:rPr>
        <w:t>§7</w:t>
      </w:r>
      <w:r w:rsidRPr="00B27A29">
        <w:rPr>
          <w:color w:val="000000"/>
          <w:sz w:val="21"/>
          <w:szCs w:val="21"/>
          <w:shd w:val="clear" w:color="auto" w:fill="FFFFFF"/>
        </w:rPr>
        <w:t>基金管理人运用固有资金投资本基金情况</w:t>
      </w:r>
    </w:p>
    <w:p w:rsidR="005E6DF3" w:rsidRPr="00B27A29" w:rsidRDefault="005C671B">
      <w:pPr>
        <w:spacing w:line="360" w:lineRule="auto"/>
        <w:jc w:val="left"/>
        <w:rPr>
          <w:color w:val="000000" w:themeColor="text1"/>
          <w:szCs w:val="21"/>
        </w:rPr>
      </w:pPr>
      <w:r w:rsidRPr="00B27A29">
        <w:rPr>
          <w:b/>
          <w:color w:val="000000" w:themeColor="text1"/>
          <w:szCs w:val="21"/>
        </w:rPr>
        <w:t>7.1</w:t>
      </w:r>
      <w:r w:rsidRPr="00B27A29">
        <w:rPr>
          <w:rFonts w:eastAsiaTheme="minorEastAsia"/>
          <w:b/>
          <w:bCs/>
          <w:color w:val="000000" w:themeColor="text1"/>
          <w:kern w:val="44"/>
          <w:szCs w:val="21"/>
        </w:rPr>
        <w:t>基金管理人持有本基金份额变动情况</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无。</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§8 </w:t>
      </w:r>
      <w:r w:rsidRPr="00B27A29">
        <w:rPr>
          <w:rFonts w:eastAsiaTheme="minorEastAsia"/>
          <w:color w:val="000000" w:themeColor="text1"/>
          <w:kern w:val="0"/>
          <w:sz w:val="21"/>
          <w:szCs w:val="21"/>
        </w:rPr>
        <w:t>影响投资者决策的其他重要信息</w:t>
      </w:r>
    </w:p>
    <w:p w:rsidR="005E6DF3" w:rsidRPr="00B27A29" w:rsidRDefault="005C671B">
      <w:pPr>
        <w:autoSpaceDE w:val="0"/>
        <w:autoSpaceDN w:val="0"/>
        <w:adjustRightInd w:val="0"/>
        <w:spacing w:line="360" w:lineRule="auto"/>
        <w:jc w:val="left"/>
        <w:rPr>
          <w:b/>
          <w:bCs/>
          <w:color w:val="000000"/>
          <w:kern w:val="0"/>
          <w:szCs w:val="21"/>
        </w:rPr>
      </w:pPr>
      <w:r w:rsidRPr="00B27A29">
        <w:rPr>
          <w:b/>
          <w:bCs/>
          <w:color w:val="000000"/>
          <w:kern w:val="0"/>
          <w:szCs w:val="21"/>
        </w:rPr>
        <w:t xml:space="preserve">8.1 </w:t>
      </w:r>
      <w:r w:rsidRPr="00B27A29">
        <w:rPr>
          <w:b/>
          <w:bCs/>
          <w:color w:val="000000"/>
          <w:kern w:val="0"/>
          <w:szCs w:val="21"/>
        </w:rPr>
        <w:t>报告期内单一投资者持有基金份额比例达到或超过</w:t>
      </w:r>
      <w:r w:rsidRPr="00B27A29">
        <w:rPr>
          <w:b/>
          <w:bCs/>
          <w:color w:val="000000"/>
          <w:kern w:val="0"/>
          <w:szCs w:val="21"/>
        </w:rPr>
        <w:t>20%</w:t>
      </w:r>
      <w:r w:rsidRPr="00B27A29">
        <w:rPr>
          <w:b/>
          <w:bCs/>
          <w:color w:val="000000"/>
          <w:kern w:val="0"/>
          <w:szCs w:val="21"/>
        </w:rPr>
        <w:t>的情况</w:t>
      </w:r>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843"/>
        <w:gridCol w:w="851"/>
        <w:gridCol w:w="850"/>
        <w:gridCol w:w="1134"/>
        <w:gridCol w:w="1419"/>
        <w:gridCol w:w="1130"/>
      </w:tblGrid>
      <w:tr w:rsidR="005E6DF3" w:rsidRPr="00B27A29">
        <w:tc>
          <w:tcPr>
            <w:tcW w:w="993" w:type="dxa"/>
            <w:vMerge w:val="restart"/>
            <w:vAlign w:val="center"/>
          </w:tcPr>
          <w:p w:rsidR="005E6DF3" w:rsidRPr="00B27A29" w:rsidRDefault="005C671B">
            <w:pPr>
              <w:autoSpaceDE w:val="0"/>
              <w:autoSpaceDN w:val="0"/>
              <w:adjustRightInd w:val="0"/>
              <w:jc w:val="center"/>
              <w:rPr>
                <w:b/>
                <w:bCs/>
                <w:color w:val="000000"/>
                <w:kern w:val="0"/>
                <w:szCs w:val="21"/>
              </w:rPr>
            </w:pPr>
            <w:r w:rsidRPr="00B27A29">
              <w:rPr>
                <w:color w:val="000000"/>
                <w:kern w:val="0"/>
                <w:szCs w:val="21"/>
              </w:rPr>
              <w:t>投资者类别</w:t>
            </w:r>
            <w:r w:rsidRPr="00B27A29">
              <w:rPr>
                <w:color w:val="000000"/>
                <w:kern w:val="0"/>
                <w:szCs w:val="21"/>
              </w:rPr>
              <w:t xml:space="preserve">  </w:t>
            </w:r>
          </w:p>
        </w:tc>
        <w:tc>
          <w:tcPr>
            <w:tcW w:w="5670" w:type="dxa"/>
            <w:gridSpan w:val="5"/>
            <w:vAlign w:val="center"/>
          </w:tcPr>
          <w:p w:rsidR="005E6DF3" w:rsidRPr="00B27A29" w:rsidRDefault="005C671B">
            <w:pPr>
              <w:autoSpaceDE w:val="0"/>
              <w:autoSpaceDN w:val="0"/>
              <w:adjustRightInd w:val="0"/>
              <w:jc w:val="center"/>
              <w:rPr>
                <w:b/>
                <w:bCs/>
                <w:color w:val="000000"/>
                <w:kern w:val="0"/>
                <w:szCs w:val="21"/>
              </w:rPr>
            </w:pPr>
            <w:r w:rsidRPr="00B27A29">
              <w:rPr>
                <w:color w:val="000000"/>
                <w:kern w:val="0"/>
                <w:szCs w:val="21"/>
              </w:rPr>
              <w:t>报告期内持有基金份额变化情况</w:t>
            </w:r>
          </w:p>
        </w:tc>
        <w:tc>
          <w:tcPr>
            <w:tcW w:w="2549" w:type="dxa"/>
            <w:gridSpan w:val="2"/>
            <w:vAlign w:val="center"/>
          </w:tcPr>
          <w:p w:rsidR="005E6DF3" w:rsidRPr="00B27A29" w:rsidRDefault="005C671B">
            <w:pPr>
              <w:autoSpaceDE w:val="0"/>
              <w:autoSpaceDN w:val="0"/>
              <w:adjustRightInd w:val="0"/>
              <w:jc w:val="center"/>
              <w:rPr>
                <w:b/>
                <w:bCs/>
                <w:color w:val="000000"/>
                <w:kern w:val="0"/>
                <w:szCs w:val="21"/>
              </w:rPr>
            </w:pPr>
            <w:r w:rsidRPr="00B27A29">
              <w:rPr>
                <w:color w:val="000000"/>
                <w:kern w:val="0"/>
                <w:szCs w:val="21"/>
              </w:rPr>
              <w:t>报告期末持有基金情况</w:t>
            </w:r>
          </w:p>
        </w:tc>
      </w:tr>
      <w:tr w:rsidR="005E6DF3" w:rsidRPr="00B27A29">
        <w:tc>
          <w:tcPr>
            <w:tcW w:w="993" w:type="dxa"/>
            <w:vMerge/>
            <w:vAlign w:val="center"/>
          </w:tcPr>
          <w:p w:rsidR="005E6DF3" w:rsidRPr="00B27A29" w:rsidRDefault="005E6DF3">
            <w:pPr>
              <w:autoSpaceDE w:val="0"/>
              <w:autoSpaceDN w:val="0"/>
              <w:adjustRightInd w:val="0"/>
              <w:jc w:val="center"/>
              <w:rPr>
                <w:b/>
                <w:bCs/>
                <w:color w:val="000000"/>
                <w:kern w:val="0"/>
                <w:szCs w:val="21"/>
              </w:rPr>
            </w:pPr>
          </w:p>
        </w:tc>
        <w:tc>
          <w:tcPr>
            <w:tcW w:w="992" w:type="dxa"/>
            <w:vAlign w:val="center"/>
          </w:tcPr>
          <w:p w:rsidR="005E6DF3" w:rsidRPr="00B27A29" w:rsidRDefault="005C671B">
            <w:pPr>
              <w:autoSpaceDE w:val="0"/>
              <w:autoSpaceDN w:val="0"/>
              <w:adjustRightInd w:val="0"/>
              <w:jc w:val="center"/>
              <w:rPr>
                <w:b/>
                <w:bCs/>
                <w:color w:val="000000"/>
                <w:kern w:val="0"/>
                <w:szCs w:val="21"/>
              </w:rPr>
            </w:pPr>
            <w:r w:rsidRPr="00B27A29">
              <w:rPr>
                <w:color w:val="000000"/>
                <w:kern w:val="0"/>
                <w:szCs w:val="21"/>
              </w:rPr>
              <w:t>序号</w:t>
            </w:r>
          </w:p>
        </w:tc>
        <w:tc>
          <w:tcPr>
            <w:tcW w:w="1843" w:type="dxa"/>
            <w:vAlign w:val="center"/>
          </w:tcPr>
          <w:p w:rsidR="005E6DF3" w:rsidRPr="00B27A29" w:rsidRDefault="005C671B">
            <w:pPr>
              <w:autoSpaceDE w:val="0"/>
              <w:autoSpaceDN w:val="0"/>
              <w:adjustRightInd w:val="0"/>
              <w:jc w:val="center"/>
              <w:rPr>
                <w:b/>
                <w:bCs/>
                <w:color w:val="000000"/>
                <w:kern w:val="0"/>
                <w:szCs w:val="21"/>
              </w:rPr>
            </w:pPr>
            <w:r w:rsidRPr="00B27A29">
              <w:rPr>
                <w:color w:val="000000"/>
                <w:kern w:val="0"/>
                <w:szCs w:val="21"/>
              </w:rPr>
              <w:t>持有基金份额比例达到或者超过</w:t>
            </w:r>
            <w:r w:rsidRPr="00B27A29">
              <w:rPr>
                <w:color w:val="000000"/>
                <w:kern w:val="0"/>
                <w:szCs w:val="21"/>
              </w:rPr>
              <w:lastRenderedPageBreak/>
              <w:t>20%</w:t>
            </w:r>
            <w:r w:rsidRPr="00B27A29">
              <w:rPr>
                <w:color w:val="000000"/>
                <w:kern w:val="0"/>
                <w:szCs w:val="21"/>
              </w:rPr>
              <w:t>的时间区间</w:t>
            </w:r>
          </w:p>
        </w:tc>
        <w:tc>
          <w:tcPr>
            <w:tcW w:w="851" w:type="dxa"/>
            <w:vAlign w:val="center"/>
          </w:tcPr>
          <w:p w:rsidR="005E6DF3" w:rsidRPr="00B27A29" w:rsidRDefault="005C671B">
            <w:pPr>
              <w:widowControl/>
              <w:jc w:val="center"/>
              <w:rPr>
                <w:b/>
                <w:bCs/>
                <w:color w:val="000000"/>
                <w:kern w:val="0"/>
                <w:szCs w:val="21"/>
              </w:rPr>
            </w:pPr>
            <w:r w:rsidRPr="00B27A29">
              <w:rPr>
                <w:color w:val="000000"/>
                <w:kern w:val="0"/>
                <w:szCs w:val="21"/>
              </w:rPr>
              <w:lastRenderedPageBreak/>
              <w:t>期初份额</w:t>
            </w:r>
          </w:p>
        </w:tc>
        <w:tc>
          <w:tcPr>
            <w:tcW w:w="850" w:type="dxa"/>
            <w:vAlign w:val="center"/>
          </w:tcPr>
          <w:p w:rsidR="005E6DF3" w:rsidRPr="00B27A29" w:rsidRDefault="005C671B">
            <w:pPr>
              <w:widowControl/>
              <w:jc w:val="center"/>
              <w:rPr>
                <w:b/>
                <w:bCs/>
                <w:color w:val="000000"/>
                <w:kern w:val="0"/>
                <w:szCs w:val="21"/>
              </w:rPr>
            </w:pPr>
            <w:r w:rsidRPr="00B27A29">
              <w:rPr>
                <w:color w:val="000000"/>
                <w:kern w:val="0"/>
                <w:szCs w:val="21"/>
              </w:rPr>
              <w:t>申购份额</w:t>
            </w:r>
          </w:p>
        </w:tc>
        <w:tc>
          <w:tcPr>
            <w:tcW w:w="1134" w:type="dxa"/>
            <w:vAlign w:val="center"/>
          </w:tcPr>
          <w:p w:rsidR="005E6DF3" w:rsidRPr="00B27A29" w:rsidRDefault="005C671B">
            <w:pPr>
              <w:widowControl/>
              <w:jc w:val="center"/>
              <w:rPr>
                <w:b/>
                <w:bCs/>
                <w:color w:val="000000"/>
                <w:kern w:val="0"/>
                <w:szCs w:val="21"/>
              </w:rPr>
            </w:pPr>
            <w:r w:rsidRPr="00B27A29">
              <w:rPr>
                <w:color w:val="000000"/>
                <w:kern w:val="0"/>
                <w:szCs w:val="21"/>
              </w:rPr>
              <w:t>赎回份额</w:t>
            </w:r>
          </w:p>
        </w:tc>
        <w:tc>
          <w:tcPr>
            <w:tcW w:w="1419" w:type="dxa"/>
            <w:vAlign w:val="center"/>
          </w:tcPr>
          <w:p w:rsidR="005E6DF3" w:rsidRPr="00B27A29" w:rsidRDefault="005C671B">
            <w:pPr>
              <w:autoSpaceDE w:val="0"/>
              <w:autoSpaceDN w:val="0"/>
              <w:adjustRightInd w:val="0"/>
              <w:jc w:val="center"/>
              <w:rPr>
                <w:b/>
                <w:bCs/>
                <w:color w:val="000000"/>
                <w:kern w:val="0"/>
                <w:szCs w:val="21"/>
              </w:rPr>
            </w:pPr>
            <w:r w:rsidRPr="00B27A29">
              <w:rPr>
                <w:color w:val="000000"/>
                <w:kern w:val="0"/>
                <w:szCs w:val="21"/>
              </w:rPr>
              <w:t>持有份额</w:t>
            </w:r>
          </w:p>
        </w:tc>
        <w:tc>
          <w:tcPr>
            <w:tcW w:w="1130" w:type="dxa"/>
            <w:vAlign w:val="center"/>
          </w:tcPr>
          <w:p w:rsidR="005E6DF3" w:rsidRPr="00B27A29" w:rsidRDefault="005C671B">
            <w:pPr>
              <w:autoSpaceDE w:val="0"/>
              <w:autoSpaceDN w:val="0"/>
              <w:adjustRightInd w:val="0"/>
              <w:jc w:val="center"/>
              <w:rPr>
                <w:b/>
                <w:bCs/>
                <w:color w:val="000000"/>
                <w:kern w:val="0"/>
                <w:szCs w:val="21"/>
              </w:rPr>
            </w:pPr>
            <w:r w:rsidRPr="00B27A29">
              <w:rPr>
                <w:color w:val="000000"/>
                <w:kern w:val="0"/>
                <w:szCs w:val="21"/>
              </w:rPr>
              <w:t>份额占比</w:t>
            </w:r>
          </w:p>
        </w:tc>
      </w:tr>
      <w:tr w:rsidR="00CF1B44">
        <w:tc>
          <w:tcPr>
            <w:tcW w:w="993" w:type="dxa"/>
            <w:vMerge w:val="restart"/>
            <w:vAlign w:val="center"/>
          </w:tcPr>
          <w:p w:rsidR="00CF1B44" w:rsidRDefault="00122F46">
            <w:r>
              <w:rPr>
                <w:bCs/>
                <w:color w:val="000000"/>
                <w:kern w:val="0"/>
                <w:szCs w:val="21"/>
              </w:rPr>
              <w:t>机构</w:t>
            </w:r>
          </w:p>
        </w:tc>
        <w:tc>
          <w:tcPr>
            <w:tcW w:w="992" w:type="dxa"/>
            <w:vAlign w:val="center"/>
          </w:tcPr>
          <w:p w:rsidR="00CF1B44" w:rsidRDefault="00122F46">
            <w:pPr>
              <w:jc w:val="center"/>
            </w:pPr>
            <w:r>
              <w:rPr>
                <w:color w:val="000000"/>
                <w:kern w:val="0"/>
                <w:szCs w:val="21"/>
              </w:rPr>
              <w:t>1</w:t>
            </w:r>
          </w:p>
        </w:tc>
        <w:tc>
          <w:tcPr>
            <w:tcW w:w="1843" w:type="dxa"/>
            <w:vAlign w:val="center"/>
          </w:tcPr>
          <w:p w:rsidR="00CF1B44" w:rsidRDefault="00122F46">
            <w:pPr>
              <w:jc w:val="center"/>
            </w:pPr>
            <w:r>
              <w:rPr>
                <w:color w:val="000000"/>
                <w:kern w:val="0"/>
                <w:szCs w:val="21"/>
              </w:rPr>
              <w:t>20210401-20210630</w:t>
            </w:r>
          </w:p>
        </w:tc>
        <w:tc>
          <w:tcPr>
            <w:tcW w:w="851" w:type="dxa"/>
            <w:vAlign w:val="center"/>
          </w:tcPr>
          <w:p w:rsidR="00CF1B44" w:rsidRDefault="00122F46">
            <w:pPr>
              <w:jc w:val="center"/>
            </w:pPr>
            <w:r>
              <w:rPr>
                <w:color w:val="000000"/>
                <w:kern w:val="0"/>
                <w:szCs w:val="21"/>
              </w:rPr>
              <w:t>494,184,347.30</w:t>
            </w:r>
          </w:p>
        </w:tc>
        <w:tc>
          <w:tcPr>
            <w:tcW w:w="850" w:type="dxa"/>
            <w:vAlign w:val="center"/>
          </w:tcPr>
          <w:p w:rsidR="00CF1B44" w:rsidRDefault="00122F46">
            <w:pPr>
              <w:jc w:val="center"/>
            </w:pPr>
            <w:r>
              <w:rPr>
                <w:color w:val="000000"/>
                <w:kern w:val="0"/>
                <w:szCs w:val="21"/>
              </w:rPr>
              <w:t>0.00</w:t>
            </w:r>
          </w:p>
        </w:tc>
        <w:tc>
          <w:tcPr>
            <w:tcW w:w="1134" w:type="dxa"/>
            <w:vAlign w:val="center"/>
          </w:tcPr>
          <w:p w:rsidR="00CF1B44" w:rsidRDefault="00122F46">
            <w:pPr>
              <w:jc w:val="center"/>
            </w:pPr>
            <w:r>
              <w:rPr>
                <w:color w:val="000000"/>
                <w:kern w:val="0"/>
                <w:szCs w:val="21"/>
              </w:rPr>
              <w:t>0.00</w:t>
            </w:r>
          </w:p>
        </w:tc>
        <w:tc>
          <w:tcPr>
            <w:tcW w:w="1419" w:type="dxa"/>
            <w:vAlign w:val="center"/>
          </w:tcPr>
          <w:p w:rsidR="00CF1B44" w:rsidRDefault="00122F46">
            <w:pPr>
              <w:jc w:val="center"/>
            </w:pPr>
            <w:r>
              <w:rPr>
                <w:color w:val="000000"/>
                <w:kern w:val="0"/>
                <w:szCs w:val="21"/>
              </w:rPr>
              <w:t>494,184,347.30</w:t>
            </w:r>
          </w:p>
        </w:tc>
        <w:tc>
          <w:tcPr>
            <w:tcW w:w="1130" w:type="dxa"/>
            <w:vAlign w:val="center"/>
          </w:tcPr>
          <w:p w:rsidR="00CF1B44" w:rsidRDefault="00122F46">
            <w:pPr>
              <w:jc w:val="center"/>
            </w:pPr>
            <w:r>
              <w:rPr>
                <w:color w:val="000000"/>
                <w:kern w:val="0"/>
                <w:szCs w:val="21"/>
              </w:rPr>
              <w:t>39.64%</w:t>
            </w:r>
          </w:p>
        </w:tc>
      </w:tr>
      <w:tr w:rsidR="00CF1B44">
        <w:tc>
          <w:tcPr>
            <w:tcW w:w="993" w:type="dxa"/>
            <w:vMerge/>
          </w:tcPr>
          <w:p w:rsidR="00CF1B44" w:rsidRDefault="00CF1B44"/>
        </w:tc>
        <w:tc>
          <w:tcPr>
            <w:tcW w:w="992" w:type="dxa"/>
            <w:vAlign w:val="center"/>
          </w:tcPr>
          <w:p w:rsidR="00CF1B44" w:rsidRDefault="00122F46">
            <w:pPr>
              <w:jc w:val="center"/>
            </w:pPr>
            <w:r>
              <w:rPr>
                <w:color w:val="000000"/>
                <w:kern w:val="0"/>
                <w:szCs w:val="21"/>
              </w:rPr>
              <w:t>2</w:t>
            </w:r>
          </w:p>
        </w:tc>
        <w:tc>
          <w:tcPr>
            <w:tcW w:w="1843" w:type="dxa"/>
            <w:vAlign w:val="center"/>
          </w:tcPr>
          <w:p w:rsidR="00CF1B44" w:rsidRDefault="00122F46">
            <w:pPr>
              <w:jc w:val="center"/>
            </w:pPr>
            <w:r>
              <w:rPr>
                <w:color w:val="000000"/>
                <w:kern w:val="0"/>
                <w:szCs w:val="21"/>
              </w:rPr>
              <w:t>20210401-20210630</w:t>
            </w:r>
          </w:p>
        </w:tc>
        <w:tc>
          <w:tcPr>
            <w:tcW w:w="851" w:type="dxa"/>
            <w:vAlign w:val="center"/>
          </w:tcPr>
          <w:p w:rsidR="00CF1B44" w:rsidRDefault="00122F46">
            <w:pPr>
              <w:jc w:val="center"/>
            </w:pPr>
            <w:r>
              <w:rPr>
                <w:color w:val="000000"/>
                <w:kern w:val="0"/>
                <w:szCs w:val="21"/>
              </w:rPr>
              <w:t>447,993,162.82</w:t>
            </w:r>
          </w:p>
        </w:tc>
        <w:tc>
          <w:tcPr>
            <w:tcW w:w="850" w:type="dxa"/>
            <w:vAlign w:val="center"/>
          </w:tcPr>
          <w:p w:rsidR="00CF1B44" w:rsidRDefault="00122F46">
            <w:pPr>
              <w:jc w:val="center"/>
            </w:pPr>
            <w:r>
              <w:rPr>
                <w:color w:val="000000"/>
                <w:kern w:val="0"/>
                <w:szCs w:val="21"/>
              </w:rPr>
              <w:t>0.00</w:t>
            </w:r>
          </w:p>
        </w:tc>
        <w:tc>
          <w:tcPr>
            <w:tcW w:w="1134" w:type="dxa"/>
            <w:vAlign w:val="center"/>
          </w:tcPr>
          <w:p w:rsidR="00CF1B44" w:rsidRDefault="00122F46">
            <w:pPr>
              <w:jc w:val="center"/>
            </w:pPr>
            <w:r>
              <w:rPr>
                <w:color w:val="000000"/>
                <w:kern w:val="0"/>
                <w:szCs w:val="21"/>
              </w:rPr>
              <w:t>0.00</w:t>
            </w:r>
          </w:p>
        </w:tc>
        <w:tc>
          <w:tcPr>
            <w:tcW w:w="1419" w:type="dxa"/>
            <w:vAlign w:val="center"/>
          </w:tcPr>
          <w:p w:rsidR="00CF1B44" w:rsidRDefault="00122F46">
            <w:pPr>
              <w:jc w:val="center"/>
            </w:pPr>
            <w:r>
              <w:rPr>
                <w:color w:val="000000"/>
                <w:kern w:val="0"/>
                <w:szCs w:val="21"/>
              </w:rPr>
              <w:t>447,993,162.82</w:t>
            </w:r>
          </w:p>
        </w:tc>
        <w:tc>
          <w:tcPr>
            <w:tcW w:w="1130" w:type="dxa"/>
            <w:vAlign w:val="center"/>
          </w:tcPr>
          <w:p w:rsidR="00CF1B44" w:rsidRDefault="00122F46">
            <w:pPr>
              <w:jc w:val="center"/>
            </w:pPr>
            <w:r>
              <w:rPr>
                <w:color w:val="000000"/>
                <w:kern w:val="0"/>
                <w:szCs w:val="21"/>
              </w:rPr>
              <w:t>35.93%</w:t>
            </w:r>
          </w:p>
        </w:tc>
      </w:tr>
      <w:tr w:rsidR="005E6DF3" w:rsidRPr="00B27A29">
        <w:tc>
          <w:tcPr>
            <w:tcW w:w="9212" w:type="dxa"/>
            <w:gridSpan w:val="8"/>
            <w:vAlign w:val="center"/>
          </w:tcPr>
          <w:p w:rsidR="005E6DF3" w:rsidRPr="00B27A29" w:rsidRDefault="005C671B">
            <w:pPr>
              <w:autoSpaceDE w:val="0"/>
              <w:autoSpaceDN w:val="0"/>
              <w:adjustRightInd w:val="0"/>
              <w:jc w:val="center"/>
              <w:rPr>
                <w:kern w:val="0"/>
                <w:szCs w:val="21"/>
              </w:rPr>
            </w:pPr>
            <w:r w:rsidRPr="00B27A29">
              <w:rPr>
                <w:color w:val="000000"/>
                <w:kern w:val="0"/>
                <w:szCs w:val="21"/>
              </w:rPr>
              <w:t>产品特有风险</w:t>
            </w:r>
          </w:p>
        </w:tc>
      </w:tr>
      <w:tr w:rsidR="005E6DF3" w:rsidRPr="00B27A29">
        <w:tc>
          <w:tcPr>
            <w:tcW w:w="9212" w:type="dxa"/>
            <w:gridSpan w:val="8"/>
            <w:vAlign w:val="center"/>
          </w:tcPr>
          <w:p w:rsidR="005E6DF3" w:rsidRPr="00B27A29" w:rsidRDefault="005C671B">
            <w:pPr>
              <w:autoSpaceDE w:val="0"/>
              <w:autoSpaceDN w:val="0"/>
              <w:adjustRightInd w:val="0"/>
              <w:jc w:val="left"/>
              <w:rPr>
                <w:kern w:val="0"/>
                <w:szCs w:val="21"/>
              </w:rPr>
            </w:pPr>
            <w:r w:rsidRPr="00B27A29">
              <w:rPr>
                <w:kern w:val="0"/>
                <w:szCs w:val="21"/>
              </w:rPr>
              <w:t>本基金的集中度风险主要体现在有单一投资者持有基金份额比例达到或者超过</w:t>
            </w:r>
            <w:r w:rsidRPr="00B27A29">
              <w:rPr>
                <w:kern w:val="0"/>
                <w:szCs w:val="21"/>
              </w:rPr>
              <w:t>20%</w:t>
            </w:r>
            <w:r w:rsidRPr="00B27A29">
              <w:rPr>
                <w:kern w:val="0"/>
                <w:szCs w:val="21"/>
              </w:rPr>
              <w:t>，如果投资者发生大额赎回，可能出现基金可变现资产无法满足投资者赎回需要以及因为资产变现成本过高导致投资者的利益受到损害的风险。</w:t>
            </w:r>
          </w:p>
        </w:tc>
      </w:tr>
    </w:tbl>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§9 </w:t>
      </w:r>
      <w:r w:rsidRPr="00B27A29">
        <w:rPr>
          <w:rFonts w:eastAsiaTheme="minorEastAsia"/>
          <w:color w:val="000000" w:themeColor="text1"/>
          <w:kern w:val="0"/>
          <w:sz w:val="21"/>
          <w:szCs w:val="21"/>
        </w:rPr>
        <w:t>备查文件目录</w:t>
      </w:r>
    </w:p>
    <w:p w:rsidR="005E6DF3" w:rsidRPr="00B27A29" w:rsidRDefault="005C671B">
      <w:pPr>
        <w:autoSpaceDE w:val="0"/>
        <w:autoSpaceDN w:val="0"/>
        <w:adjustRightInd w:val="0"/>
        <w:spacing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9.1</w:t>
      </w:r>
      <w:r w:rsidRPr="00B27A29">
        <w:rPr>
          <w:rFonts w:eastAsiaTheme="minorEastAsia"/>
          <w:b/>
          <w:bCs/>
          <w:color w:val="000000" w:themeColor="text1"/>
          <w:kern w:val="0"/>
          <w:szCs w:val="21"/>
        </w:rPr>
        <w:t>备查文件目录</w:t>
      </w:r>
    </w:p>
    <w:p w:rsidR="00CF1B44" w:rsidRDefault="00122F46">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1. </w:t>
      </w:r>
      <w:r>
        <w:rPr>
          <w:rFonts w:eastAsiaTheme="minorEastAsia"/>
          <w:color w:val="000000" w:themeColor="text1"/>
          <w:szCs w:val="21"/>
        </w:rPr>
        <w:t>中国证监会准予上投摩根丰瑞债券型证券投资基金募集注册的文件；</w:t>
      </w:r>
    </w:p>
    <w:p w:rsidR="00CF1B44" w:rsidRDefault="00122F46">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《上投摩根丰瑞债券型证券投资基金基金合同》；</w:t>
      </w:r>
    </w:p>
    <w:p w:rsidR="00CF1B44" w:rsidRDefault="00122F46">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3. </w:t>
      </w:r>
      <w:r>
        <w:rPr>
          <w:rFonts w:eastAsiaTheme="minorEastAsia"/>
          <w:color w:val="000000" w:themeColor="text1"/>
          <w:szCs w:val="21"/>
        </w:rPr>
        <w:t>《上投摩根丰瑞债券型证券投资基金托管协议》；</w:t>
      </w:r>
    </w:p>
    <w:p w:rsidR="00CF1B44" w:rsidRDefault="00122F46">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4. </w:t>
      </w:r>
      <w:r>
        <w:rPr>
          <w:rFonts w:eastAsiaTheme="minorEastAsia"/>
          <w:color w:val="000000" w:themeColor="text1"/>
          <w:szCs w:val="21"/>
        </w:rPr>
        <w:t>《上投摩根开放式基金业务规则》；</w:t>
      </w:r>
    </w:p>
    <w:p w:rsidR="00CF1B44" w:rsidRDefault="00122F46">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5. </w:t>
      </w:r>
      <w:r>
        <w:rPr>
          <w:rFonts w:eastAsiaTheme="minorEastAsia"/>
          <w:color w:val="000000" w:themeColor="text1"/>
          <w:szCs w:val="21"/>
        </w:rPr>
        <w:t>基金管理人业务资格批件、营业执照；</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 xml:space="preserve">6. </w:t>
      </w:r>
      <w:r w:rsidRPr="00B27A29">
        <w:rPr>
          <w:rFonts w:eastAsiaTheme="minorEastAsia"/>
          <w:color w:val="000000" w:themeColor="text1"/>
          <w:szCs w:val="21"/>
        </w:rPr>
        <w:t>基金托管人业务资格批件和营业执照。</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9.2</w:t>
      </w:r>
      <w:r w:rsidRPr="00B27A29">
        <w:rPr>
          <w:rFonts w:eastAsiaTheme="minorEastAsia"/>
          <w:b/>
          <w:bCs/>
          <w:color w:val="000000" w:themeColor="text1"/>
          <w:kern w:val="0"/>
          <w:szCs w:val="21"/>
        </w:rPr>
        <w:t>存放地点</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基金管理人或基金托管人住所。</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9.3</w:t>
      </w:r>
      <w:r w:rsidRPr="00B27A29">
        <w:rPr>
          <w:rFonts w:eastAsiaTheme="minorEastAsia"/>
          <w:b/>
          <w:bCs/>
          <w:color w:val="000000" w:themeColor="text1"/>
          <w:kern w:val="0"/>
          <w:szCs w:val="21"/>
        </w:rPr>
        <w:t>查阅方式</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投资者可在营业时间免费查阅，也可按工本费购买复印件。</w:t>
      </w:r>
    </w:p>
    <w:p w:rsidR="005E6DF3" w:rsidRPr="00B27A29" w:rsidRDefault="005E6DF3">
      <w:pPr>
        <w:spacing w:line="360" w:lineRule="auto"/>
        <w:ind w:left="840"/>
        <w:jc w:val="right"/>
        <w:rPr>
          <w:rFonts w:eastAsiaTheme="minorEastAsia"/>
          <w:color w:val="000000" w:themeColor="text1"/>
          <w:szCs w:val="21"/>
        </w:rPr>
      </w:pPr>
    </w:p>
    <w:p w:rsidR="005E6DF3" w:rsidRPr="00B27A29" w:rsidRDefault="005E6DF3">
      <w:pPr>
        <w:spacing w:line="360" w:lineRule="auto"/>
        <w:ind w:left="840"/>
        <w:jc w:val="center"/>
        <w:rPr>
          <w:rFonts w:eastAsiaTheme="minorEastAsia"/>
          <w:b/>
          <w:color w:val="000000" w:themeColor="text1"/>
          <w:szCs w:val="21"/>
        </w:rPr>
      </w:pP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上投摩根基金管理有限公司</w:t>
      </w: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二〇二一年七月二十一日</w:t>
      </w:r>
    </w:p>
    <w:sectPr w:rsidR="005E6DF3" w:rsidRPr="00B27A29">
      <w:footerReference w:type="even" r:id="rId12"/>
      <w:footerReference w:type="default" r:id="rId13"/>
      <w:pgSz w:w="11906" w:h="16838"/>
      <w:pgMar w:top="1440" w:right="1286"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E0E" w:rsidRDefault="00E54E0E">
      <w:r>
        <w:separator/>
      </w:r>
    </w:p>
  </w:endnote>
  <w:endnote w:type="continuationSeparator" w:id="0">
    <w:p w:rsidR="00E54E0E" w:rsidRDefault="00E54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122F46">
      <w:rPr>
        <w:noProof/>
        <w:kern w:val="0"/>
        <w:szCs w:val="21"/>
      </w:rPr>
      <w:t>1</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122F46">
      <w:rPr>
        <w:noProof/>
        <w:kern w:val="0"/>
        <w:szCs w:val="21"/>
      </w:rPr>
      <w:t>15</w:t>
    </w:r>
    <w:r>
      <w:rPr>
        <w:kern w:val="0"/>
        <w:szCs w:val="21"/>
      </w:rPr>
      <w:fldChar w:fldCharType="end"/>
    </w:r>
    <w:r>
      <w:rPr>
        <w:rFonts w:hint="eastAsia"/>
        <w:kern w:val="0"/>
        <w:szCs w:val="21"/>
      </w:rPr>
      <w:t>页</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5C671B" w:rsidRDefault="005C671B">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122F46">
      <w:rPr>
        <w:rStyle w:val="af6"/>
        <w:noProof/>
      </w:rPr>
      <w:t>2</w:t>
    </w:r>
    <w:r>
      <w:rPr>
        <w:rStyle w:val="af6"/>
      </w:rPr>
      <w:fldChar w:fldCharType="end"/>
    </w:r>
  </w:p>
  <w:p w:rsidR="005C671B" w:rsidRDefault="005C671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E0E" w:rsidRDefault="00E54E0E">
      <w:r>
        <w:separator/>
      </w:r>
    </w:p>
  </w:footnote>
  <w:footnote w:type="continuationSeparator" w:id="0">
    <w:p w:rsidR="00E54E0E" w:rsidRDefault="00E54E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f"/>
      <w:pBdr>
        <w:bottom w:val="single" w:sz="6" w:space="0" w:color="auto"/>
      </w:pBdr>
      <w:jc w:val="right"/>
    </w:pPr>
    <w:r>
      <w:t>上投摩根丰瑞债券型证券投资基金</w:t>
    </w:r>
    <w:r>
      <w:t>2021</w:t>
    </w:r>
    <w:r>
      <w:t>年第</w:t>
    </w:r>
    <w:r>
      <w:t>2</w:t>
    </w:r>
    <w: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PostScriptOverText/>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2187"/>
    <w:rsid w:val="0000059C"/>
    <w:rsid w:val="000008B1"/>
    <w:rsid w:val="0000403B"/>
    <w:rsid w:val="00007441"/>
    <w:rsid w:val="00007F1F"/>
    <w:rsid w:val="00010A83"/>
    <w:rsid w:val="000137C1"/>
    <w:rsid w:val="0001579C"/>
    <w:rsid w:val="00016551"/>
    <w:rsid w:val="00020737"/>
    <w:rsid w:val="00020C27"/>
    <w:rsid w:val="00020EB3"/>
    <w:rsid w:val="000219D5"/>
    <w:rsid w:val="00022396"/>
    <w:rsid w:val="00022662"/>
    <w:rsid w:val="00023073"/>
    <w:rsid w:val="00023B97"/>
    <w:rsid w:val="00024836"/>
    <w:rsid w:val="000252D8"/>
    <w:rsid w:val="0003564A"/>
    <w:rsid w:val="00037B55"/>
    <w:rsid w:val="00037C73"/>
    <w:rsid w:val="00042065"/>
    <w:rsid w:val="00043FD2"/>
    <w:rsid w:val="00045476"/>
    <w:rsid w:val="00045558"/>
    <w:rsid w:val="00045BA9"/>
    <w:rsid w:val="00047D87"/>
    <w:rsid w:val="00047DC8"/>
    <w:rsid w:val="000510AB"/>
    <w:rsid w:val="00053FFD"/>
    <w:rsid w:val="00056D5C"/>
    <w:rsid w:val="00061B0B"/>
    <w:rsid w:val="00061E09"/>
    <w:rsid w:val="00062C69"/>
    <w:rsid w:val="00062E1F"/>
    <w:rsid w:val="00064601"/>
    <w:rsid w:val="00064AE3"/>
    <w:rsid w:val="0006750A"/>
    <w:rsid w:val="000739C3"/>
    <w:rsid w:val="000776C0"/>
    <w:rsid w:val="00077849"/>
    <w:rsid w:val="000803AD"/>
    <w:rsid w:val="000813D6"/>
    <w:rsid w:val="00081D05"/>
    <w:rsid w:val="000827CC"/>
    <w:rsid w:val="000871DB"/>
    <w:rsid w:val="00087C69"/>
    <w:rsid w:val="00090834"/>
    <w:rsid w:val="000922C5"/>
    <w:rsid w:val="0009314F"/>
    <w:rsid w:val="00093A23"/>
    <w:rsid w:val="000A08FC"/>
    <w:rsid w:val="000A15F1"/>
    <w:rsid w:val="000A1617"/>
    <w:rsid w:val="000A40A5"/>
    <w:rsid w:val="000A457E"/>
    <w:rsid w:val="000A549A"/>
    <w:rsid w:val="000A5A81"/>
    <w:rsid w:val="000A72F2"/>
    <w:rsid w:val="000A7BFD"/>
    <w:rsid w:val="000B000E"/>
    <w:rsid w:val="000B1CB9"/>
    <w:rsid w:val="000B24AF"/>
    <w:rsid w:val="000B251E"/>
    <w:rsid w:val="000B3E43"/>
    <w:rsid w:val="000B4E99"/>
    <w:rsid w:val="000B648A"/>
    <w:rsid w:val="000C45E7"/>
    <w:rsid w:val="000C5956"/>
    <w:rsid w:val="000C757F"/>
    <w:rsid w:val="000C7DD4"/>
    <w:rsid w:val="000D0474"/>
    <w:rsid w:val="000D1164"/>
    <w:rsid w:val="000D1BBE"/>
    <w:rsid w:val="000D3773"/>
    <w:rsid w:val="000D4DE9"/>
    <w:rsid w:val="000D6660"/>
    <w:rsid w:val="000D6BA0"/>
    <w:rsid w:val="000D7ECA"/>
    <w:rsid w:val="000E0D84"/>
    <w:rsid w:val="000E2F81"/>
    <w:rsid w:val="000E3726"/>
    <w:rsid w:val="000E39DB"/>
    <w:rsid w:val="000F0558"/>
    <w:rsid w:val="000F0AC3"/>
    <w:rsid w:val="000F125F"/>
    <w:rsid w:val="000F175F"/>
    <w:rsid w:val="000F17D1"/>
    <w:rsid w:val="000F1CC9"/>
    <w:rsid w:val="000F5ABD"/>
    <w:rsid w:val="000F60FF"/>
    <w:rsid w:val="000F6F7C"/>
    <w:rsid w:val="001005BB"/>
    <w:rsid w:val="00103B0E"/>
    <w:rsid w:val="001040EA"/>
    <w:rsid w:val="0011283B"/>
    <w:rsid w:val="00112BCF"/>
    <w:rsid w:val="00114E7E"/>
    <w:rsid w:val="00117465"/>
    <w:rsid w:val="00117F22"/>
    <w:rsid w:val="00120280"/>
    <w:rsid w:val="001207F2"/>
    <w:rsid w:val="00121533"/>
    <w:rsid w:val="00122F46"/>
    <w:rsid w:val="0012304E"/>
    <w:rsid w:val="00123051"/>
    <w:rsid w:val="001257C7"/>
    <w:rsid w:val="00125E66"/>
    <w:rsid w:val="001263E1"/>
    <w:rsid w:val="00126AC0"/>
    <w:rsid w:val="00126C2B"/>
    <w:rsid w:val="00127A01"/>
    <w:rsid w:val="00130D77"/>
    <w:rsid w:val="00131EF6"/>
    <w:rsid w:val="0013251D"/>
    <w:rsid w:val="00134734"/>
    <w:rsid w:val="00134CBE"/>
    <w:rsid w:val="001405D3"/>
    <w:rsid w:val="00140C30"/>
    <w:rsid w:val="00142C74"/>
    <w:rsid w:val="00145E5B"/>
    <w:rsid w:val="00147319"/>
    <w:rsid w:val="00147551"/>
    <w:rsid w:val="0015012F"/>
    <w:rsid w:val="00150C2E"/>
    <w:rsid w:val="0015170D"/>
    <w:rsid w:val="001517AE"/>
    <w:rsid w:val="00154FA5"/>
    <w:rsid w:val="0015531A"/>
    <w:rsid w:val="00156F9D"/>
    <w:rsid w:val="001602E3"/>
    <w:rsid w:val="00160539"/>
    <w:rsid w:val="00161548"/>
    <w:rsid w:val="0017176A"/>
    <w:rsid w:val="00172B54"/>
    <w:rsid w:val="001763D8"/>
    <w:rsid w:val="00176874"/>
    <w:rsid w:val="0017725A"/>
    <w:rsid w:val="0018052A"/>
    <w:rsid w:val="00180952"/>
    <w:rsid w:val="0018191A"/>
    <w:rsid w:val="00184F7E"/>
    <w:rsid w:val="00185B68"/>
    <w:rsid w:val="00186199"/>
    <w:rsid w:val="001874E3"/>
    <w:rsid w:val="00193196"/>
    <w:rsid w:val="00194155"/>
    <w:rsid w:val="001A0417"/>
    <w:rsid w:val="001A0B71"/>
    <w:rsid w:val="001A1389"/>
    <w:rsid w:val="001A3016"/>
    <w:rsid w:val="001A3914"/>
    <w:rsid w:val="001A5FA6"/>
    <w:rsid w:val="001A68D9"/>
    <w:rsid w:val="001B053A"/>
    <w:rsid w:val="001B0C78"/>
    <w:rsid w:val="001B151C"/>
    <w:rsid w:val="001B1A13"/>
    <w:rsid w:val="001B1A6E"/>
    <w:rsid w:val="001B22BA"/>
    <w:rsid w:val="001C2045"/>
    <w:rsid w:val="001C5040"/>
    <w:rsid w:val="001C715A"/>
    <w:rsid w:val="001C7B5E"/>
    <w:rsid w:val="001D0F6A"/>
    <w:rsid w:val="001D2FA5"/>
    <w:rsid w:val="001D3394"/>
    <w:rsid w:val="001D3D57"/>
    <w:rsid w:val="001D4980"/>
    <w:rsid w:val="001D5045"/>
    <w:rsid w:val="001D5A44"/>
    <w:rsid w:val="001D5CD0"/>
    <w:rsid w:val="001D724B"/>
    <w:rsid w:val="001E023C"/>
    <w:rsid w:val="001E0BA5"/>
    <w:rsid w:val="001F03E1"/>
    <w:rsid w:val="001F1F19"/>
    <w:rsid w:val="001F2BD1"/>
    <w:rsid w:val="001F3080"/>
    <w:rsid w:val="001F3CC6"/>
    <w:rsid w:val="001F5F5F"/>
    <w:rsid w:val="00205064"/>
    <w:rsid w:val="0020548A"/>
    <w:rsid w:val="00211668"/>
    <w:rsid w:val="002118A6"/>
    <w:rsid w:val="002122FF"/>
    <w:rsid w:val="002125F7"/>
    <w:rsid w:val="0021288A"/>
    <w:rsid w:val="002150AC"/>
    <w:rsid w:val="0021650B"/>
    <w:rsid w:val="002170FF"/>
    <w:rsid w:val="00221938"/>
    <w:rsid w:val="00222262"/>
    <w:rsid w:val="00222ABD"/>
    <w:rsid w:val="002230A8"/>
    <w:rsid w:val="00227D20"/>
    <w:rsid w:val="00231BCE"/>
    <w:rsid w:val="0023336A"/>
    <w:rsid w:val="00233D00"/>
    <w:rsid w:val="002359EB"/>
    <w:rsid w:val="0023649E"/>
    <w:rsid w:val="00241222"/>
    <w:rsid w:val="00241740"/>
    <w:rsid w:val="00241BA9"/>
    <w:rsid w:val="002424E4"/>
    <w:rsid w:val="00243122"/>
    <w:rsid w:val="002437F5"/>
    <w:rsid w:val="00244DB1"/>
    <w:rsid w:val="00245012"/>
    <w:rsid w:val="0024504E"/>
    <w:rsid w:val="0024651F"/>
    <w:rsid w:val="00246874"/>
    <w:rsid w:val="00246D81"/>
    <w:rsid w:val="00250869"/>
    <w:rsid w:val="00251920"/>
    <w:rsid w:val="00251CC4"/>
    <w:rsid w:val="00253D3C"/>
    <w:rsid w:val="00254A7E"/>
    <w:rsid w:val="00255292"/>
    <w:rsid w:val="002553A9"/>
    <w:rsid w:val="00256047"/>
    <w:rsid w:val="0025722F"/>
    <w:rsid w:val="00257E84"/>
    <w:rsid w:val="00260200"/>
    <w:rsid w:val="00263106"/>
    <w:rsid w:val="002642F2"/>
    <w:rsid w:val="00264AE1"/>
    <w:rsid w:val="00266645"/>
    <w:rsid w:val="00267386"/>
    <w:rsid w:val="00267C2E"/>
    <w:rsid w:val="00267DA9"/>
    <w:rsid w:val="00273E5C"/>
    <w:rsid w:val="00275FD0"/>
    <w:rsid w:val="00280514"/>
    <w:rsid w:val="002819E7"/>
    <w:rsid w:val="00282FF2"/>
    <w:rsid w:val="00283483"/>
    <w:rsid w:val="002844B5"/>
    <w:rsid w:val="0028459B"/>
    <w:rsid w:val="00285618"/>
    <w:rsid w:val="002872F8"/>
    <w:rsid w:val="00290EEA"/>
    <w:rsid w:val="00291E9A"/>
    <w:rsid w:val="002935BF"/>
    <w:rsid w:val="00296E4A"/>
    <w:rsid w:val="002976E5"/>
    <w:rsid w:val="002A1F14"/>
    <w:rsid w:val="002A2678"/>
    <w:rsid w:val="002A3369"/>
    <w:rsid w:val="002A4B8A"/>
    <w:rsid w:val="002A5161"/>
    <w:rsid w:val="002A5C0F"/>
    <w:rsid w:val="002A6385"/>
    <w:rsid w:val="002A7929"/>
    <w:rsid w:val="002B41D7"/>
    <w:rsid w:val="002B5240"/>
    <w:rsid w:val="002B6A13"/>
    <w:rsid w:val="002C0904"/>
    <w:rsid w:val="002C0F67"/>
    <w:rsid w:val="002C1E84"/>
    <w:rsid w:val="002C36C3"/>
    <w:rsid w:val="002C41B1"/>
    <w:rsid w:val="002C77CC"/>
    <w:rsid w:val="002D2A00"/>
    <w:rsid w:val="002D5199"/>
    <w:rsid w:val="002E2862"/>
    <w:rsid w:val="002E356A"/>
    <w:rsid w:val="002E4C01"/>
    <w:rsid w:val="002F0516"/>
    <w:rsid w:val="002F22D2"/>
    <w:rsid w:val="002F2863"/>
    <w:rsid w:val="002F778A"/>
    <w:rsid w:val="00302187"/>
    <w:rsid w:val="00302293"/>
    <w:rsid w:val="003028D8"/>
    <w:rsid w:val="0030290F"/>
    <w:rsid w:val="00302DE9"/>
    <w:rsid w:val="00303869"/>
    <w:rsid w:val="00303F1D"/>
    <w:rsid w:val="00305084"/>
    <w:rsid w:val="003052C5"/>
    <w:rsid w:val="00311ABF"/>
    <w:rsid w:val="00314A81"/>
    <w:rsid w:val="00314DD2"/>
    <w:rsid w:val="00315A7C"/>
    <w:rsid w:val="00317705"/>
    <w:rsid w:val="003204E9"/>
    <w:rsid w:val="003232AA"/>
    <w:rsid w:val="00323A10"/>
    <w:rsid w:val="00323E6A"/>
    <w:rsid w:val="00323F25"/>
    <w:rsid w:val="00324A71"/>
    <w:rsid w:val="003303E3"/>
    <w:rsid w:val="00334656"/>
    <w:rsid w:val="00337A86"/>
    <w:rsid w:val="00337C2E"/>
    <w:rsid w:val="0034147B"/>
    <w:rsid w:val="00341889"/>
    <w:rsid w:val="003426CE"/>
    <w:rsid w:val="00343016"/>
    <w:rsid w:val="0034447B"/>
    <w:rsid w:val="00351704"/>
    <w:rsid w:val="003570C8"/>
    <w:rsid w:val="00360D91"/>
    <w:rsid w:val="00367770"/>
    <w:rsid w:val="00370BEA"/>
    <w:rsid w:val="00371424"/>
    <w:rsid w:val="00371FF4"/>
    <w:rsid w:val="00372209"/>
    <w:rsid w:val="00374C4E"/>
    <w:rsid w:val="003771ED"/>
    <w:rsid w:val="0037768B"/>
    <w:rsid w:val="00381791"/>
    <w:rsid w:val="00382E6F"/>
    <w:rsid w:val="00387C00"/>
    <w:rsid w:val="0039032E"/>
    <w:rsid w:val="003968CD"/>
    <w:rsid w:val="00397960"/>
    <w:rsid w:val="00397F75"/>
    <w:rsid w:val="003A2008"/>
    <w:rsid w:val="003A3BC4"/>
    <w:rsid w:val="003A4AA3"/>
    <w:rsid w:val="003B405E"/>
    <w:rsid w:val="003B4843"/>
    <w:rsid w:val="003B494E"/>
    <w:rsid w:val="003C3C8C"/>
    <w:rsid w:val="003C6E9E"/>
    <w:rsid w:val="003C792F"/>
    <w:rsid w:val="003D117A"/>
    <w:rsid w:val="003D36B2"/>
    <w:rsid w:val="003D42D5"/>
    <w:rsid w:val="003D656E"/>
    <w:rsid w:val="003D78B5"/>
    <w:rsid w:val="003E0BD4"/>
    <w:rsid w:val="003E45B9"/>
    <w:rsid w:val="003E654C"/>
    <w:rsid w:val="003F0DE5"/>
    <w:rsid w:val="003F46FC"/>
    <w:rsid w:val="003F4AA5"/>
    <w:rsid w:val="003F61CF"/>
    <w:rsid w:val="003F697D"/>
    <w:rsid w:val="003F7026"/>
    <w:rsid w:val="003F7C45"/>
    <w:rsid w:val="00400500"/>
    <w:rsid w:val="0040132C"/>
    <w:rsid w:val="00404257"/>
    <w:rsid w:val="00407F66"/>
    <w:rsid w:val="004113B4"/>
    <w:rsid w:val="0041220A"/>
    <w:rsid w:val="00413B96"/>
    <w:rsid w:val="00413C2C"/>
    <w:rsid w:val="00415168"/>
    <w:rsid w:val="00415B04"/>
    <w:rsid w:val="00416A6B"/>
    <w:rsid w:val="0042044C"/>
    <w:rsid w:val="00421624"/>
    <w:rsid w:val="00424151"/>
    <w:rsid w:val="00425A5A"/>
    <w:rsid w:val="00425FB6"/>
    <w:rsid w:val="004264FD"/>
    <w:rsid w:val="004268BB"/>
    <w:rsid w:val="0042785F"/>
    <w:rsid w:val="004314FF"/>
    <w:rsid w:val="004408EC"/>
    <w:rsid w:val="00440F74"/>
    <w:rsid w:val="00441A6E"/>
    <w:rsid w:val="00441FEC"/>
    <w:rsid w:val="004425E8"/>
    <w:rsid w:val="00443C8F"/>
    <w:rsid w:val="00447BC6"/>
    <w:rsid w:val="004501CE"/>
    <w:rsid w:val="00452481"/>
    <w:rsid w:val="00453832"/>
    <w:rsid w:val="00454A0F"/>
    <w:rsid w:val="0046335D"/>
    <w:rsid w:val="00463C2C"/>
    <w:rsid w:val="00466BBC"/>
    <w:rsid w:val="004733AC"/>
    <w:rsid w:val="004734F0"/>
    <w:rsid w:val="00483271"/>
    <w:rsid w:val="0049210E"/>
    <w:rsid w:val="0049297D"/>
    <w:rsid w:val="0049327D"/>
    <w:rsid w:val="0049405D"/>
    <w:rsid w:val="0049455C"/>
    <w:rsid w:val="00495A03"/>
    <w:rsid w:val="004A135B"/>
    <w:rsid w:val="004A1BE1"/>
    <w:rsid w:val="004A4980"/>
    <w:rsid w:val="004A4F68"/>
    <w:rsid w:val="004A63CB"/>
    <w:rsid w:val="004A67B0"/>
    <w:rsid w:val="004A6FB2"/>
    <w:rsid w:val="004B0847"/>
    <w:rsid w:val="004B0E6D"/>
    <w:rsid w:val="004B16E8"/>
    <w:rsid w:val="004C0541"/>
    <w:rsid w:val="004C3A16"/>
    <w:rsid w:val="004C634A"/>
    <w:rsid w:val="004C660B"/>
    <w:rsid w:val="004D050C"/>
    <w:rsid w:val="004D23D9"/>
    <w:rsid w:val="004D29A9"/>
    <w:rsid w:val="004D3537"/>
    <w:rsid w:val="004D4D4E"/>
    <w:rsid w:val="004D5974"/>
    <w:rsid w:val="004D614E"/>
    <w:rsid w:val="004D650F"/>
    <w:rsid w:val="004E2133"/>
    <w:rsid w:val="004E4E04"/>
    <w:rsid w:val="004E6CBA"/>
    <w:rsid w:val="004F521C"/>
    <w:rsid w:val="00502CD8"/>
    <w:rsid w:val="0050361C"/>
    <w:rsid w:val="00503ABF"/>
    <w:rsid w:val="00506A40"/>
    <w:rsid w:val="00506D4F"/>
    <w:rsid w:val="0051064F"/>
    <w:rsid w:val="00513A0E"/>
    <w:rsid w:val="00515D7B"/>
    <w:rsid w:val="00515F29"/>
    <w:rsid w:val="0052009E"/>
    <w:rsid w:val="0052306A"/>
    <w:rsid w:val="00530161"/>
    <w:rsid w:val="005450F7"/>
    <w:rsid w:val="00545A0B"/>
    <w:rsid w:val="0054672F"/>
    <w:rsid w:val="00547FA4"/>
    <w:rsid w:val="005536D4"/>
    <w:rsid w:val="00553EC8"/>
    <w:rsid w:val="005564EE"/>
    <w:rsid w:val="00557D4A"/>
    <w:rsid w:val="0056176B"/>
    <w:rsid w:val="00561889"/>
    <w:rsid w:val="005621F6"/>
    <w:rsid w:val="0056291C"/>
    <w:rsid w:val="005668D3"/>
    <w:rsid w:val="00566EBD"/>
    <w:rsid w:val="0057154B"/>
    <w:rsid w:val="005742DB"/>
    <w:rsid w:val="00576A51"/>
    <w:rsid w:val="00577209"/>
    <w:rsid w:val="005800A9"/>
    <w:rsid w:val="00581139"/>
    <w:rsid w:val="00581645"/>
    <w:rsid w:val="00585D10"/>
    <w:rsid w:val="0058694E"/>
    <w:rsid w:val="005875F9"/>
    <w:rsid w:val="00593A35"/>
    <w:rsid w:val="00593C74"/>
    <w:rsid w:val="00597D8B"/>
    <w:rsid w:val="005A46FF"/>
    <w:rsid w:val="005A557E"/>
    <w:rsid w:val="005A63FD"/>
    <w:rsid w:val="005B462A"/>
    <w:rsid w:val="005B5137"/>
    <w:rsid w:val="005B6047"/>
    <w:rsid w:val="005C0ED7"/>
    <w:rsid w:val="005C5409"/>
    <w:rsid w:val="005C62A5"/>
    <w:rsid w:val="005C671B"/>
    <w:rsid w:val="005C6FF7"/>
    <w:rsid w:val="005C7C75"/>
    <w:rsid w:val="005C7D00"/>
    <w:rsid w:val="005D01A4"/>
    <w:rsid w:val="005D0BAB"/>
    <w:rsid w:val="005D1893"/>
    <w:rsid w:val="005D26E9"/>
    <w:rsid w:val="005D2CAA"/>
    <w:rsid w:val="005D4CBA"/>
    <w:rsid w:val="005E01A3"/>
    <w:rsid w:val="005E0354"/>
    <w:rsid w:val="005E4F74"/>
    <w:rsid w:val="005E6C62"/>
    <w:rsid w:val="005E6DF3"/>
    <w:rsid w:val="005E6F13"/>
    <w:rsid w:val="005E726C"/>
    <w:rsid w:val="005F293E"/>
    <w:rsid w:val="005F43B9"/>
    <w:rsid w:val="005F458B"/>
    <w:rsid w:val="005F4A6A"/>
    <w:rsid w:val="005F4E28"/>
    <w:rsid w:val="005F56BA"/>
    <w:rsid w:val="0060008E"/>
    <w:rsid w:val="006016F2"/>
    <w:rsid w:val="00602321"/>
    <w:rsid w:val="006033E3"/>
    <w:rsid w:val="00606B29"/>
    <w:rsid w:val="0060758A"/>
    <w:rsid w:val="00607D0E"/>
    <w:rsid w:val="006101F5"/>
    <w:rsid w:val="00610DA5"/>
    <w:rsid w:val="00611663"/>
    <w:rsid w:val="0061321C"/>
    <w:rsid w:val="00613C20"/>
    <w:rsid w:val="00613F44"/>
    <w:rsid w:val="006149D4"/>
    <w:rsid w:val="00615A56"/>
    <w:rsid w:val="006160BD"/>
    <w:rsid w:val="00620EDB"/>
    <w:rsid w:val="0062386E"/>
    <w:rsid w:val="006253EF"/>
    <w:rsid w:val="00626075"/>
    <w:rsid w:val="0062680E"/>
    <w:rsid w:val="00631158"/>
    <w:rsid w:val="00632923"/>
    <w:rsid w:val="006341E6"/>
    <w:rsid w:val="00634439"/>
    <w:rsid w:val="00634B21"/>
    <w:rsid w:val="006366C6"/>
    <w:rsid w:val="0063693D"/>
    <w:rsid w:val="00636B55"/>
    <w:rsid w:val="00636EB1"/>
    <w:rsid w:val="006373D6"/>
    <w:rsid w:val="006403D4"/>
    <w:rsid w:val="00642CBC"/>
    <w:rsid w:val="0064454A"/>
    <w:rsid w:val="00645293"/>
    <w:rsid w:val="006456D3"/>
    <w:rsid w:val="006464C1"/>
    <w:rsid w:val="00651B78"/>
    <w:rsid w:val="0065237A"/>
    <w:rsid w:val="00652FF5"/>
    <w:rsid w:val="0065303C"/>
    <w:rsid w:val="00653246"/>
    <w:rsid w:val="00654382"/>
    <w:rsid w:val="00661244"/>
    <w:rsid w:val="006640DF"/>
    <w:rsid w:val="00666A3C"/>
    <w:rsid w:val="00667519"/>
    <w:rsid w:val="006676A0"/>
    <w:rsid w:val="00670857"/>
    <w:rsid w:val="00670868"/>
    <w:rsid w:val="006721BC"/>
    <w:rsid w:val="00673D69"/>
    <w:rsid w:val="00676431"/>
    <w:rsid w:val="00677A9C"/>
    <w:rsid w:val="0068050D"/>
    <w:rsid w:val="00685FFC"/>
    <w:rsid w:val="00686943"/>
    <w:rsid w:val="00686EDE"/>
    <w:rsid w:val="00687AD5"/>
    <w:rsid w:val="00690A31"/>
    <w:rsid w:val="006911CE"/>
    <w:rsid w:val="00692002"/>
    <w:rsid w:val="00695251"/>
    <w:rsid w:val="00695B58"/>
    <w:rsid w:val="006979FE"/>
    <w:rsid w:val="006A4828"/>
    <w:rsid w:val="006A7C09"/>
    <w:rsid w:val="006B046C"/>
    <w:rsid w:val="006B252F"/>
    <w:rsid w:val="006B3940"/>
    <w:rsid w:val="006C168D"/>
    <w:rsid w:val="006C4033"/>
    <w:rsid w:val="006C5BC9"/>
    <w:rsid w:val="006C642C"/>
    <w:rsid w:val="006D462B"/>
    <w:rsid w:val="006D7386"/>
    <w:rsid w:val="006E0DAD"/>
    <w:rsid w:val="006E313F"/>
    <w:rsid w:val="006F1F1A"/>
    <w:rsid w:val="006F5AC2"/>
    <w:rsid w:val="006F6C28"/>
    <w:rsid w:val="007007EB"/>
    <w:rsid w:val="00701F57"/>
    <w:rsid w:val="00703E8A"/>
    <w:rsid w:val="00706046"/>
    <w:rsid w:val="007112F0"/>
    <w:rsid w:val="00711343"/>
    <w:rsid w:val="00714309"/>
    <w:rsid w:val="0071450F"/>
    <w:rsid w:val="00717772"/>
    <w:rsid w:val="00721DBE"/>
    <w:rsid w:val="007226EC"/>
    <w:rsid w:val="00722B5E"/>
    <w:rsid w:val="00724F6D"/>
    <w:rsid w:val="0072678C"/>
    <w:rsid w:val="00732D1D"/>
    <w:rsid w:val="007350D4"/>
    <w:rsid w:val="00736034"/>
    <w:rsid w:val="00737E79"/>
    <w:rsid w:val="00740707"/>
    <w:rsid w:val="0074120F"/>
    <w:rsid w:val="00743764"/>
    <w:rsid w:val="00743B2D"/>
    <w:rsid w:val="00747930"/>
    <w:rsid w:val="0075060E"/>
    <w:rsid w:val="00752E8B"/>
    <w:rsid w:val="007541BB"/>
    <w:rsid w:val="00754D62"/>
    <w:rsid w:val="00756CFF"/>
    <w:rsid w:val="00757FD7"/>
    <w:rsid w:val="00761B7A"/>
    <w:rsid w:val="007651E5"/>
    <w:rsid w:val="00765256"/>
    <w:rsid w:val="007661D4"/>
    <w:rsid w:val="007661FD"/>
    <w:rsid w:val="00766A7C"/>
    <w:rsid w:val="00767A27"/>
    <w:rsid w:val="0077111A"/>
    <w:rsid w:val="00775419"/>
    <w:rsid w:val="007763A5"/>
    <w:rsid w:val="0078105B"/>
    <w:rsid w:val="00782B50"/>
    <w:rsid w:val="00784FE0"/>
    <w:rsid w:val="007858B1"/>
    <w:rsid w:val="0078648E"/>
    <w:rsid w:val="00791A3A"/>
    <w:rsid w:val="00791D9C"/>
    <w:rsid w:val="007A391B"/>
    <w:rsid w:val="007A4409"/>
    <w:rsid w:val="007A4F37"/>
    <w:rsid w:val="007A5241"/>
    <w:rsid w:val="007A59B8"/>
    <w:rsid w:val="007B06C7"/>
    <w:rsid w:val="007B3D06"/>
    <w:rsid w:val="007B42F5"/>
    <w:rsid w:val="007B5157"/>
    <w:rsid w:val="007B5CD8"/>
    <w:rsid w:val="007C1122"/>
    <w:rsid w:val="007C19EC"/>
    <w:rsid w:val="007C364E"/>
    <w:rsid w:val="007C5359"/>
    <w:rsid w:val="007C6701"/>
    <w:rsid w:val="007D16ED"/>
    <w:rsid w:val="007D2398"/>
    <w:rsid w:val="007D440B"/>
    <w:rsid w:val="007D62F9"/>
    <w:rsid w:val="007D63A4"/>
    <w:rsid w:val="007D732D"/>
    <w:rsid w:val="007E0F19"/>
    <w:rsid w:val="007E2A84"/>
    <w:rsid w:val="007E5ECB"/>
    <w:rsid w:val="007F063D"/>
    <w:rsid w:val="007F0D73"/>
    <w:rsid w:val="007F153F"/>
    <w:rsid w:val="007F3137"/>
    <w:rsid w:val="007F432A"/>
    <w:rsid w:val="007F63AA"/>
    <w:rsid w:val="008006B7"/>
    <w:rsid w:val="008032FD"/>
    <w:rsid w:val="00806461"/>
    <w:rsid w:val="008064CE"/>
    <w:rsid w:val="0080673A"/>
    <w:rsid w:val="00807A94"/>
    <w:rsid w:val="00810B79"/>
    <w:rsid w:val="00810EAD"/>
    <w:rsid w:val="00814530"/>
    <w:rsid w:val="00815386"/>
    <w:rsid w:val="00821F9C"/>
    <w:rsid w:val="00825570"/>
    <w:rsid w:val="00826403"/>
    <w:rsid w:val="00827990"/>
    <w:rsid w:val="00834CA6"/>
    <w:rsid w:val="0083623B"/>
    <w:rsid w:val="00836C5A"/>
    <w:rsid w:val="00837E59"/>
    <w:rsid w:val="00842100"/>
    <w:rsid w:val="008428A9"/>
    <w:rsid w:val="0084308F"/>
    <w:rsid w:val="00846C2B"/>
    <w:rsid w:val="008473F2"/>
    <w:rsid w:val="0085139A"/>
    <w:rsid w:val="008524F6"/>
    <w:rsid w:val="008532F3"/>
    <w:rsid w:val="00854B3F"/>
    <w:rsid w:val="00861C2C"/>
    <w:rsid w:val="00863744"/>
    <w:rsid w:val="008668B8"/>
    <w:rsid w:val="0086748F"/>
    <w:rsid w:val="0086758B"/>
    <w:rsid w:val="00867B4D"/>
    <w:rsid w:val="00867CF3"/>
    <w:rsid w:val="00874AB5"/>
    <w:rsid w:val="00877671"/>
    <w:rsid w:val="00877A13"/>
    <w:rsid w:val="0088020A"/>
    <w:rsid w:val="008869BC"/>
    <w:rsid w:val="00887DDD"/>
    <w:rsid w:val="00887DE6"/>
    <w:rsid w:val="00887E9F"/>
    <w:rsid w:val="008908AA"/>
    <w:rsid w:val="00890E08"/>
    <w:rsid w:val="008926E3"/>
    <w:rsid w:val="00894DCA"/>
    <w:rsid w:val="00897D88"/>
    <w:rsid w:val="008A00BE"/>
    <w:rsid w:val="008A1539"/>
    <w:rsid w:val="008A2C5D"/>
    <w:rsid w:val="008A3BE2"/>
    <w:rsid w:val="008A6B30"/>
    <w:rsid w:val="008B05E7"/>
    <w:rsid w:val="008B0758"/>
    <w:rsid w:val="008B1875"/>
    <w:rsid w:val="008B4146"/>
    <w:rsid w:val="008B5312"/>
    <w:rsid w:val="008B59CE"/>
    <w:rsid w:val="008B6078"/>
    <w:rsid w:val="008B7110"/>
    <w:rsid w:val="008B7F4A"/>
    <w:rsid w:val="008C04E1"/>
    <w:rsid w:val="008C04FE"/>
    <w:rsid w:val="008C2F50"/>
    <w:rsid w:val="008C3109"/>
    <w:rsid w:val="008C5312"/>
    <w:rsid w:val="008C5DBD"/>
    <w:rsid w:val="008C61D6"/>
    <w:rsid w:val="008D49AF"/>
    <w:rsid w:val="008D4A2B"/>
    <w:rsid w:val="008D4A9F"/>
    <w:rsid w:val="008D6294"/>
    <w:rsid w:val="008E1FE0"/>
    <w:rsid w:val="008E3939"/>
    <w:rsid w:val="008E3B41"/>
    <w:rsid w:val="008E3DDD"/>
    <w:rsid w:val="008F0212"/>
    <w:rsid w:val="008F0559"/>
    <w:rsid w:val="008F23F4"/>
    <w:rsid w:val="008F61C4"/>
    <w:rsid w:val="008F7763"/>
    <w:rsid w:val="009007CB"/>
    <w:rsid w:val="009010F0"/>
    <w:rsid w:val="00901162"/>
    <w:rsid w:val="00901D46"/>
    <w:rsid w:val="009020F1"/>
    <w:rsid w:val="009028E2"/>
    <w:rsid w:val="00903692"/>
    <w:rsid w:val="00904E07"/>
    <w:rsid w:val="00912BAF"/>
    <w:rsid w:val="0091311E"/>
    <w:rsid w:val="00914EAB"/>
    <w:rsid w:val="0091541F"/>
    <w:rsid w:val="00916E71"/>
    <w:rsid w:val="00920D98"/>
    <w:rsid w:val="0092108C"/>
    <w:rsid w:val="00922D49"/>
    <w:rsid w:val="009238DB"/>
    <w:rsid w:val="00925E37"/>
    <w:rsid w:val="00925EDD"/>
    <w:rsid w:val="00927348"/>
    <w:rsid w:val="00930079"/>
    <w:rsid w:val="00930966"/>
    <w:rsid w:val="00932F64"/>
    <w:rsid w:val="00935FB1"/>
    <w:rsid w:val="00936075"/>
    <w:rsid w:val="00936D40"/>
    <w:rsid w:val="00937ABF"/>
    <w:rsid w:val="00937DB1"/>
    <w:rsid w:val="0094296E"/>
    <w:rsid w:val="009463CC"/>
    <w:rsid w:val="0094687A"/>
    <w:rsid w:val="00950413"/>
    <w:rsid w:val="0095078E"/>
    <w:rsid w:val="00952404"/>
    <w:rsid w:val="00952A72"/>
    <w:rsid w:val="009542B3"/>
    <w:rsid w:val="009550A8"/>
    <w:rsid w:val="00955FF2"/>
    <w:rsid w:val="0095693D"/>
    <w:rsid w:val="00956B0D"/>
    <w:rsid w:val="0096260B"/>
    <w:rsid w:val="009631C1"/>
    <w:rsid w:val="00970C69"/>
    <w:rsid w:val="00973B57"/>
    <w:rsid w:val="00973E0D"/>
    <w:rsid w:val="0097403F"/>
    <w:rsid w:val="00976797"/>
    <w:rsid w:val="00980C0C"/>
    <w:rsid w:val="00982E47"/>
    <w:rsid w:val="00982EAE"/>
    <w:rsid w:val="00983E7D"/>
    <w:rsid w:val="00991642"/>
    <w:rsid w:val="0099260C"/>
    <w:rsid w:val="009942F4"/>
    <w:rsid w:val="00995B3C"/>
    <w:rsid w:val="00996BCA"/>
    <w:rsid w:val="009A045B"/>
    <w:rsid w:val="009A0513"/>
    <w:rsid w:val="009A07C1"/>
    <w:rsid w:val="009A2283"/>
    <w:rsid w:val="009A31AF"/>
    <w:rsid w:val="009A3507"/>
    <w:rsid w:val="009A529F"/>
    <w:rsid w:val="009A5C1D"/>
    <w:rsid w:val="009A6018"/>
    <w:rsid w:val="009A7920"/>
    <w:rsid w:val="009B4286"/>
    <w:rsid w:val="009B5BF9"/>
    <w:rsid w:val="009B5DAF"/>
    <w:rsid w:val="009B5F83"/>
    <w:rsid w:val="009B61C5"/>
    <w:rsid w:val="009B769E"/>
    <w:rsid w:val="009C03E5"/>
    <w:rsid w:val="009C4D19"/>
    <w:rsid w:val="009C5FDB"/>
    <w:rsid w:val="009C6334"/>
    <w:rsid w:val="009C65AF"/>
    <w:rsid w:val="009C70CB"/>
    <w:rsid w:val="009C74DD"/>
    <w:rsid w:val="009D27AA"/>
    <w:rsid w:val="009D2AD9"/>
    <w:rsid w:val="009D514E"/>
    <w:rsid w:val="009D5A40"/>
    <w:rsid w:val="009D5C39"/>
    <w:rsid w:val="009D6FED"/>
    <w:rsid w:val="009E0A95"/>
    <w:rsid w:val="009E0D47"/>
    <w:rsid w:val="009E549D"/>
    <w:rsid w:val="009E54AF"/>
    <w:rsid w:val="009E5C59"/>
    <w:rsid w:val="009E6BB8"/>
    <w:rsid w:val="009F1CC3"/>
    <w:rsid w:val="009F26F2"/>
    <w:rsid w:val="009F3E1E"/>
    <w:rsid w:val="009F4CC5"/>
    <w:rsid w:val="009F6550"/>
    <w:rsid w:val="00A003BE"/>
    <w:rsid w:val="00A00870"/>
    <w:rsid w:val="00A02F51"/>
    <w:rsid w:val="00A0360B"/>
    <w:rsid w:val="00A03841"/>
    <w:rsid w:val="00A0520F"/>
    <w:rsid w:val="00A05ACE"/>
    <w:rsid w:val="00A06788"/>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68F"/>
    <w:rsid w:val="00A26437"/>
    <w:rsid w:val="00A30E4D"/>
    <w:rsid w:val="00A32410"/>
    <w:rsid w:val="00A32B48"/>
    <w:rsid w:val="00A36D00"/>
    <w:rsid w:val="00A43389"/>
    <w:rsid w:val="00A4642E"/>
    <w:rsid w:val="00A47AF8"/>
    <w:rsid w:val="00A52D75"/>
    <w:rsid w:val="00A53013"/>
    <w:rsid w:val="00A54BD6"/>
    <w:rsid w:val="00A5643A"/>
    <w:rsid w:val="00A57678"/>
    <w:rsid w:val="00A6090C"/>
    <w:rsid w:val="00A6200E"/>
    <w:rsid w:val="00A62D1E"/>
    <w:rsid w:val="00A65C6D"/>
    <w:rsid w:val="00A716B9"/>
    <w:rsid w:val="00A720D8"/>
    <w:rsid w:val="00A72216"/>
    <w:rsid w:val="00A733F2"/>
    <w:rsid w:val="00A75705"/>
    <w:rsid w:val="00A75BE1"/>
    <w:rsid w:val="00A8187C"/>
    <w:rsid w:val="00A82C9E"/>
    <w:rsid w:val="00A8324F"/>
    <w:rsid w:val="00A85142"/>
    <w:rsid w:val="00A91ECB"/>
    <w:rsid w:val="00A95B37"/>
    <w:rsid w:val="00A96B6F"/>
    <w:rsid w:val="00AA0CE8"/>
    <w:rsid w:val="00AA35FD"/>
    <w:rsid w:val="00AA3DB7"/>
    <w:rsid w:val="00AA58C5"/>
    <w:rsid w:val="00AA5EF2"/>
    <w:rsid w:val="00AA5F63"/>
    <w:rsid w:val="00AA7EBD"/>
    <w:rsid w:val="00AB69EF"/>
    <w:rsid w:val="00AC11DC"/>
    <w:rsid w:val="00AC3183"/>
    <w:rsid w:val="00AC3E87"/>
    <w:rsid w:val="00AC469F"/>
    <w:rsid w:val="00AD0611"/>
    <w:rsid w:val="00AD0E29"/>
    <w:rsid w:val="00AD0E4F"/>
    <w:rsid w:val="00AD26D7"/>
    <w:rsid w:val="00AD3905"/>
    <w:rsid w:val="00AD4555"/>
    <w:rsid w:val="00AD4A31"/>
    <w:rsid w:val="00AD5638"/>
    <w:rsid w:val="00AD7214"/>
    <w:rsid w:val="00AE1066"/>
    <w:rsid w:val="00AE12A4"/>
    <w:rsid w:val="00AE2E1B"/>
    <w:rsid w:val="00AE5129"/>
    <w:rsid w:val="00AE5645"/>
    <w:rsid w:val="00AF1D6B"/>
    <w:rsid w:val="00AF24AA"/>
    <w:rsid w:val="00AF3AF9"/>
    <w:rsid w:val="00AF3E5F"/>
    <w:rsid w:val="00AF3EFD"/>
    <w:rsid w:val="00AF44C1"/>
    <w:rsid w:val="00AF4F09"/>
    <w:rsid w:val="00AF643E"/>
    <w:rsid w:val="00AF73EB"/>
    <w:rsid w:val="00AF79C8"/>
    <w:rsid w:val="00B00FA8"/>
    <w:rsid w:val="00B011B0"/>
    <w:rsid w:val="00B0391C"/>
    <w:rsid w:val="00B047F6"/>
    <w:rsid w:val="00B06019"/>
    <w:rsid w:val="00B0700F"/>
    <w:rsid w:val="00B1493B"/>
    <w:rsid w:val="00B15119"/>
    <w:rsid w:val="00B17169"/>
    <w:rsid w:val="00B22511"/>
    <w:rsid w:val="00B23996"/>
    <w:rsid w:val="00B23CB2"/>
    <w:rsid w:val="00B24A18"/>
    <w:rsid w:val="00B255C5"/>
    <w:rsid w:val="00B25807"/>
    <w:rsid w:val="00B268DD"/>
    <w:rsid w:val="00B27A29"/>
    <w:rsid w:val="00B32AE1"/>
    <w:rsid w:val="00B35FEC"/>
    <w:rsid w:val="00B37780"/>
    <w:rsid w:val="00B37813"/>
    <w:rsid w:val="00B37EEF"/>
    <w:rsid w:val="00B41C1D"/>
    <w:rsid w:val="00B43917"/>
    <w:rsid w:val="00B4515C"/>
    <w:rsid w:val="00B459CD"/>
    <w:rsid w:val="00B46220"/>
    <w:rsid w:val="00B464EA"/>
    <w:rsid w:val="00B47574"/>
    <w:rsid w:val="00B5430C"/>
    <w:rsid w:val="00B54782"/>
    <w:rsid w:val="00B56A90"/>
    <w:rsid w:val="00B5711C"/>
    <w:rsid w:val="00B57BCF"/>
    <w:rsid w:val="00B57E36"/>
    <w:rsid w:val="00B60209"/>
    <w:rsid w:val="00B606A3"/>
    <w:rsid w:val="00B63B6A"/>
    <w:rsid w:val="00B65D6F"/>
    <w:rsid w:val="00B66C17"/>
    <w:rsid w:val="00B673F3"/>
    <w:rsid w:val="00B67A25"/>
    <w:rsid w:val="00B7354A"/>
    <w:rsid w:val="00B7435B"/>
    <w:rsid w:val="00B74446"/>
    <w:rsid w:val="00B74B59"/>
    <w:rsid w:val="00B77142"/>
    <w:rsid w:val="00B8024E"/>
    <w:rsid w:val="00B80C3A"/>
    <w:rsid w:val="00B84643"/>
    <w:rsid w:val="00B87130"/>
    <w:rsid w:val="00B90452"/>
    <w:rsid w:val="00B90780"/>
    <w:rsid w:val="00B916D6"/>
    <w:rsid w:val="00B91AD8"/>
    <w:rsid w:val="00B9209B"/>
    <w:rsid w:val="00B9240D"/>
    <w:rsid w:val="00B9328B"/>
    <w:rsid w:val="00B95753"/>
    <w:rsid w:val="00B97E42"/>
    <w:rsid w:val="00BA0425"/>
    <w:rsid w:val="00BA0C05"/>
    <w:rsid w:val="00BA54D0"/>
    <w:rsid w:val="00BA7E30"/>
    <w:rsid w:val="00BB1013"/>
    <w:rsid w:val="00BB4515"/>
    <w:rsid w:val="00BB7B89"/>
    <w:rsid w:val="00BC1A9B"/>
    <w:rsid w:val="00BC2A22"/>
    <w:rsid w:val="00BC4986"/>
    <w:rsid w:val="00BC5E2E"/>
    <w:rsid w:val="00BC6379"/>
    <w:rsid w:val="00BC7EEF"/>
    <w:rsid w:val="00BD43BB"/>
    <w:rsid w:val="00BD72C1"/>
    <w:rsid w:val="00BD7ADE"/>
    <w:rsid w:val="00BE1A85"/>
    <w:rsid w:val="00BE46ED"/>
    <w:rsid w:val="00BE4FD1"/>
    <w:rsid w:val="00BE642D"/>
    <w:rsid w:val="00BE6D7A"/>
    <w:rsid w:val="00BF2511"/>
    <w:rsid w:val="00BF377F"/>
    <w:rsid w:val="00BF3F88"/>
    <w:rsid w:val="00BF4BCD"/>
    <w:rsid w:val="00BF57BE"/>
    <w:rsid w:val="00C0042B"/>
    <w:rsid w:val="00C02E58"/>
    <w:rsid w:val="00C030B6"/>
    <w:rsid w:val="00C04B38"/>
    <w:rsid w:val="00C067B7"/>
    <w:rsid w:val="00C10A09"/>
    <w:rsid w:val="00C121BC"/>
    <w:rsid w:val="00C14D92"/>
    <w:rsid w:val="00C16739"/>
    <w:rsid w:val="00C17F3F"/>
    <w:rsid w:val="00C23BA2"/>
    <w:rsid w:val="00C260A2"/>
    <w:rsid w:val="00C30DEC"/>
    <w:rsid w:val="00C31142"/>
    <w:rsid w:val="00C31DEF"/>
    <w:rsid w:val="00C338EB"/>
    <w:rsid w:val="00C34ECB"/>
    <w:rsid w:val="00C35BB7"/>
    <w:rsid w:val="00C36B35"/>
    <w:rsid w:val="00C36E74"/>
    <w:rsid w:val="00C36FF2"/>
    <w:rsid w:val="00C400CD"/>
    <w:rsid w:val="00C41617"/>
    <w:rsid w:val="00C4309A"/>
    <w:rsid w:val="00C43F23"/>
    <w:rsid w:val="00C43FF1"/>
    <w:rsid w:val="00C45494"/>
    <w:rsid w:val="00C52D18"/>
    <w:rsid w:val="00C54DC1"/>
    <w:rsid w:val="00C559CE"/>
    <w:rsid w:val="00C55E19"/>
    <w:rsid w:val="00C563AD"/>
    <w:rsid w:val="00C563BF"/>
    <w:rsid w:val="00C56EF8"/>
    <w:rsid w:val="00C57512"/>
    <w:rsid w:val="00C57607"/>
    <w:rsid w:val="00C61133"/>
    <w:rsid w:val="00C64009"/>
    <w:rsid w:val="00C7016D"/>
    <w:rsid w:val="00C754C7"/>
    <w:rsid w:val="00C767B3"/>
    <w:rsid w:val="00C76C07"/>
    <w:rsid w:val="00C80F23"/>
    <w:rsid w:val="00C850A3"/>
    <w:rsid w:val="00C87568"/>
    <w:rsid w:val="00C92451"/>
    <w:rsid w:val="00C9272C"/>
    <w:rsid w:val="00C97764"/>
    <w:rsid w:val="00C97C9B"/>
    <w:rsid w:val="00CA344C"/>
    <w:rsid w:val="00CA6B2A"/>
    <w:rsid w:val="00CA7CF8"/>
    <w:rsid w:val="00CA7F19"/>
    <w:rsid w:val="00CB142D"/>
    <w:rsid w:val="00CB29F6"/>
    <w:rsid w:val="00CB2BBF"/>
    <w:rsid w:val="00CB481C"/>
    <w:rsid w:val="00CB4C8C"/>
    <w:rsid w:val="00CB62E1"/>
    <w:rsid w:val="00CB6EFE"/>
    <w:rsid w:val="00CC16F9"/>
    <w:rsid w:val="00CC28A9"/>
    <w:rsid w:val="00CC4183"/>
    <w:rsid w:val="00CC70A4"/>
    <w:rsid w:val="00CD4A0C"/>
    <w:rsid w:val="00CD5CEF"/>
    <w:rsid w:val="00CE06EC"/>
    <w:rsid w:val="00CE592E"/>
    <w:rsid w:val="00CE5BC5"/>
    <w:rsid w:val="00CF16A4"/>
    <w:rsid w:val="00CF1B44"/>
    <w:rsid w:val="00CF299F"/>
    <w:rsid w:val="00CF3357"/>
    <w:rsid w:val="00CF4F26"/>
    <w:rsid w:val="00CF58DF"/>
    <w:rsid w:val="00D00BC3"/>
    <w:rsid w:val="00D03538"/>
    <w:rsid w:val="00D04410"/>
    <w:rsid w:val="00D05EE7"/>
    <w:rsid w:val="00D06A9D"/>
    <w:rsid w:val="00D07C15"/>
    <w:rsid w:val="00D11D4F"/>
    <w:rsid w:val="00D13A01"/>
    <w:rsid w:val="00D15733"/>
    <w:rsid w:val="00D20364"/>
    <w:rsid w:val="00D2130C"/>
    <w:rsid w:val="00D26746"/>
    <w:rsid w:val="00D26DDD"/>
    <w:rsid w:val="00D27BDC"/>
    <w:rsid w:val="00D3194F"/>
    <w:rsid w:val="00D33751"/>
    <w:rsid w:val="00D37343"/>
    <w:rsid w:val="00D37495"/>
    <w:rsid w:val="00D41727"/>
    <w:rsid w:val="00D427E4"/>
    <w:rsid w:val="00D45058"/>
    <w:rsid w:val="00D45F1B"/>
    <w:rsid w:val="00D50E1A"/>
    <w:rsid w:val="00D52289"/>
    <w:rsid w:val="00D55A37"/>
    <w:rsid w:val="00D55B7E"/>
    <w:rsid w:val="00D64354"/>
    <w:rsid w:val="00D66685"/>
    <w:rsid w:val="00D70D35"/>
    <w:rsid w:val="00D71351"/>
    <w:rsid w:val="00D71997"/>
    <w:rsid w:val="00D72993"/>
    <w:rsid w:val="00D753E9"/>
    <w:rsid w:val="00D777B9"/>
    <w:rsid w:val="00D77E2E"/>
    <w:rsid w:val="00D81050"/>
    <w:rsid w:val="00D82273"/>
    <w:rsid w:val="00D82FA5"/>
    <w:rsid w:val="00D84A4B"/>
    <w:rsid w:val="00D84B45"/>
    <w:rsid w:val="00D857AE"/>
    <w:rsid w:val="00D8623D"/>
    <w:rsid w:val="00D867FB"/>
    <w:rsid w:val="00D870CF"/>
    <w:rsid w:val="00D873C4"/>
    <w:rsid w:val="00D90E11"/>
    <w:rsid w:val="00D9110D"/>
    <w:rsid w:val="00D91124"/>
    <w:rsid w:val="00D91987"/>
    <w:rsid w:val="00D92168"/>
    <w:rsid w:val="00D932DF"/>
    <w:rsid w:val="00D93426"/>
    <w:rsid w:val="00D94B22"/>
    <w:rsid w:val="00D958D3"/>
    <w:rsid w:val="00D9594F"/>
    <w:rsid w:val="00D95EEA"/>
    <w:rsid w:val="00D971CB"/>
    <w:rsid w:val="00D97213"/>
    <w:rsid w:val="00DA134E"/>
    <w:rsid w:val="00DA13F3"/>
    <w:rsid w:val="00DA2DE3"/>
    <w:rsid w:val="00DA64AF"/>
    <w:rsid w:val="00DB1F4F"/>
    <w:rsid w:val="00DB2AC7"/>
    <w:rsid w:val="00DB704C"/>
    <w:rsid w:val="00DC693B"/>
    <w:rsid w:val="00DC7C77"/>
    <w:rsid w:val="00DD0F5D"/>
    <w:rsid w:val="00DD426D"/>
    <w:rsid w:val="00DD74FC"/>
    <w:rsid w:val="00DE0DB6"/>
    <w:rsid w:val="00DE117F"/>
    <w:rsid w:val="00DE1769"/>
    <w:rsid w:val="00DE1A17"/>
    <w:rsid w:val="00DE44C8"/>
    <w:rsid w:val="00DE64CC"/>
    <w:rsid w:val="00DE6AA9"/>
    <w:rsid w:val="00DE7B30"/>
    <w:rsid w:val="00DF20C7"/>
    <w:rsid w:val="00DF4D0C"/>
    <w:rsid w:val="00DF5C20"/>
    <w:rsid w:val="00DF7D81"/>
    <w:rsid w:val="00E02DEB"/>
    <w:rsid w:val="00E042A1"/>
    <w:rsid w:val="00E0476C"/>
    <w:rsid w:val="00E0576B"/>
    <w:rsid w:val="00E067EA"/>
    <w:rsid w:val="00E06D18"/>
    <w:rsid w:val="00E104FA"/>
    <w:rsid w:val="00E1320D"/>
    <w:rsid w:val="00E16022"/>
    <w:rsid w:val="00E1694E"/>
    <w:rsid w:val="00E1738C"/>
    <w:rsid w:val="00E174FF"/>
    <w:rsid w:val="00E205AA"/>
    <w:rsid w:val="00E22296"/>
    <w:rsid w:val="00E27360"/>
    <w:rsid w:val="00E27C04"/>
    <w:rsid w:val="00E30713"/>
    <w:rsid w:val="00E30EDF"/>
    <w:rsid w:val="00E3153A"/>
    <w:rsid w:val="00E31FBA"/>
    <w:rsid w:val="00E328E2"/>
    <w:rsid w:val="00E336BB"/>
    <w:rsid w:val="00E3384E"/>
    <w:rsid w:val="00E374C8"/>
    <w:rsid w:val="00E4042D"/>
    <w:rsid w:val="00E4135D"/>
    <w:rsid w:val="00E43750"/>
    <w:rsid w:val="00E508EB"/>
    <w:rsid w:val="00E521E3"/>
    <w:rsid w:val="00E53B7A"/>
    <w:rsid w:val="00E54E0E"/>
    <w:rsid w:val="00E550C9"/>
    <w:rsid w:val="00E55405"/>
    <w:rsid w:val="00E5645D"/>
    <w:rsid w:val="00E627A4"/>
    <w:rsid w:val="00E6280E"/>
    <w:rsid w:val="00E62C9C"/>
    <w:rsid w:val="00E630EE"/>
    <w:rsid w:val="00E67A61"/>
    <w:rsid w:val="00E70455"/>
    <w:rsid w:val="00E73221"/>
    <w:rsid w:val="00E75116"/>
    <w:rsid w:val="00E763EB"/>
    <w:rsid w:val="00E80A5B"/>
    <w:rsid w:val="00E822EA"/>
    <w:rsid w:val="00E8342F"/>
    <w:rsid w:val="00E84632"/>
    <w:rsid w:val="00E847EE"/>
    <w:rsid w:val="00E876F9"/>
    <w:rsid w:val="00E96A72"/>
    <w:rsid w:val="00E96B52"/>
    <w:rsid w:val="00EA01F7"/>
    <w:rsid w:val="00EA1D33"/>
    <w:rsid w:val="00EA1F5A"/>
    <w:rsid w:val="00EA375F"/>
    <w:rsid w:val="00EA7104"/>
    <w:rsid w:val="00EA7533"/>
    <w:rsid w:val="00EB067F"/>
    <w:rsid w:val="00EB2419"/>
    <w:rsid w:val="00EB58F5"/>
    <w:rsid w:val="00EB6E6B"/>
    <w:rsid w:val="00EC010F"/>
    <w:rsid w:val="00EC0FC0"/>
    <w:rsid w:val="00EC2E3A"/>
    <w:rsid w:val="00EC3CCB"/>
    <w:rsid w:val="00EC5A74"/>
    <w:rsid w:val="00EC737D"/>
    <w:rsid w:val="00ED2154"/>
    <w:rsid w:val="00ED4277"/>
    <w:rsid w:val="00ED7C8C"/>
    <w:rsid w:val="00ED7DDB"/>
    <w:rsid w:val="00EE431B"/>
    <w:rsid w:val="00EE4874"/>
    <w:rsid w:val="00EE53E5"/>
    <w:rsid w:val="00EE6654"/>
    <w:rsid w:val="00EE73FB"/>
    <w:rsid w:val="00EE7BF0"/>
    <w:rsid w:val="00EF2674"/>
    <w:rsid w:val="00EF3163"/>
    <w:rsid w:val="00EF4D29"/>
    <w:rsid w:val="00EF556F"/>
    <w:rsid w:val="00EF7D07"/>
    <w:rsid w:val="00F0181C"/>
    <w:rsid w:val="00F03512"/>
    <w:rsid w:val="00F0433A"/>
    <w:rsid w:val="00F0519B"/>
    <w:rsid w:val="00F059D4"/>
    <w:rsid w:val="00F11783"/>
    <w:rsid w:val="00F119AF"/>
    <w:rsid w:val="00F1480B"/>
    <w:rsid w:val="00F1498D"/>
    <w:rsid w:val="00F20065"/>
    <w:rsid w:val="00F22211"/>
    <w:rsid w:val="00F22341"/>
    <w:rsid w:val="00F22F1D"/>
    <w:rsid w:val="00F22F9F"/>
    <w:rsid w:val="00F24039"/>
    <w:rsid w:val="00F24E0E"/>
    <w:rsid w:val="00F26693"/>
    <w:rsid w:val="00F266E1"/>
    <w:rsid w:val="00F3477D"/>
    <w:rsid w:val="00F347FE"/>
    <w:rsid w:val="00F34859"/>
    <w:rsid w:val="00F356F7"/>
    <w:rsid w:val="00F40055"/>
    <w:rsid w:val="00F40868"/>
    <w:rsid w:val="00F44FDE"/>
    <w:rsid w:val="00F46467"/>
    <w:rsid w:val="00F4715C"/>
    <w:rsid w:val="00F47FF8"/>
    <w:rsid w:val="00F529B5"/>
    <w:rsid w:val="00F52AA4"/>
    <w:rsid w:val="00F56162"/>
    <w:rsid w:val="00F56B7E"/>
    <w:rsid w:val="00F6052F"/>
    <w:rsid w:val="00F62FDE"/>
    <w:rsid w:val="00F654E6"/>
    <w:rsid w:val="00F662CD"/>
    <w:rsid w:val="00F67E39"/>
    <w:rsid w:val="00F703A8"/>
    <w:rsid w:val="00F707F1"/>
    <w:rsid w:val="00F7094A"/>
    <w:rsid w:val="00F710BE"/>
    <w:rsid w:val="00F72579"/>
    <w:rsid w:val="00F804B9"/>
    <w:rsid w:val="00F80AE2"/>
    <w:rsid w:val="00F83FF9"/>
    <w:rsid w:val="00F870C3"/>
    <w:rsid w:val="00F91B52"/>
    <w:rsid w:val="00F96087"/>
    <w:rsid w:val="00F97478"/>
    <w:rsid w:val="00F97B71"/>
    <w:rsid w:val="00F97B9E"/>
    <w:rsid w:val="00FA0527"/>
    <w:rsid w:val="00FA085E"/>
    <w:rsid w:val="00FA0947"/>
    <w:rsid w:val="00FA2D49"/>
    <w:rsid w:val="00FA4B52"/>
    <w:rsid w:val="00FA4D4F"/>
    <w:rsid w:val="00FA4D5B"/>
    <w:rsid w:val="00FA54E8"/>
    <w:rsid w:val="00FA6245"/>
    <w:rsid w:val="00FA786F"/>
    <w:rsid w:val="00FA7D19"/>
    <w:rsid w:val="00FA7EB3"/>
    <w:rsid w:val="00FB058F"/>
    <w:rsid w:val="00FB3750"/>
    <w:rsid w:val="00FB387C"/>
    <w:rsid w:val="00FB3C94"/>
    <w:rsid w:val="00FB48C1"/>
    <w:rsid w:val="00FB6808"/>
    <w:rsid w:val="00FB6CD0"/>
    <w:rsid w:val="00FB723C"/>
    <w:rsid w:val="00FB72B4"/>
    <w:rsid w:val="00FC0A2D"/>
    <w:rsid w:val="00FC13C8"/>
    <w:rsid w:val="00FC39F9"/>
    <w:rsid w:val="00FC59F8"/>
    <w:rsid w:val="00FC60F6"/>
    <w:rsid w:val="00FC7F43"/>
    <w:rsid w:val="00FD0DFA"/>
    <w:rsid w:val="00FD5E71"/>
    <w:rsid w:val="00FD7D41"/>
    <w:rsid w:val="00FE0072"/>
    <w:rsid w:val="00FE0C71"/>
    <w:rsid w:val="00FE1E47"/>
    <w:rsid w:val="00FE275D"/>
    <w:rsid w:val="00FE65AC"/>
    <w:rsid w:val="00FE7FBD"/>
    <w:rsid w:val="00FF10BC"/>
    <w:rsid w:val="00FF5DCF"/>
    <w:rsid w:val="00FF699B"/>
    <w:rsid w:val="00FF6ADB"/>
    <w:rsid w:val="3B5631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18E9033-CCD3-4D67-A782-7E62245B6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Normal Indent" w:uiPriority="99" w:qFormat="1"/>
    <w:lsdException w:name="footnote text" w:qFormat="1"/>
    <w:lsdException w:name="annotation text" w:semiHidden="1" w:qFormat="1"/>
    <w:lsdException w:name="header" w:uiPriority="99" w:qFormat="1"/>
    <w:lsdException w:name="footer" w:qFormat="1"/>
    <w:lsdException w:name="caption" w:semiHidden="1" w:unhideWhenUsed="1" w:qFormat="1"/>
    <w:lsdException w:name="footnote reference" w:qFormat="1"/>
    <w:lsdException w:name="annotation reference" w:semiHidden="1" w:qFormat="1"/>
    <w:lsdException w:name="page number" w:qFormat="1"/>
    <w:lsdException w:name="List"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Indent 2" w:qFormat="1"/>
    <w:lsdException w:name="Body Text Indent 3" w:qFormat="1"/>
    <w:lsdException w:name="Hyperlink" w:qFormat="1"/>
    <w:lsdException w:name="Strong" w:uiPriority="22" w:qFormat="1"/>
    <w:lsdException w:name="Emphasis" w:qFormat="1"/>
    <w:lsdException w:name="Document Map" w:semiHidden="1"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0"/>
    <w:qFormat/>
    <w:pPr>
      <w:keepNext/>
      <w:keepLines/>
      <w:spacing w:before="260" w:after="260" w:line="360" w:lineRule="auto"/>
      <w:outlineLvl w:val="1"/>
    </w:pPr>
    <w:rPr>
      <w:rFonts w:ascii="Arial" w:hAnsi="Arial" w:cs="Arial"/>
      <w:b/>
      <w:bCs/>
      <w:sz w:val="24"/>
      <w:szCs w:val="28"/>
    </w:rPr>
  </w:style>
  <w:style w:type="paragraph" w:styleId="3">
    <w:name w:val="heading 3"/>
    <w:basedOn w:val="a"/>
    <w:next w:val="a"/>
    <w:link w:val="30"/>
    <w:uiPriority w:val="9"/>
    <w:unhideWhenUsed/>
    <w:qFormat/>
    <w:pPr>
      <w:keepNext/>
      <w:keepLines/>
      <w:spacing w:before="260" w:after="260" w:line="416" w:lineRule="auto"/>
      <w:outlineLvl w:val="2"/>
    </w:pPr>
    <w:rPr>
      <w:rFonts w:asciiTheme="minorHAnsi" w:eastAsiaTheme="minorEastAsia" w:hAnsiTheme="minorHAnsi" w:cstheme="min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ind w:firstLineChars="200" w:firstLine="420"/>
    </w:pPr>
  </w:style>
  <w:style w:type="paragraph" w:styleId="a4">
    <w:name w:val="annotation subject"/>
    <w:basedOn w:val="a5"/>
    <w:next w:val="a5"/>
    <w:semiHidden/>
    <w:qFormat/>
    <w:rPr>
      <w:b/>
      <w:bCs/>
    </w:rPr>
  </w:style>
  <w:style w:type="paragraph" w:styleId="a5">
    <w:name w:val="annotation text"/>
    <w:basedOn w:val="a"/>
    <w:semiHidden/>
    <w:qFormat/>
    <w:pPr>
      <w:jc w:val="left"/>
    </w:pPr>
  </w:style>
  <w:style w:type="paragraph" w:styleId="a6">
    <w:name w:val="Document Map"/>
    <w:basedOn w:val="a"/>
    <w:semiHidden/>
    <w:qFormat/>
    <w:pPr>
      <w:shd w:val="clear" w:color="auto" w:fill="000080"/>
    </w:pPr>
  </w:style>
  <w:style w:type="paragraph" w:styleId="a7">
    <w:name w:val="Body Text"/>
    <w:basedOn w:val="a"/>
    <w:qFormat/>
    <w:pPr>
      <w:spacing w:after="120"/>
    </w:pPr>
  </w:style>
  <w:style w:type="paragraph" w:styleId="a8">
    <w:name w:val="Body Text Indent"/>
    <w:basedOn w:val="a"/>
    <w:qFormat/>
    <w:pPr>
      <w:widowControl/>
      <w:spacing w:before="100" w:beforeAutospacing="1" w:after="100" w:afterAutospacing="1"/>
      <w:jc w:val="left"/>
    </w:pPr>
    <w:rPr>
      <w:rFonts w:ascii="Arial Unicode MS" w:eastAsia="Arial Unicode MS" w:hAnsi="Arial Unicode MS" w:cs="Arial Unicode MS"/>
      <w:kern w:val="0"/>
      <w:sz w:val="24"/>
    </w:rPr>
  </w:style>
  <w:style w:type="paragraph" w:styleId="a9">
    <w:name w:val="Plain Text"/>
    <w:basedOn w:val="a"/>
    <w:link w:val="aa"/>
    <w:uiPriority w:val="99"/>
    <w:qFormat/>
    <w:rPr>
      <w:rFonts w:ascii="宋体" w:hAnsi="Courier New"/>
      <w:szCs w:val="21"/>
    </w:rPr>
  </w:style>
  <w:style w:type="paragraph" w:styleId="ab">
    <w:name w:val="Date"/>
    <w:basedOn w:val="a"/>
    <w:next w:val="a"/>
    <w:link w:val="ac"/>
    <w:qFormat/>
    <w:rPr>
      <w:sz w:val="24"/>
      <w:szCs w:val="20"/>
    </w:rPr>
  </w:style>
  <w:style w:type="paragraph" w:styleId="20">
    <w:name w:val="Body Text Indent 2"/>
    <w:basedOn w:val="a"/>
    <w:qFormat/>
    <w:pPr>
      <w:spacing w:line="560" w:lineRule="exact"/>
      <w:ind w:firstLineChars="200" w:firstLine="480"/>
    </w:pPr>
    <w:rPr>
      <w:rFonts w:ascii="宋体" w:hAnsi="宋体"/>
      <w:color w:val="FF0000"/>
      <w:sz w:val="24"/>
    </w:rPr>
  </w:style>
  <w:style w:type="paragraph" w:styleId="ad">
    <w:name w:val="Balloon Text"/>
    <w:basedOn w:val="a"/>
    <w:semiHidden/>
    <w:qFormat/>
    <w:rPr>
      <w:sz w:val="18"/>
      <w:szCs w:val="18"/>
    </w:rPr>
  </w:style>
  <w:style w:type="paragraph" w:styleId="ae">
    <w:name w:val="footer"/>
    <w:basedOn w:val="a"/>
    <w:qFormat/>
    <w:pPr>
      <w:tabs>
        <w:tab w:val="center" w:pos="4153"/>
        <w:tab w:val="right" w:pos="8306"/>
      </w:tabs>
      <w:snapToGrid w:val="0"/>
      <w:jc w:val="left"/>
    </w:pPr>
    <w:rPr>
      <w:sz w:val="18"/>
      <w:szCs w:val="18"/>
    </w:rPr>
  </w:style>
  <w:style w:type="paragraph" w:styleId="af">
    <w:name w:val="header"/>
    <w:basedOn w:val="a"/>
    <w:link w:val="af0"/>
    <w:uiPriority w:val="99"/>
    <w:qFormat/>
    <w:pPr>
      <w:pBdr>
        <w:bottom w:val="single" w:sz="6" w:space="1" w:color="auto"/>
      </w:pBdr>
      <w:tabs>
        <w:tab w:val="center" w:pos="4153"/>
        <w:tab w:val="right" w:pos="8306"/>
      </w:tabs>
      <w:snapToGrid w:val="0"/>
      <w:jc w:val="center"/>
    </w:pPr>
    <w:rPr>
      <w:sz w:val="18"/>
      <w:szCs w:val="18"/>
    </w:rPr>
  </w:style>
  <w:style w:type="paragraph" w:styleId="af1">
    <w:name w:val="List"/>
    <w:basedOn w:val="a7"/>
    <w:qFormat/>
    <w:pPr>
      <w:spacing w:after="220" w:line="220" w:lineRule="atLeast"/>
      <w:ind w:left="1440" w:hanging="360"/>
    </w:pPr>
    <w:rPr>
      <w:szCs w:val="20"/>
    </w:rPr>
  </w:style>
  <w:style w:type="paragraph" w:styleId="af2">
    <w:name w:val="footnote text"/>
    <w:basedOn w:val="a"/>
    <w:link w:val="af3"/>
    <w:qFormat/>
    <w:pPr>
      <w:snapToGrid w:val="0"/>
      <w:jc w:val="left"/>
    </w:pPr>
    <w:rPr>
      <w:sz w:val="18"/>
      <w:szCs w:val="18"/>
    </w:rPr>
  </w:style>
  <w:style w:type="paragraph" w:styleId="31">
    <w:name w:val="Body Text Indent 3"/>
    <w:basedOn w:val="a"/>
    <w:qFormat/>
    <w:pPr>
      <w:spacing w:line="560" w:lineRule="exact"/>
      <w:ind w:firstLineChars="200" w:firstLine="420"/>
    </w:pPr>
    <w:rPr>
      <w:rFonts w:ascii="Arial" w:hAnsi="Arial" w:cs="Arial"/>
      <w:color w:val="FF0000"/>
    </w:rPr>
  </w:style>
  <w:style w:type="paragraph" w:styleId="af4">
    <w:name w:val="Normal (Web)"/>
    <w:basedOn w:val="a"/>
    <w:qFormat/>
    <w:pPr>
      <w:widowControl/>
      <w:spacing w:before="100" w:beforeAutospacing="1" w:after="100" w:afterAutospacing="1"/>
      <w:jc w:val="left"/>
    </w:pPr>
    <w:rPr>
      <w:rFonts w:ascii="宋体" w:hAnsi="宋体"/>
      <w:kern w:val="0"/>
      <w:sz w:val="24"/>
    </w:rPr>
  </w:style>
  <w:style w:type="paragraph" w:styleId="11">
    <w:name w:val="index 1"/>
    <w:basedOn w:val="a"/>
    <w:next w:val="a"/>
    <w:semiHidden/>
    <w:qFormat/>
    <w:pPr>
      <w:jc w:val="right"/>
    </w:pPr>
    <w:rPr>
      <w:color w:val="008000"/>
    </w:rPr>
  </w:style>
  <w:style w:type="character" w:styleId="af5">
    <w:name w:val="Strong"/>
    <w:basedOn w:val="a1"/>
    <w:uiPriority w:val="22"/>
    <w:qFormat/>
    <w:rPr>
      <w:b/>
      <w:bCs/>
    </w:rPr>
  </w:style>
  <w:style w:type="character" w:styleId="af6">
    <w:name w:val="page number"/>
    <w:basedOn w:val="a1"/>
    <w:qFormat/>
  </w:style>
  <w:style w:type="character" w:styleId="af7">
    <w:name w:val="Hyperlink"/>
    <w:basedOn w:val="a1"/>
    <w:qFormat/>
    <w:rPr>
      <w:color w:val="0000FF"/>
      <w:u w:val="single"/>
    </w:rPr>
  </w:style>
  <w:style w:type="character" w:styleId="af8">
    <w:name w:val="annotation reference"/>
    <w:basedOn w:val="a1"/>
    <w:semiHidden/>
    <w:qFormat/>
    <w:rPr>
      <w:sz w:val="21"/>
      <w:szCs w:val="21"/>
    </w:rPr>
  </w:style>
  <w:style w:type="character" w:styleId="af9">
    <w:name w:val="footnote reference"/>
    <w:basedOn w:val="a1"/>
    <w:qFormat/>
    <w:rPr>
      <w:vertAlign w:val="superscript"/>
    </w:rPr>
  </w:style>
  <w:style w:type="table" w:styleId="afa">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已访问的超链接1"/>
    <w:basedOn w:val="a1"/>
    <w:qFormat/>
    <w:rPr>
      <w:color w:val="800080"/>
      <w:u w:val="single"/>
    </w:rPr>
  </w:style>
  <w:style w:type="character" w:customStyle="1" w:styleId="c1">
    <w:name w:val="c1"/>
    <w:basedOn w:val="a1"/>
    <w:qFormat/>
    <w:rPr>
      <w:color w:val="000000"/>
      <w:sz w:val="18"/>
      <w:szCs w:val="18"/>
    </w:rPr>
  </w:style>
  <w:style w:type="paragraph" w:customStyle="1" w:styleId="font5">
    <w:name w:val="font5"/>
    <w:basedOn w:val="a"/>
    <w:qFormat/>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Char">
    <w:name w:val="Char"/>
    <w:basedOn w:val="a"/>
    <w:qFormat/>
  </w:style>
  <w:style w:type="paragraph" w:customStyle="1" w:styleId="Char1">
    <w:name w:val="Char1"/>
    <w:basedOn w:val="a"/>
    <w:qFormat/>
  </w:style>
  <w:style w:type="character" w:customStyle="1" w:styleId="t1">
    <w:name w:val="t1"/>
    <w:basedOn w:val="a1"/>
    <w:rPr>
      <w:color w:val="990000"/>
    </w:rPr>
  </w:style>
  <w:style w:type="character" w:customStyle="1" w:styleId="aa">
    <w:name w:val="纯文本 字符"/>
    <w:basedOn w:val="a1"/>
    <w:link w:val="a9"/>
    <w:uiPriority w:val="99"/>
    <w:rPr>
      <w:rFonts w:ascii="宋体" w:hAnsi="Courier New"/>
      <w:kern w:val="2"/>
      <w:sz w:val="21"/>
      <w:szCs w:val="21"/>
    </w:rPr>
  </w:style>
  <w:style w:type="character" w:customStyle="1" w:styleId="af3">
    <w:name w:val="脚注文本 字符"/>
    <w:basedOn w:val="a1"/>
    <w:link w:val="af2"/>
    <w:rPr>
      <w:kern w:val="2"/>
      <w:sz w:val="18"/>
      <w:szCs w:val="18"/>
    </w:rPr>
  </w:style>
  <w:style w:type="paragraph" w:customStyle="1" w:styleId="Default">
    <w:name w:val="Default"/>
    <w:pPr>
      <w:widowControl w:val="0"/>
      <w:autoSpaceDE w:val="0"/>
      <w:autoSpaceDN w:val="0"/>
      <w:adjustRightInd w:val="0"/>
    </w:pPr>
    <w:rPr>
      <w:rFonts w:ascii="仿宋" w:hAnsi="仿宋" w:cs="仿宋"/>
      <w:color w:val="000000"/>
      <w:sz w:val="24"/>
      <w:szCs w:val="24"/>
    </w:rPr>
  </w:style>
  <w:style w:type="character" w:customStyle="1" w:styleId="af0">
    <w:name w:val="页眉 字符"/>
    <w:basedOn w:val="a1"/>
    <w:link w:val="af"/>
    <w:uiPriority w:val="99"/>
    <w:rPr>
      <w:kern w:val="2"/>
      <w:sz w:val="18"/>
      <w:szCs w:val="18"/>
    </w:rPr>
  </w:style>
  <w:style w:type="character" w:customStyle="1" w:styleId="10">
    <w:name w:val="标题 1 字符"/>
    <w:basedOn w:val="a1"/>
    <w:link w:val="1"/>
    <w:rPr>
      <w:b/>
      <w:bCs/>
      <w:kern w:val="44"/>
      <w:sz w:val="44"/>
      <w:szCs w:val="44"/>
    </w:rPr>
  </w:style>
  <w:style w:type="character" w:customStyle="1" w:styleId="ac">
    <w:name w:val="日期 字符"/>
    <w:basedOn w:val="a1"/>
    <w:link w:val="ab"/>
    <w:rPr>
      <w:kern w:val="2"/>
      <w:sz w:val="24"/>
    </w:rPr>
  </w:style>
  <w:style w:type="character" w:customStyle="1" w:styleId="30">
    <w:name w:val="标题 3 字符"/>
    <w:basedOn w:val="a1"/>
    <w:link w:val="3"/>
    <w:uiPriority w:val="9"/>
    <w:qFormat/>
    <w:rPr>
      <w:rFonts w:asciiTheme="minorHAnsi" w:eastAsiaTheme="minorEastAsia" w:hAnsiTheme="minorHAnsi" w:cstheme="min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814176">
      <w:bodyDiv w:val="1"/>
      <w:marLeft w:val="0"/>
      <w:marRight w:val="0"/>
      <w:marTop w:val="0"/>
      <w:marBottom w:val="0"/>
      <w:divBdr>
        <w:top w:val="none" w:sz="0" w:space="0" w:color="auto"/>
        <w:left w:val="none" w:sz="0" w:space="0" w:color="auto"/>
        <w:bottom w:val="none" w:sz="0" w:space="0" w:color="auto"/>
        <w:right w:val="none" w:sz="0" w:space="0" w:color="auto"/>
      </w:divBdr>
    </w:div>
    <w:div w:id="1296174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08DA396-7B78-4768-8915-75BE5E170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abc季报.dot</Template>
  <TotalTime>22</TotalTime>
  <Pages>15</Pages>
  <Words>1354</Words>
  <Characters>7723</Characters>
  <Application>Microsoft Office Word</Application>
  <DocSecurity>0</DocSecurity>
  <Lines>64</Lines>
  <Paragraphs>18</Paragraphs>
  <ScaleCrop>false</ScaleCrop>
  <Company>TRT. Ltd. Co.</Company>
  <LinksUpToDate>false</LinksUpToDate>
  <CharactersWithSpaces>9059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Wentian.Zhou@FA</cp:lastModifiedBy>
  <cp:revision>218</cp:revision>
  <cp:lastPrinted>2007-07-19T00:46:00Z</cp:lastPrinted>
  <dcterms:created xsi:type="dcterms:W3CDTF">2013-06-21T06:56:00Z</dcterms:created>
  <dcterms:modified xsi:type="dcterms:W3CDTF">2021-07-20T08:04:00Z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