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1,246,713,534.07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、回购策略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回购利率和现券收益率以及其他投资品种收益率的比较，通过回购融入短期资金滚动操作，投资于收益率高于回购成本的债券以及其他获利机会，从而获得杠杆放大收益，并根据市场利率水平以及对利率期限结构的</w:t>
            </w:r>
            <w:r>
              <w:rPr>
                <w:rFonts w:eastAsiaTheme="minorEastAsia"/>
                <w:color w:val="000000" w:themeColor="text1"/>
                <w:kern w:val="0"/>
                <w:szCs w:val="21"/>
              </w:rPr>
              <w:t>预期等，对回购放大的杠杆比例适时进行调整。</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、中小企业私募债券投资策略</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基金投资中小企业私募债券，基金管理人将根据审慎原</w:t>
            </w:r>
            <w:r>
              <w:rPr>
                <w:rFonts w:eastAsiaTheme="minorEastAsia"/>
                <w:color w:val="000000" w:themeColor="text1"/>
                <w:kern w:val="0"/>
                <w:szCs w:val="21"/>
              </w:rPr>
              <w:lastRenderedPageBreak/>
              <w:t>则，制定严格的投资决策流程、风险控制制度和信用风险、流动性风险处置预案，其中，投资决策流程和风险控制制度需经董事会批准，以防范信用风险、流动性风险等各种风险。</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w:t>
            </w:r>
            <w:r>
              <w:rPr>
                <w:rFonts w:eastAsiaTheme="minorEastAsia"/>
                <w:color w:val="000000" w:themeColor="text1"/>
                <w:kern w:val="0"/>
                <w:szCs w:val="21"/>
              </w:rPr>
              <w:t>补偿程度等方面对资产支持证券的风险与收益状况进行评估，在严格控制风险的情况下，确定资产合理配置比例，在保证资产安全性的前提条件下，以期获得长期稳定收益。</w:t>
            </w:r>
          </w:p>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8</w:t>
            </w:r>
            <w:r>
              <w:rPr>
                <w:rFonts w:eastAsiaTheme="minorEastAsia"/>
                <w:color w:val="000000" w:themeColor="text1"/>
                <w:kern w:val="0"/>
                <w:szCs w:val="21"/>
              </w:rPr>
              <w:t>、证券公司短期公司债券投资策略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本基金投资证券公司短期公司债券，将主要从自上而下判断景气周期和自下而上精选标的两个角度出发，结合信用分析和信用评估进行，同时通过有纪律的风险监控实现对投资组合风险的有效管理。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F1B44" w:rsidRDefault="00122F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1,246,687,296.48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26,237.59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7,704,757.08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11,966,293.93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1,270,305,848.69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26,720.59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1.0184</w:t>
            </w:r>
          </w:p>
        </w:tc>
      </w:tr>
    </w:tbl>
    <w:p w:rsidR="00CF1B44" w:rsidRDefault="00122F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1B44">
        <w:tc>
          <w:tcPr>
            <w:tcW w:w="1290" w:type="dxa"/>
            <w:vAlign w:val="center"/>
          </w:tcPr>
          <w:p w:rsidR="00CF1B44" w:rsidRDefault="00122F46">
            <w:pPr>
              <w:jc w:val="left"/>
            </w:pPr>
            <w:r>
              <w:rPr>
                <w:rFonts w:eastAsiaTheme="minorEastAsia"/>
                <w:color w:val="000000" w:themeColor="text1"/>
                <w:szCs w:val="21"/>
              </w:rPr>
              <w:t>过去三个月</w:t>
            </w:r>
          </w:p>
        </w:tc>
        <w:tc>
          <w:tcPr>
            <w:tcW w:w="1291" w:type="dxa"/>
            <w:vAlign w:val="center"/>
          </w:tcPr>
          <w:p w:rsidR="00CF1B44" w:rsidRDefault="00122F46">
            <w:pPr>
              <w:jc w:val="right"/>
            </w:pPr>
            <w:r>
              <w:rPr>
                <w:rFonts w:eastAsiaTheme="minorEastAsia"/>
                <w:color w:val="000000" w:themeColor="text1"/>
                <w:szCs w:val="21"/>
              </w:rPr>
              <w:t>0.94%</w:t>
            </w:r>
          </w:p>
        </w:tc>
        <w:tc>
          <w:tcPr>
            <w:tcW w:w="1291" w:type="dxa"/>
            <w:vAlign w:val="center"/>
          </w:tcPr>
          <w:p w:rsidR="00CF1B44" w:rsidRDefault="00122F46">
            <w:pPr>
              <w:jc w:val="right"/>
            </w:pPr>
            <w:r>
              <w:rPr>
                <w:rFonts w:eastAsiaTheme="minorEastAsia"/>
                <w:color w:val="000000" w:themeColor="text1"/>
                <w:szCs w:val="21"/>
              </w:rPr>
              <w:t>0.02%</w:t>
            </w:r>
          </w:p>
        </w:tc>
        <w:tc>
          <w:tcPr>
            <w:tcW w:w="1291" w:type="dxa"/>
            <w:vAlign w:val="center"/>
          </w:tcPr>
          <w:p w:rsidR="00CF1B44" w:rsidRDefault="00122F46">
            <w:pPr>
              <w:jc w:val="right"/>
            </w:pPr>
            <w:r>
              <w:rPr>
                <w:rFonts w:eastAsiaTheme="minorEastAsia"/>
                <w:color w:val="000000" w:themeColor="text1"/>
                <w:szCs w:val="21"/>
              </w:rPr>
              <w:t>1.23%</w:t>
            </w:r>
          </w:p>
        </w:tc>
        <w:tc>
          <w:tcPr>
            <w:tcW w:w="1291" w:type="dxa"/>
            <w:vAlign w:val="center"/>
          </w:tcPr>
          <w:p w:rsidR="00CF1B44" w:rsidRDefault="00122F46">
            <w:pPr>
              <w:jc w:val="right"/>
            </w:pPr>
            <w:r>
              <w:rPr>
                <w:rFonts w:eastAsiaTheme="minorEastAsia"/>
                <w:color w:val="000000" w:themeColor="text1"/>
                <w:szCs w:val="21"/>
              </w:rPr>
              <w:t>0.03%</w:t>
            </w:r>
          </w:p>
        </w:tc>
        <w:tc>
          <w:tcPr>
            <w:tcW w:w="1291" w:type="dxa"/>
            <w:vAlign w:val="center"/>
          </w:tcPr>
          <w:p w:rsidR="00CF1B44" w:rsidRDefault="00122F46">
            <w:pPr>
              <w:jc w:val="right"/>
            </w:pPr>
            <w:r>
              <w:rPr>
                <w:rFonts w:eastAsiaTheme="minorEastAsia"/>
                <w:color w:val="000000" w:themeColor="text1"/>
                <w:szCs w:val="21"/>
              </w:rPr>
              <w:t>-0.29%</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过去六个月</w:t>
            </w:r>
          </w:p>
        </w:tc>
        <w:tc>
          <w:tcPr>
            <w:tcW w:w="1291" w:type="dxa"/>
            <w:vAlign w:val="center"/>
          </w:tcPr>
          <w:p w:rsidR="00CF1B44" w:rsidRDefault="00122F46">
            <w:pPr>
              <w:jc w:val="right"/>
            </w:pPr>
            <w:r>
              <w:rPr>
                <w:rFonts w:eastAsiaTheme="minorEastAsia"/>
                <w:color w:val="000000" w:themeColor="text1"/>
                <w:szCs w:val="21"/>
              </w:rPr>
              <w:t>1.45%</w:t>
            </w:r>
          </w:p>
        </w:tc>
        <w:tc>
          <w:tcPr>
            <w:tcW w:w="1291" w:type="dxa"/>
            <w:vAlign w:val="center"/>
          </w:tcPr>
          <w:p w:rsidR="00CF1B44" w:rsidRDefault="00122F46">
            <w:pPr>
              <w:jc w:val="right"/>
            </w:pPr>
            <w:r>
              <w:rPr>
                <w:rFonts w:eastAsiaTheme="minorEastAsia"/>
                <w:color w:val="000000" w:themeColor="text1"/>
                <w:szCs w:val="21"/>
              </w:rPr>
              <w:t>0.03%</w:t>
            </w:r>
          </w:p>
        </w:tc>
        <w:tc>
          <w:tcPr>
            <w:tcW w:w="1291" w:type="dxa"/>
            <w:vAlign w:val="center"/>
          </w:tcPr>
          <w:p w:rsidR="00CF1B44" w:rsidRDefault="00122F46">
            <w:pPr>
              <w:jc w:val="right"/>
            </w:pPr>
            <w:r>
              <w:rPr>
                <w:rFonts w:eastAsiaTheme="minorEastAsia"/>
                <w:color w:val="000000" w:themeColor="text1"/>
                <w:szCs w:val="21"/>
              </w:rPr>
              <w:t>2.19%</w:t>
            </w:r>
          </w:p>
        </w:tc>
        <w:tc>
          <w:tcPr>
            <w:tcW w:w="1291" w:type="dxa"/>
            <w:vAlign w:val="center"/>
          </w:tcPr>
          <w:p w:rsidR="00CF1B44" w:rsidRDefault="00122F46">
            <w:pPr>
              <w:jc w:val="right"/>
            </w:pPr>
            <w:r>
              <w:rPr>
                <w:rFonts w:eastAsiaTheme="minorEastAsia"/>
                <w:color w:val="000000" w:themeColor="text1"/>
                <w:szCs w:val="21"/>
              </w:rPr>
              <w:t>0.04%</w:t>
            </w:r>
          </w:p>
        </w:tc>
        <w:tc>
          <w:tcPr>
            <w:tcW w:w="1291" w:type="dxa"/>
            <w:vAlign w:val="center"/>
          </w:tcPr>
          <w:p w:rsidR="00CF1B44" w:rsidRDefault="00122F46">
            <w:pPr>
              <w:jc w:val="right"/>
            </w:pPr>
            <w:r>
              <w:rPr>
                <w:rFonts w:eastAsiaTheme="minorEastAsia"/>
                <w:color w:val="000000" w:themeColor="text1"/>
                <w:szCs w:val="21"/>
              </w:rPr>
              <w:t>-0.74%</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lastRenderedPageBreak/>
              <w:t>过去一年</w:t>
            </w:r>
          </w:p>
        </w:tc>
        <w:tc>
          <w:tcPr>
            <w:tcW w:w="1291" w:type="dxa"/>
            <w:vAlign w:val="center"/>
          </w:tcPr>
          <w:p w:rsidR="00CF1B44" w:rsidRDefault="00122F46">
            <w:pPr>
              <w:jc w:val="right"/>
            </w:pPr>
            <w:r>
              <w:rPr>
                <w:rFonts w:eastAsiaTheme="minorEastAsia"/>
                <w:color w:val="000000" w:themeColor="text1"/>
                <w:szCs w:val="21"/>
              </w:rPr>
              <w:t>1.93%</w:t>
            </w:r>
          </w:p>
        </w:tc>
        <w:tc>
          <w:tcPr>
            <w:tcW w:w="1291" w:type="dxa"/>
            <w:vAlign w:val="center"/>
          </w:tcPr>
          <w:p w:rsidR="00CF1B44" w:rsidRDefault="00122F46">
            <w:pPr>
              <w:jc w:val="right"/>
            </w:pPr>
            <w:r>
              <w:rPr>
                <w:rFonts w:eastAsiaTheme="minorEastAsia"/>
                <w:color w:val="000000" w:themeColor="text1"/>
                <w:szCs w:val="21"/>
              </w:rPr>
              <w:t>0.04%</w:t>
            </w:r>
          </w:p>
        </w:tc>
        <w:tc>
          <w:tcPr>
            <w:tcW w:w="1291" w:type="dxa"/>
            <w:vAlign w:val="center"/>
          </w:tcPr>
          <w:p w:rsidR="00CF1B44" w:rsidRDefault="00122F46">
            <w:pPr>
              <w:jc w:val="right"/>
            </w:pPr>
            <w:r>
              <w:rPr>
                <w:rFonts w:eastAsiaTheme="minorEastAsia"/>
                <w:color w:val="000000" w:themeColor="text1"/>
                <w:szCs w:val="21"/>
              </w:rPr>
              <w:t>2.84%</w:t>
            </w:r>
          </w:p>
        </w:tc>
        <w:tc>
          <w:tcPr>
            <w:tcW w:w="1291" w:type="dxa"/>
            <w:vAlign w:val="center"/>
          </w:tcPr>
          <w:p w:rsidR="00CF1B44" w:rsidRDefault="00122F46">
            <w:pPr>
              <w:jc w:val="right"/>
            </w:pPr>
            <w:r>
              <w:rPr>
                <w:rFonts w:eastAsiaTheme="minorEastAsia"/>
                <w:color w:val="000000" w:themeColor="text1"/>
                <w:szCs w:val="21"/>
              </w:rPr>
              <w:t>0.05%</w:t>
            </w:r>
          </w:p>
        </w:tc>
        <w:tc>
          <w:tcPr>
            <w:tcW w:w="1291" w:type="dxa"/>
            <w:vAlign w:val="center"/>
          </w:tcPr>
          <w:p w:rsidR="00CF1B44" w:rsidRDefault="00122F46">
            <w:pPr>
              <w:jc w:val="right"/>
            </w:pPr>
            <w:r>
              <w:rPr>
                <w:rFonts w:eastAsiaTheme="minorEastAsia"/>
                <w:color w:val="000000" w:themeColor="text1"/>
                <w:szCs w:val="21"/>
              </w:rPr>
              <w:t>-0.91%</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过去三年</w:t>
            </w:r>
          </w:p>
        </w:tc>
        <w:tc>
          <w:tcPr>
            <w:tcW w:w="1291" w:type="dxa"/>
            <w:vAlign w:val="center"/>
          </w:tcPr>
          <w:p w:rsidR="00CF1B44" w:rsidRDefault="00122F46">
            <w:pPr>
              <w:jc w:val="right"/>
            </w:pPr>
            <w:r>
              <w:rPr>
                <w:rFonts w:eastAsiaTheme="minorEastAsia"/>
                <w:color w:val="000000" w:themeColor="text1"/>
                <w:szCs w:val="21"/>
              </w:rPr>
              <w:t>10.95%</w:t>
            </w:r>
          </w:p>
        </w:tc>
        <w:tc>
          <w:tcPr>
            <w:tcW w:w="1291" w:type="dxa"/>
            <w:vAlign w:val="center"/>
          </w:tcPr>
          <w:p w:rsidR="00CF1B44" w:rsidRDefault="00122F46">
            <w:pPr>
              <w:jc w:val="right"/>
            </w:pPr>
            <w:r>
              <w:rPr>
                <w:rFonts w:eastAsiaTheme="minorEastAsia"/>
                <w:color w:val="000000" w:themeColor="text1"/>
                <w:szCs w:val="21"/>
              </w:rPr>
              <w:t>0.07%</w:t>
            </w:r>
          </w:p>
        </w:tc>
        <w:tc>
          <w:tcPr>
            <w:tcW w:w="1291" w:type="dxa"/>
            <w:vAlign w:val="center"/>
          </w:tcPr>
          <w:p w:rsidR="00CF1B44" w:rsidRDefault="00122F46">
            <w:pPr>
              <w:jc w:val="right"/>
            </w:pPr>
            <w:r>
              <w:rPr>
                <w:rFonts w:eastAsiaTheme="minorEastAsia"/>
                <w:color w:val="000000" w:themeColor="text1"/>
                <w:szCs w:val="21"/>
              </w:rPr>
              <w:t>14.46%</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-3.51%</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过去五年</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r>
      <w:tr w:rsidR="00CF1B44">
        <w:tc>
          <w:tcPr>
            <w:tcW w:w="1290" w:type="dxa"/>
            <w:vAlign w:val="center"/>
          </w:tcPr>
          <w:p w:rsidR="00CF1B44" w:rsidRDefault="00122F46">
            <w:pPr>
              <w:jc w:val="left"/>
            </w:pPr>
            <w:r>
              <w:rPr>
                <w:rFonts w:eastAsiaTheme="minorEastAsia"/>
                <w:color w:val="000000" w:themeColor="text1"/>
                <w:szCs w:val="21"/>
              </w:rPr>
              <w:t>自基金合同生效起至今</w:t>
            </w:r>
          </w:p>
        </w:tc>
        <w:tc>
          <w:tcPr>
            <w:tcW w:w="1291" w:type="dxa"/>
            <w:vAlign w:val="center"/>
          </w:tcPr>
          <w:p w:rsidR="00CF1B44" w:rsidRDefault="00122F46">
            <w:pPr>
              <w:jc w:val="right"/>
            </w:pPr>
            <w:r>
              <w:rPr>
                <w:rFonts w:eastAsiaTheme="minorEastAsia"/>
                <w:color w:val="000000" w:themeColor="text1"/>
                <w:szCs w:val="21"/>
              </w:rPr>
              <w:t>14.14%</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19.43%</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-5.29%</w:t>
            </w:r>
          </w:p>
        </w:tc>
        <w:tc>
          <w:tcPr>
            <w:tcW w:w="1291" w:type="dxa"/>
            <w:vAlign w:val="center"/>
          </w:tcPr>
          <w:p w:rsidR="00CF1B44" w:rsidRDefault="00122F46">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F1B44">
        <w:tc>
          <w:tcPr>
            <w:tcW w:w="1290" w:type="dxa"/>
            <w:vAlign w:val="center"/>
          </w:tcPr>
          <w:p w:rsidR="00CF1B44" w:rsidRDefault="00122F46">
            <w:pPr>
              <w:jc w:val="left"/>
            </w:pPr>
            <w:r>
              <w:rPr>
                <w:rFonts w:eastAsiaTheme="minorEastAsia"/>
                <w:color w:val="000000" w:themeColor="text1"/>
                <w:szCs w:val="21"/>
              </w:rPr>
              <w:t>过去三个月</w:t>
            </w:r>
          </w:p>
        </w:tc>
        <w:tc>
          <w:tcPr>
            <w:tcW w:w="1291" w:type="dxa"/>
            <w:vAlign w:val="center"/>
          </w:tcPr>
          <w:p w:rsidR="00CF1B44" w:rsidRDefault="00122F46">
            <w:pPr>
              <w:jc w:val="right"/>
            </w:pPr>
            <w:r>
              <w:rPr>
                <w:rFonts w:eastAsiaTheme="minorEastAsia"/>
                <w:color w:val="000000" w:themeColor="text1"/>
                <w:szCs w:val="21"/>
              </w:rPr>
              <w:t>0.92%</w:t>
            </w:r>
          </w:p>
        </w:tc>
        <w:tc>
          <w:tcPr>
            <w:tcW w:w="1291" w:type="dxa"/>
            <w:vAlign w:val="center"/>
          </w:tcPr>
          <w:p w:rsidR="00CF1B44" w:rsidRDefault="00122F46">
            <w:pPr>
              <w:jc w:val="right"/>
            </w:pPr>
            <w:r>
              <w:rPr>
                <w:rFonts w:eastAsiaTheme="minorEastAsia"/>
                <w:color w:val="000000" w:themeColor="text1"/>
                <w:szCs w:val="21"/>
              </w:rPr>
              <w:t>0.02%</w:t>
            </w:r>
          </w:p>
        </w:tc>
        <w:tc>
          <w:tcPr>
            <w:tcW w:w="1291" w:type="dxa"/>
            <w:vAlign w:val="center"/>
          </w:tcPr>
          <w:p w:rsidR="00CF1B44" w:rsidRDefault="00122F46">
            <w:pPr>
              <w:jc w:val="right"/>
            </w:pPr>
            <w:r>
              <w:rPr>
                <w:rFonts w:eastAsiaTheme="minorEastAsia"/>
                <w:color w:val="000000" w:themeColor="text1"/>
                <w:szCs w:val="21"/>
              </w:rPr>
              <w:t>1.23%</w:t>
            </w:r>
          </w:p>
        </w:tc>
        <w:tc>
          <w:tcPr>
            <w:tcW w:w="1291" w:type="dxa"/>
            <w:vAlign w:val="center"/>
          </w:tcPr>
          <w:p w:rsidR="00CF1B44" w:rsidRDefault="00122F46">
            <w:pPr>
              <w:jc w:val="right"/>
            </w:pPr>
            <w:r>
              <w:rPr>
                <w:rFonts w:eastAsiaTheme="minorEastAsia"/>
                <w:color w:val="000000" w:themeColor="text1"/>
                <w:szCs w:val="21"/>
              </w:rPr>
              <w:t>0.03%</w:t>
            </w:r>
          </w:p>
        </w:tc>
        <w:tc>
          <w:tcPr>
            <w:tcW w:w="1291" w:type="dxa"/>
            <w:vAlign w:val="center"/>
          </w:tcPr>
          <w:p w:rsidR="00CF1B44" w:rsidRDefault="00122F46">
            <w:pPr>
              <w:jc w:val="right"/>
            </w:pPr>
            <w:r>
              <w:rPr>
                <w:rFonts w:eastAsiaTheme="minorEastAsia"/>
                <w:color w:val="000000" w:themeColor="text1"/>
                <w:szCs w:val="21"/>
              </w:rPr>
              <w:t>-0.31%</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过去六个月</w:t>
            </w:r>
          </w:p>
        </w:tc>
        <w:tc>
          <w:tcPr>
            <w:tcW w:w="1291" w:type="dxa"/>
            <w:vAlign w:val="center"/>
          </w:tcPr>
          <w:p w:rsidR="00CF1B44" w:rsidRDefault="00122F46">
            <w:pPr>
              <w:jc w:val="right"/>
            </w:pPr>
            <w:r>
              <w:rPr>
                <w:rFonts w:eastAsiaTheme="minorEastAsia"/>
                <w:color w:val="000000" w:themeColor="text1"/>
                <w:szCs w:val="21"/>
              </w:rPr>
              <w:t>1.40%</w:t>
            </w:r>
          </w:p>
        </w:tc>
        <w:tc>
          <w:tcPr>
            <w:tcW w:w="1291" w:type="dxa"/>
            <w:vAlign w:val="center"/>
          </w:tcPr>
          <w:p w:rsidR="00CF1B44" w:rsidRDefault="00122F46">
            <w:pPr>
              <w:jc w:val="right"/>
            </w:pPr>
            <w:r>
              <w:rPr>
                <w:rFonts w:eastAsiaTheme="minorEastAsia"/>
                <w:color w:val="000000" w:themeColor="text1"/>
                <w:szCs w:val="21"/>
              </w:rPr>
              <w:t>0.03%</w:t>
            </w:r>
          </w:p>
        </w:tc>
        <w:tc>
          <w:tcPr>
            <w:tcW w:w="1291" w:type="dxa"/>
            <w:vAlign w:val="center"/>
          </w:tcPr>
          <w:p w:rsidR="00CF1B44" w:rsidRDefault="00122F46">
            <w:pPr>
              <w:jc w:val="right"/>
            </w:pPr>
            <w:r>
              <w:rPr>
                <w:rFonts w:eastAsiaTheme="minorEastAsia"/>
                <w:color w:val="000000" w:themeColor="text1"/>
                <w:szCs w:val="21"/>
              </w:rPr>
              <w:t>2.19%</w:t>
            </w:r>
          </w:p>
        </w:tc>
        <w:tc>
          <w:tcPr>
            <w:tcW w:w="1291" w:type="dxa"/>
            <w:vAlign w:val="center"/>
          </w:tcPr>
          <w:p w:rsidR="00CF1B44" w:rsidRDefault="00122F46">
            <w:pPr>
              <w:jc w:val="right"/>
            </w:pPr>
            <w:r>
              <w:rPr>
                <w:rFonts w:eastAsiaTheme="minorEastAsia"/>
                <w:color w:val="000000" w:themeColor="text1"/>
                <w:szCs w:val="21"/>
              </w:rPr>
              <w:t>0.04%</w:t>
            </w:r>
          </w:p>
        </w:tc>
        <w:tc>
          <w:tcPr>
            <w:tcW w:w="1291" w:type="dxa"/>
            <w:vAlign w:val="center"/>
          </w:tcPr>
          <w:p w:rsidR="00CF1B44" w:rsidRDefault="00122F46">
            <w:pPr>
              <w:jc w:val="right"/>
            </w:pPr>
            <w:r>
              <w:rPr>
                <w:rFonts w:eastAsiaTheme="minorEastAsia"/>
                <w:color w:val="000000" w:themeColor="text1"/>
                <w:szCs w:val="21"/>
              </w:rPr>
              <w:t>-0.79%</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过去一年</w:t>
            </w:r>
          </w:p>
        </w:tc>
        <w:tc>
          <w:tcPr>
            <w:tcW w:w="1291" w:type="dxa"/>
            <w:vAlign w:val="center"/>
          </w:tcPr>
          <w:p w:rsidR="00CF1B44" w:rsidRDefault="00122F46">
            <w:pPr>
              <w:jc w:val="right"/>
            </w:pPr>
            <w:r>
              <w:rPr>
                <w:rFonts w:eastAsiaTheme="minorEastAsia"/>
                <w:color w:val="000000" w:themeColor="text1"/>
                <w:szCs w:val="21"/>
              </w:rPr>
              <w:t>1.84%</w:t>
            </w:r>
          </w:p>
        </w:tc>
        <w:tc>
          <w:tcPr>
            <w:tcW w:w="1291" w:type="dxa"/>
            <w:vAlign w:val="center"/>
          </w:tcPr>
          <w:p w:rsidR="00CF1B44" w:rsidRDefault="00122F46">
            <w:pPr>
              <w:jc w:val="right"/>
            </w:pPr>
            <w:r>
              <w:rPr>
                <w:rFonts w:eastAsiaTheme="minorEastAsia"/>
                <w:color w:val="000000" w:themeColor="text1"/>
                <w:szCs w:val="21"/>
              </w:rPr>
              <w:t>0.04%</w:t>
            </w:r>
          </w:p>
        </w:tc>
        <w:tc>
          <w:tcPr>
            <w:tcW w:w="1291" w:type="dxa"/>
            <w:vAlign w:val="center"/>
          </w:tcPr>
          <w:p w:rsidR="00CF1B44" w:rsidRDefault="00122F46">
            <w:pPr>
              <w:jc w:val="right"/>
            </w:pPr>
            <w:r>
              <w:rPr>
                <w:rFonts w:eastAsiaTheme="minorEastAsia"/>
                <w:color w:val="000000" w:themeColor="text1"/>
                <w:szCs w:val="21"/>
              </w:rPr>
              <w:t>2.84%</w:t>
            </w:r>
          </w:p>
        </w:tc>
        <w:tc>
          <w:tcPr>
            <w:tcW w:w="1291" w:type="dxa"/>
            <w:vAlign w:val="center"/>
          </w:tcPr>
          <w:p w:rsidR="00CF1B44" w:rsidRDefault="00122F46">
            <w:pPr>
              <w:jc w:val="right"/>
            </w:pPr>
            <w:r>
              <w:rPr>
                <w:rFonts w:eastAsiaTheme="minorEastAsia"/>
                <w:color w:val="000000" w:themeColor="text1"/>
                <w:szCs w:val="21"/>
              </w:rPr>
              <w:t>0.05%</w:t>
            </w:r>
          </w:p>
        </w:tc>
        <w:tc>
          <w:tcPr>
            <w:tcW w:w="1291" w:type="dxa"/>
            <w:vAlign w:val="center"/>
          </w:tcPr>
          <w:p w:rsidR="00CF1B44" w:rsidRDefault="00122F46">
            <w:pPr>
              <w:jc w:val="right"/>
            </w:pPr>
            <w:r>
              <w:rPr>
                <w:rFonts w:eastAsiaTheme="minorEastAsia"/>
                <w:color w:val="000000" w:themeColor="text1"/>
                <w:szCs w:val="21"/>
              </w:rPr>
              <w:t>-1.00%</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过去三年</w:t>
            </w:r>
          </w:p>
        </w:tc>
        <w:tc>
          <w:tcPr>
            <w:tcW w:w="1291" w:type="dxa"/>
            <w:vAlign w:val="center"/>
          </w:tcPr>
          <w:p w:rsidR="00CF1B44" w:rsidRDefault="00122F46">
            <w:pPr>
              <w:jc w:val="right"/>
            </w:pPr>
            <w:r>
              <w:rPr>
                <w:rFonts w:eastAsiaTheme="minorEastAsia"/>
                <w:color w:val="000000" w:themeColor="text1"/>
                <w:szCs w:val="21"/>
              </w:rPr>
              <w:t>10.84%</w:t>
            </w:r>
          </w:p>
        </w:tc>
        <w:tc>
          <w:tcPr>
            <w:tcW w:w="1291" w:type="dxa"/>
            <w:vAlign w:val="center"/>
          </w:tcPr>
          <w:p w:rsidR="00CF1B44" w:rsidRDefault="00122F46">
            <w:pPr>
              <w:jc w:val="right"/>
            </w:pPr>
            <w:r>
              <w:rPr>
                <w:rFonts w:eastAsiaTheme="minorEastAsia"/>
                <w:color w:val="000000" w:themeColor="text1"/>
                <w:szCs w:val="21"/>
              </w:rPr>
              <w:t>0.07%</w:t>
            </w:r>
          </w:p>
        </w:tc>
        <w:tc>
          <w:tcPr>
            <w:tcW w:w="1291" w:type="dxa"/>
            <w:vAlign w:val="center"/>
          </w:tcPr>
          <w:p w:rsidR="00CF1B44" w:rsidRDefault="00122F46">
            <w:pPr>
              <w:jc w:val="right"/>
            </w:pPr>
            <w:r>
              <w:rPr>
                <w:rFonts w:eastAsiaTheme="minorEastAsia"/>
                <w:color w:val="000000" w:themeColor="text1"/>
                <w:szCs w:val="21"/>
              </w:rPr>
              <w:t>14.46%</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-3.62%</w:t>
            </w:r>
          </w:p>
        </w:tc>
        <w:tc>
          <w:tcPr>
            <w:tcW w:w="1291" w:type="dxa"/>
            <w:vAlign w:val="center"/>
          </w:tcPr>
          <w:p w:rsidR="00CF1B44" w:rsidRDefault="00122F46">
            <w:pPr>
              <w:jc w:val="right"/>
            </w:pPr>
            <w:r>
              <w:rPr>
                <w:rFonts w:eastAsiaTheme="minorEastAsia"/>
                <w:color w:val="000000" w:themeColor="text1"/>
                <w:szCs w:val="21"/>
              </w:rPr>
              <w:t>0.01%</w:t>
            </w:r>
          </w:p>
        </w:tc>
      </w:tr>
      <w:tr w:rsidR="00CF1B44">
        <w:tc>
          <w:tcPr>
            <w:tcW w:w="1290" w:type="dxa"/>
            <w:vAlign w:val="center"/>
          </w:tcPr>
          <w:p w:rsidR="00CF1B44" w:rsidRDefault="00122F46">
            <w:pPr>
              <w:jc w:val="left"/>
            </w:pPr>
            <w:r>
              <w:rPr>
                <w:rFonts w:eastAsiaTheme="minorEastAsia"/>
                <w:color w:val="000000" w:themeColor="text1"/>
                <w:szCs w:val="21"/>
              </w:rPr>
              <w:t>过去五年</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c>
          <w:tcPr>
            <w:tcW w:w="1291" w:type="dxa"/>
            <w:vAlign w:val="center"/>
          </w:tcPr>
          <w:p w:rsidR="00CF1B44" w:rsidRDefault="00122F46">
            <w:pPr>
              <w:jc w:val="right"/>
            </w:pPr>
            <w:r>
              <w:rPr>
                <w:rFonts w:eastAsiaTheme="minorEastAsia"/>
                <w:color w:val="000000" w:themeColor="text1"/>
                <w:szCs w:val="21"/>
              </w:rPr>
              <w:t>-</w:t>
            </w:r>
          </w:p>
        </w:tc>
      </w:tr>
      <w:tr w:rsidR="00CF1B44">
        <w:tc>
          <w:tcPr>
            <w:tcW w:w="1290" w:type="dxa"/>
            <w:vAlign w:val="center"/>
          </w:tcPr>
          <w:p w:rsidR="00CF1B44" w:rsidRDefault="00122F46">
            <w:pPr>
              <w:jc w:val="left"/>
            </w:pPr>
            <w:r>
              <w:rPr>
                <w:rFonts w:eastAsiaTheme="minorEastAsia"/>
                <w:color w:val="000000" w:themeColor="text1"/>
                <w:szCs w:val="21"/>
              </w:rPr>
              <w:t>自基金合同生效起至今</w:t>
            </w:r>
          </w:p>
        </w:tc>
        <w:tc>
          <w:tcPr>
            <w:tcW w:w="1291" w:type="dxa"/>
            <w:vAlign w:val="center"/>
          </w:tcPr>
          <w:p w:rsidR="00CF1B44" w:rsidRDefault="00122F46">
            <w:pPr>
              <w:jc w:val="right"/>
            </w:pPr>
            <w:r>
              <w:rPr>
                <w:rFonts w:eastAsiaTheme="minorEastAsia"/>
                <w:color w:val="000000" w:themeColor="text1"/>
                <w:szCs w:val="21"/>
              </w:rPr>
              <w:t>14.23%</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19.43%</w:t>
            </w:r>
          </w:p>
        </w:tc>
        <w:tc>
          <w:tcPr>
            <w:tcW w:w="1291" w:type="dxa"/>
            <w:vAlign w:val="center"/>
          </w:tcPr>
          <w:p w:rsidR="00CF1B44" w:rsidRDefault="00122F46">
            <w:pPr>
              <w:jc w:val="right"/>
            </w:pPr>
            <w:r>
              <w:rPr>
                <w:rFonts w:eastAsiaTheme="minorEastAsia"/>
                <w:color w:val="000000" w:themeColor="text1"/>
                <w:szCs w:val="21"/>
              </w:rPr>
              <w:t>0.06%</w:t>
            </w:r>
          </w:p>
        </w:tc>
        <w:tc>
          <w:tcPr>
            <w:tcW w:w="1291" w:type="dxa"/>
            <w:vAlign w:val="center"/>
          </w:tcPr>
          <w:p w:rsidR="00CF1B44" w:rsidRDefault="00122F46">
            <w:pPr>
              <w:jc w:val="right"/>
            </w:pPr>
            <w:r>
              <w:rPr>
                <w:rFonts w:eastAsiaTheme="minorEastAsia"/>
                <w:color w:val="000000" w:themeColor="text1"/>
                <w:szCs w:val="21"/>
              </w:rPr>
              <w:t>-5.20%</w:t>
            </w:r>
          </w:p>
        </w:tc>
        <w:tc>
          <w:tcPr>
            <w:tcW w:w="1291" w:type="dxa"/>
            <w:vAlign w:val="center"/>
          </w:tcPr>
          <w:p w:rsidR="00CF1B44" w:rsidRDefault="00122F46">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F1B44">
        <w:tc>
          <w:tcPr>
            <w:tcW w:w="952" w:type="dxa"/>
            <w:vAlign w:val="center"/>
          </w:tcPr>
          <w:p w:rsidR="00CF1B44" w:rsidRDefault="00122F46">
            <w:pPr>
              <w:jc w:val="center"/>
            </w:pPr>
            <w:r>
              <w:rPr>
                <w:rFonts w:eastAsiaTheme="minorEastAsia"/>
                <w:color w:val="000000" w:themeColor="text1"/>
                <w:szCs w:val="21"/>
              </w:rPr>
              <w:t>聂曙光</w:t>
            </w:r>
          </w:p>
        </w:tc>
        <w:tc>
          <w:tcPr>
            <w:tcW w:w="930" w:type="dxa"/>
            <w:vAlign w:val="center"/>
          </w:tcPr>
          <w:p w:rsidR="00CF1B44" w:rsidRDefault="00122F46">
            <w:pPr>
              <w:jc w:val="center"/>
            </w:pPr>
            <w:r>
              <w:rPr>
                <w:rFonts w:eastAsiaTheme="minorEastAsia"/>
                <w:color w:val="000000" w:themeColor="text1"/>
                <w:szCs w:val="21"/>
              </w:rPr>
              <w:t>本基金基金经理、债券投资部总监</w:t>
            </w:r>
          </w:p>
        </w:tc>
        <w:tc>
          <w:tcPr>
            <w:tcW w:w="1210" w:type="dxa"/>
            <w:vAlign w:val="center"/>
          </w:tcPr>
          <w:p w:rsidR="00CF1B44" w:rsidRDefault="00122F46">
            <w:pPr>
              <w:jc w:val="center"/>
            </w:pPr>
            <w:r>
              <w:rPr>
                <w:rFonts w:eastAsiaTheme="minorEastAsia"/>
                <w:color w:val="000000" w:themeColor="text1"/>
                <w:szCs w:val="21"/>
              </w:rPr>
              <w:t>2019-08-29</w:t>
            </w:r>
          </w:p>
        </w:tc>
        <w:tc>
          <w:tcPr>
            <w:tcW w:w="1309" w:type="dxa"/>
            <w:vAlign w:val="center"/>
          </w:tcPr>
          <w:p w:rsidR="00CF1B44" w:rsidRDefault="00122F46">
            <w:pPr>
              <w:jc w:val="center"/>
            </w:pPr>
            <w:r>
              <w:rPr>
                <w:rFonts w:eastAsiaTheme="minorEastAsia"/>
                <w:color w:val="000000" w:themeColor="text1"/>
                <w:szCs w:val="21"/>
              </w:rPr>
              <w:t>-</w:t>
            </w:r>
          </w:p>
        </w:tc>
        <w:tc>
          <w:tcPr>
            <w:tcW w:w="1254" w:type="dxa"/>
            <w:vAlign w:val="center"/>
          </w:tcPr>
          <w:p w:rsidR="00CF1B44" w:rsidRDefault="00122F4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CF1B44" w:rsidRDefault="00122F46">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w:t>
            </w:r>
            <w:r>
              <w:rPr>
                <w:rFonts w:eastAsiaTheme="minorEastAsia"/>
                <w:color w:val="000000" w:themeColor="text1"/>
                <w:szCs w:val="21"/>
              </w:rPr>
              <w:lastRenderedPageBreak/>
              <w:t>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起同时担任上投摩根纯债丰利债券型证券投资基金基金经理，自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w:t>
            </w:r>
            <w:r>
              <w:rPr>
                <w:rFonts w:eastAsiaTheme="minorEastAsia"/>
                <w:color w:val="000000" w:themeColor="text1"/>
                <w:szCs w:val="21"/>
              </w:rPr>
              <w:t>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r w:rsidR="00CF1B44">
        <w:tc>
          <w:tcPr>
            <w:tcW w:w="952" w:type="dxa"/>
            <w:vAlign w:val="center"/>
          </w:tcPr>
          <w:p w:rsidR="00CF1B44" w:rsidRDefault="00122F46">
            <w:pPr>
              <w:jc w:val="center"/>
            </w:pPr>
            <w:r>
              <w:rPr>
                <w:rFonts w:eastAsiaTheme="minorEastAsia"/>
                <w:color w:val="000000" w:themeColor="text1"/>
                <w:szCs w:val="21"/>
              </w:rPr>
              <w:lastRenderedPageBreak/>
              <w:t>雷杨娟</w:t>
            </w:r>
          </w:p>
        </w:tc>
        <w:tc>
          <w:tcPr>
            <w:tcW w:w="930" w:type="dxa"/>
            <w:vAlign w:val="center"/>
          </w:tcPr>
          <w:p w:rsidR="00CF1B44" w:rsidRDefault="00122F46">
            <w:pPr>
              <w:jc w:val="center"/>
            </w:pPr>
            <w:r>
              <w:rPr>
                <w:rFonts w:eastAsiaTheme="minorEastAsia"/>
                <w:color w:val="000000" w:themeColor="text1"/>
                <w:szCs w:val="21"/>
              </w:rPr>
              <w:t>本基金基金经理</w:t>
            </w:r>
          </w:p>
        </w:tc>
        <w:tc>
          <w:tcPr>
            <w:tcW w:w="1210" w:type="dxa"/>
            <w:vAlign w:val="center"/>
          </w:tcPr>
          <w:p w:rsidR="00CF1B44" w:rsidRDefault="00122F46">
            <w:pPr>
              <w:jc w:val="center"/>
            </w:pPr>
            <w:r>
              <w:rPr>
                <w:rFonts w:eastAsiaTheme="minorEastAsia"/>
                <w:color w:val="000000" w:themeColor="text1"/>
                <w:szCs w:val="21"/>
              </w:rPr>
              <w:t>2020-07-31</w:t>
            </w:r>
          </w:p>
        </w:tc>
        <w:tc>
          <w:tcPr>
            <w:tcW w:w="1309" w:type="dxa"/>
            <w:vAlign w:val="center"/>
          </w:tcPr>
          <w:p w:rsidR="00CF1B44" w:rsidRDefault="00122F46">
            <w:pPr>
              <w:jc w:val="center"/>
            </w:pPr>
            <w:r>
              <w:rPr>
                <w:rFonts w:eastAsiaTheme="minorEastAsia"/>
                <w:color w:val="000000" w:themeColor="text1"/>
                <w:szCs w:val="21"/>
              </w:rPr>
              <w:t>-</w:t>
            </w:r>
          </w:p>
        </w:tc>
        <w:tc>
          <w:tcPr>
            <w:tcW w:w="1254" w:type="dxa"/>
            <w:vAlign w:val="center"/>
          </w:tcPr>
          <w:p w:rsidR="00CF1B44" w:rsidRDefault="00122F4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CF1B44" w:rsidRDefault="00122F46">
            <w:r>
              <w:rPr>
                <w:rFonts w:eastAsiaTheme="minorEastAsia"/>
                <w:color w:val="000000" w:themeColor="text1"/>
                <w:szCs w:val="21"/>
              </w:rPr>
              <w:t>清华大学工商管理硕士，现任债券投资部副总监兼资深基金经理。雷杨娟女士自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lastRenderedPageBreak/>
              <w:t>年</w:t>
            </w:r>
            <w:r>
              <w:rPr>
                <w:rFonts w:eastAsiaTheme="minorEastAsia"/>
                <w:color w:val="000000" w:themeColor="text1"/>
                <w:szCs w:val="21"/>
              </w:rPr>
              <w:t>12</w:t>
            </w:r>
            <w:r>
              <w:rPr>
                <w:rFonts w:eastAsiaTheme="minorEastAsia"/>
                <w:color w:val="000000" w:themeColor="text1"/>
                <w:szCs w:val="21"/>
              </w:rPr>
              <w:t>月在厦门国际银行工作，历任总裁（总经理）办公室副行长秘书兼集团秘书、资金运营部外汇及外币债券交易员；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月在中国民生银行金融市场部工作，历任人民币债券自营交易员、银行账户投资经理、投顾账户投资经理；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月起担任上投摩根丰瑞债券型证券投资基金经理，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bl>
    <w:p w:rsidR="00CF1B44" w:rsidRDefault="00122F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内，基金管理人不存在损害基金份额持有人利益的行为，勤勉尽责地为基金份额持有人谋求利益。基金管理人遵守了《证券投资基金法》及其他有关法律法规、《上投摩根丰瑞债券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第二季度总体延续了第一季度的复苏韧性，经济数据高位企稳。</w:t>
      </w:r>
      <w:r>
        <w:rPr>
          <w:rFonts w:eastAsiaTheme="minorEastAsia"/>
          <w:color w:val="000000" w:themeColor="text1"/>
          <w:szCs w:val="21"/>
        </w:rPr>
        <w:t>5</w:t>
      </w:r>
      <w:r>
        <w:rPr>
          <w:rFonts w:eastAsiaTheme="minorEastAsia"/>
          <w:color w:val="000000" w:themeColor="text1"/>
          <w:szCs w:val="21"/>
        </w:rPr>
        <w:t>月，工业企业两年平均利润增速高位小幅回落，处于下行通道，工业增加值增速回落，</w:t>
      </w:r>
      <w:r>
        <w:rPr>
          <w:rFonts w:eastAsiaTheme="minorEastAsia"/>
          <w:color w:val="000000" w:themeColor="text1"/>
          <w:szCs w:val="21"/>
        </w:rPr>
        <w:t>PPI</w:t>
      </w:r>
      <w:r>
        <w:rPr>
          <w:rFonts w:eastAsiaTheme="minorEastAsia"/>
          <w:color w:val="000000" w:themeColor="text1"/>
          <w:szCs w:val="21"/>
        </w:rPr>
        <w:t>进一步上升至</w:t>
      </w:r>
      <w:r>
        <w:rPr>
          <w:rFonts w:eastAsiaTheme="minorEastAsia"/>
          <w:color w:val="000000" w:themeColor="text1"/>
          <w:szCs w:val="21"/>
        </w:rPr>
        <w:t>9%</w:t>
      </w:r>
      <w:r>
        <w:rPr>
          <w:rFonts w:eastAsiaTheme="minorEastAsia"/>
          <w:color w:val="000000" w:themeColor="text1"/>
          <w:szCs w:val="21"/>
        </w:rPr>
        <w:t>，价格继续攀升，行业间表现分化加剧。在</w:t>
      </w:r>
      <w:r>
        <w:rPr>
          <w:rFonts w:eastAsiaTheme="minorEastAsia"/>
          <w:color w:val="000000" w:themeColor="text1"/>
          <w:szCs w:val="21"/>
        </w:rPr>
        <w:t>PPI</w:t>
      </w:r>
      <w:r>
        <w:rPr>
          <w:rFonts w:eastAsiaTheme="minorEastAsia"/>
          <w:color w:val="000000" w:themeColor="text1"/>
          <w:szCs w:val="21"/>
        </w:rPr>
        <w:t>的支撑下，</w:t>
      </w:r>
      <w:r>
        <w:rPr>
          <w:rFonts w:eastAsiaTheme="minorEastAsia"/>
          <w:color w:val="000000" w:themeColor="text1"/>
          <w:szCs w:val="21"/>
        </w:rPr>
        <w:t>5</w:t>
      </w:r>
      <w:r>
        <w:rPr>
          <w:rFonts w:eastAsiaTheme="minorEastAsia"/>
          <w:color w:val="000000" w:themeColor="text1"/>
          <w:szCs w:val="21"/>
        </w:rPr>
        <w:t>月固定资产投资两年平均增速较上月略有提高，制造业投资修复加速，地产投资依然强劲，基建增速有望企稳。</w:t>
      </w:r>
      <w:r>
        <w:rPr>
          <w:rFonts w:eastAsiaTheme="minorEastAsia"/>
          <w:color w:val="000000" w:themeColor="text1"/>
          <w:szCs w:val="21"/>
        </w:rPr>
        <w:t>M1</w:t>
      </w:r>
      <w:r>
        <w:rPr>
          <w:rFonts w:eastAsiaTheme="minorEastAsia"/>
          <w:color w:val="000000" w:themeColor="text1"/>
          <w:szCs w:val="21"/>
        </w:rPr>
        <w:t>延续年初以来下降的趋势，</w:t>
      </w:r>
      <w:r>
        <w:rPr>
          <w:rFonts w:eastAsiaTheme="minorEastAsia"/>
          <w:color w:val="000000" w:themeColor="text1"/>
          <w:szCs w:val="21"/>
        </w:rPr>
        <w:t>M2</w:t>
      </w:r>
      <w:r>
        <w:rPr>
          <w:rFonts w:eastAsiaTheme="minorEastAsia"/>
          <w:color w:val="000000" w:themeColor="text1"/>
          <w:szCs w:val="21"/>
        </w:rPr>
        <w:t>小幅反弹。生产强</w:t>
      </w:r>
      <w:r>
        <w:rPr>
          <w:rFonts w:eastAsiaTheme="minorEastAsia"/>
          <w:color w:val="000000" w:themeColor="text1"/>
          <w:szCs w:val="21"/>
        </w:rPr>
        <w:t>于消费，消费依旧疲软，必需品消费表现好于非必需品消费。</w:t>
      </w:r>
      <w:r>
        <w:rPr>
          <w:rFonts w:eastAsiaTheme="minorEastAsia"/>
          <w:color w:val="000000" w:themeColor="text1"/>
          <w:szCs w:val="21"/>
        </w:rPr>
        <w:t>CPI</w:t>
      </w:r>
      <w:r>
        <w:rPr>
          <w:rFonts w:eastAsiaTheme="minorEastAsia"/>
          <w:color w:val="000000" w:themeColor="text1"/>
          <w:szCs w:val="21"/>
        </w:rPr>
        <w:t>维持稳定，</w:t>
      </w:r>
      <w:r>
        <w:rPr>
          <w:rFonts w:eastAsiaTheme="minorEastAsia"/>
          <w:color w:val="000000" w:themeColor="text1"/>
          <w:szCs w:val="21"/>
        </w:rPr>
        <w:t>PPI</w:t>
      </w:r>
      <w:r>
        <w:rPr>
          <w:rFonts w:eastAsiaTheme="minorEastAsia"/>
          <w:color w:val="000000" w:themeColor="text1"/>
          <w:szCs w:val="21"/>
        </w:rPr>
        <w:t>陡峭上升趋势大概率或已结束。出口增速回落，进口增速上升。</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货币政策方面，央行操作仍是以</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为主，整个季度净投放</w:t>
      </w:r>
      <w:r>
        <w:rPr>
          <w:rFonts w:eastAsiaTheme="minorEastAsia"/>
          <w:color w:val="000000" w:themeColor="text1"/>
          <w:szCs w:val="21"/>
        </w:rPr>
        <w:t>1639</w:t>
      </w:r>
      <w:r>
        <w:rPr>
          <w:rFonts w:eastAsiaTheme="minorEastAsia"/>
          <w:color w:val="000000" w:themeColor="text1"/>
          <w:szCs w:val="21"/>
        </w:rPr>
        <w:t>亿元，</w:t>
      </w:r>
      <w:r>
        <w:rPr>
          <w:rFonts w:eastAsiaTheme="minorEastAsia"/>
          <w:color w:val="000000" w:themeColor="text1"/>
          <w:szCs w:val="21"/>
        </w:rPr>
        <w:t>MLF</w:t>
      </w:r>
      <w:r>
        <w:rPr>
          <w:rFonts w:eastAsiaTheme="minorEastAsia"/>
          <w:color w:val="000000" w:themeColor="text1"/>
          <w:szCs w:val="21"/>
        </w:rPr>
        <w:t>投放基本保持对冲操作，仅在</w:t>
      </w:r>
      <w:r>
        <w:rPr>
          <w:rFonts w:eastAsiaTheme="minorEastAsia"/>
          <w:color w:val="000000" w:themeColor="text1"/>
          <w:szCs w:val="21"/>
        </w:rPr>
        <w:t>4</w:t>
      </w:r>
      <w:r>
        <w:rPr>
          <w:rFonts w:eastAsiaTheme="minorEastAsia"/>
          <w:color w:val="000000" w:themeColor="text1"/>
          <w:szCs w:val="21"/>
        </w:rPr>
        <w:t>月中旬小额净投放</w:t>
      </w:r>
      <w:r>
        <w:rPr>
          <w:rFonts w:eastAsiaTheme="minorEastAsia"/>
          <w:color w:val="000000" w:themeColor="text1"/>
          <w:szCs w:val="21"/>
        </w:rPr>
        <w:t>500</w:t>
      </w:r>
      <w:r>
        <w:rPr>
          <w:rFonts w:eastAsiaTheme="minorEastAsia"/>
          <w:color w:val="000000" w:themeColor="text1"/>
          <w:szCs w:val="21"/>
        </w:rPr>
        <w:t>亿元。资金利率在二季度基本保持稳定，除</w:t>
      </w:r>
      <w:r>
        <w:rPr>
          <w:rFonts w:eastAsiaTheme="minorEastAsia"/>
          <w:color w:val="000000" w:themeColor="text1"/>
          <w:szCs w:val="21"/>
        </w:rPr>
        <w:t>DR001</w:t>
      </w:r>
      <w:r>
        <w:rPr>
          <w:rFonts w:eastAsiaTheme="minorEastAsia"/>
          <w:color w:val="000000" w:themeColor="text1"/>
          <w:szCs w:val="21"/>
        </w:rPr>
        <w:t>平均值较上个季度上行</w:t>
      </w:r>
      <w:r>
        <w:rPr>
          <w:rFonts w:eastAsiaTheme="minorEastAsia"/>
          <w:color w:val="000000" w:themeColor="text1"/>
          <w:szCs w:val="21"/>
        </w:rPr>
        <w:t>7bp</w:t>
      </w:r>
      <w:r>
        <w:rPr>
          <w:rFonts w:eastAsiaTheme="minorEastAsia"/>
          <w:color w:val="000000" w:themeColor="text1"/>
          <w:szCs w:val="21"/>
        </w:rPr>
        <w:t>至</w:t>
      </w:r>
      <w:r>
        <w:rPr>
          <w:rFonts w:eastAsiaTheme="minorEastAsia"/>
          <w:color w:val="000000" w:themeColor="text1"/>
          <w:szCs w:val="21"/>
        </w:rPr>
        <w:t>1.97%</w:t>
      </w:r>
      <w:r>
        <w:rPr>
          <w:rFonts w:eastAsiaTheme="minorEastAsia"/>
          <w:color w:val="000000" w:themeColor="text1"/>
          <w:szCs w:val="21"/>
        </w:rPr>
        <w:t>以外，</w:t>
      </w:r>
      <w:r>
        <w:rPr>
          <w:rFonts w:eastAsiaTheme="minorEastAsia"/>
          <w:color w:val="000000" w:themeColor="text1"/>
          <w:szCs w:val="21"/>
        </w:rPr>
        <w:t>R001</w:t>
      </w:r>
      <w:r>
        <w:rPr>
          <w:rFonts w:eastAsiaTheme="minorEastAsia"/>
          <w:color w:val="000000" w:themeColor="text1"/>
          <w:szCs w:val="21"/>
        </w:rPr>
        <w:t>、</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平均值分别为</w:t>
      </w:r>
      <w:r>
        <w:rPr>
          <w:rFonts w:eastAsiaTheme="minorEastAsia"/>
          <w:color w:val="000000" w:themeColor="text1"/>
          <w:szCs w:val="21"/>
        </w:rPr>
        <w:t>2.03%</w:t>
      </w:r>
      <w:r>
        <w:rPr>
          <w:rFonts w:eastAsiaTheme="minorEastAsia"/>
          <w:color w:val="000000" w:themeColor="text1"/>
          <w:szCs w:val="21"/>
        </w:rPr>
        <w:t>、</w:t>
      </w:r>
      <w:r>
        <w:rPr>
          <w:rFonts w:eastAsiaTheme="minorEastAsia"/>
          <w:color w:val="000000" w:themeColor="text1"/>
          <w:szCs w:val="21"/>
        </w:rPr>
        <w:t>2.16%</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，较上个季度分别下行</w:t>
      </w:r>
      <w:r>
        <w:rPr>
          <w:rFonts w:eastAsiaTheme="minorEastAsia"/>
          <w:color w:val="000000" w:themeColor="text1"/>
          <w:szCs w:val="21"/>
        </w:rPr>
        <w:t>2bp</w:t>
      </w:r>
      <w:r>
        <w:rPr>
          <w:rFonts w:eastAsiaTheme="minorEastAsia"/>
          <w:color w:val="000000" w:themeColor="text1"/>
          <w:szCs w:val="21"/>
        </w:rPr>
        <w:t>、</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。流动性宽松程度略超一季度时市场对二季度的</w:t>
      </w:r>
      <w:r>
        <w:rPr>
          <w:rFonts w:eastAsiaTheme="minorEastAsia"/>
          <w:color w:val="000000" w:themeColor="text1"/>
          <w:szCs w:val="21"/>
        </w:rPr>
        <w:t>预期。</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债券市场方面，地方债供给明显低于预期，且受一季度主力配置机构偏谨慎，配置节奏明显慢于往年导致第二季度配置压力较大的影响，叠加流动性宽松，推动</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年期国开债收益率在</w:t>
      </w:r>
      <w:r>
        <w:rPr>
          <w:rFonts w:eastAsiaTheme="minorEastAsia"/>
          <w:color w:val="000000" w:themeColor="text1"/>
          <w:szCs w:val="21"/>
        </w:rPr>
        <w:t>4-5</w:t>
      </w:r>
      <w:r>
        <w:rPr>
          <w:rFonts w:eastAsiaTheme="minorEastAsia"/>
          <w:color w:val="000000" w:themeColor="text1"/>
          <w:szCs w:val="21"/>
        </w:rPr>
        <w:t>月份下行明显，收益率最低下探至</w:t>
      </w:r>
      <w:r>
        <w:rPr>
          <w:rFonts w:eastAsiaTheme="minorEastAsia"/>
          <w:color w:val="000000" w:themeColor="text1"/>
          <w:szCs w:val="21"/>
        </w:rPr>
        <w:t>3.04%</w:t>
      </w:r>
      <w:r>
        <w:rPr>
          <w:rFonts w:eastAsiaTheme="minorEastAsia"/>
          <w:color w:val="000000" w:themeColor="text1"/>
          <w:szCs w:val="21"/>
        </w:rPr>
        <w:t>和</w:t>
      </w:r>
      <w:r>
        <w:rPr>
          <w:rFonts w:eastAsiaTheme="minorEastAsia"/>
          <w:color w:val="000000" w:themeColor="text1"/>
          <w:szCs w:val="21"/>
        </w:rPr>
        <w:t>3.47%</w:t>
      </w:r>
      <w:r>
        <w:rPr>
          <w:rFonts w:eastAsiaTheme="minorEastAsia"/>
          <w:color w:val="000000" w:themeColor="text1"/>
          <w:szCs w:val="21"/>
        </w:rPr>
        <w:t>，分别较</w:t>
      </w:r>
      <w:r>
        <w:rPr>
          <w:rFonts w:eastAsiaTheme="minorEastAsia"/>
          <w:color w:val="000000" w:themeColor="text1"/>
          <w:szCs w:val="21"/>
        </w:rPr>
        <w:t>3</w:t>
      </w:r>
      <w:r>
        <w:rPr>
          <w:rFonts w:eastAsiaTheme="minorEastAsia"/>
          <w:color w:val="000000" w:themeColor="text1"/>
          <w:szCs w:val="21"/>
        </w:rPr>
        <w:t>月底下行</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，后从</w:t>
      </w:r>
      <w:r>
        <w:rPr>
          <w:rFonts w:eastAsiaTheme="minorEastAsia"/>
          <w:color w:val="000000" w:themeColor="text1"/>
          <w:szCs w:val="21"/>
        </w:rPr>
        <w:t>6</w:t>
      </w:r>
      <w:r>
        <w:rPr>
          <w:rFonts w:eastAsiaTheme="minorEastAsia"/>
          <w:color w:val="000000" w:themeColor="text1"/>
          <w:szCs w:val="21"/>
        </w:rPr>
        <w:t>月初略有回调，截至</w:t>
      </w:r>
      <w:r>
        <w:rPr>
          <w:rFonts w:eastAsiaTheme="minorEastAsia"/>
          <w:color w:val="000000" w:themeColor="text1"/>
          <w:szCs w:val="21"/>
        </w:rPr>
        <w:t>6</w:t>
      </w:r>
      <w:r>
        <w:rPr>
          <w:rFonts w:eastAsiaTheme="minorEastAsia"/>
          <w:color w:val="000000" w:themeColor="text1"/>
          <w:szCs w:val="21"/>
        </w:rPr>
        <w:t>月底最后一个工作日，</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年期国开债收益率分别小</w:t>
      </w:r>
      <w:r>
        <w:rPr>
          <w:rFonts w:eastAsiaTheme="minorEastAsia"/>
          <w:color w:val="000000" w:themeColor="text1"/>
          <w:szCs w:val="21"/>
        </w:rPr>
        <w:lastRenderedPageBreak/>
        <w:t>幅回调至</w:t>
      </w:r>
      <w:r>
        <w:rPr>
          <w:rFonts w:eastAsiaTheme="minorEastAsia"/>
          <w:color w:val="000000" w:themeColor="text1"/>
          <w:szCs w:val="21"/>
        </w:rPr>
        <w:t>3.08%</w:t>
      </w:r>
      <w:r>
        <w:rPr>
          <w:rFonts w:eastAsiaTheme="minorEastAsia"/>
          <w:color w:val="000000" w:themeColor="text1"/>
          <w:szCs w:val="21"/>
        </w:rPr>
        <w:t>和</w:t>
      </w:r>
      <w:r>
        <w:rPr>
          <w:rFonts w:eastAsiaTheme="minorEastAsia"/>
          <w:color w:val="000000" w:themeColor="text1"/>
          <w:szCs w:val="21"/>
        </w:rPr>
        <w:t>3.49%</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展望第三季度，预计经济复苏的趋势仍将维持，流动性仍然维稳，债券供给压力持平或略有上升，对债券市场仍然是多空交织的影响，因此，仍计划保持谨慎操作，追求确定性收益。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本报告期上投摩根丰瑞债券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:0.94%</w:t>
      </w:r>
      <w:r>
        <w:rPr>
          <w:rFonts w:eastAsiaTheme="minorEastAsia"/>
          <w:color w:val="000000" w:themeColor="text1"/>
          <w:szCs w:val="21"/>
        </w:rPr>
        <w:t>，同期业绩比较基准收益率为</w:t>
      </w:r>
      <w:r>
        <w:rPr>
          <w:rFonts w:eastAsiaTheme="minorEastAsia"/>
          <w:color w:val="000000" w:themeColor="text1"/>
          <w:szCs w:val="21"/>
        </w:rPr>
        <w:t>:1.23%,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1,296,184,682.00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1,296,184,682.00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9,486,623.13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15,327,541.49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1,320,998,846.62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70,193,000.00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990,496,682.00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77.97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587,074,682.00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235,495,000.00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1,296,184,682.00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102.04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F1B44">
        <w:tc>
          <w:tcPr>
            <w:tcW w:w="1504" w:type="dxa"/>
            <w:vAlign w:val="center"/>
          </w:tcPr>
          <w:p w:rsidR="00CF1B44" w:rsidRDefault="00122F46">
            <w:pPr>
              <w:jc w:val="center"/>
            </w:pPr>
            <w:r>
              <w:rPr>
                <w:rFonts w:eastAsiaTheme="minorEastAsia"/>
                <w:color w:val="000000" w:themeColor="text1"/>
                <w:szCs w:val="21"/>
              </w:rPr>
              <w:t>1</w:t>
            </w:r>
          </w:p>
        </w:tc>
        <w:tc>
          <w:tcPr>
            <w:tcW w:w="1504" w:type="dxa"/>
            <w:vAlign w:val="center"/>
          </w:tcPr>
          <w:p w:rsidR="00CF1B44" w:rsidRDefault="00122F46">
            <w:pPr>
              <w:jc w:val="center"/>
            </w:pPr>
            <w:r>
              <w:rPr>
                <w:rFonts w:eastAsiaTheme="minorEastAsia"/>
                <w:color w:val="000000" w:themeColor="text1"/>
                <w:szCs w:val="21"/>
              </w:rPr>
              <w:t>180204</w:t>
            </w:r>
          </w:p>
        </w:tc>
        <w:tc>
          <w:tcPr>
            <w:tcW w:w="1504" w:type="dxa"/>
            <w:vAlign w:val="center"/>
          </w:tcPr>
          <w:p w:rsidR="00CF1B44" w:rsidRDefault="00122F46">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04</w:t>
            </w:r>
          </w:p>
        </w:tc>
        <w:tc>
          <w:tcPr>
            <w:tcW w:w="1503" w:type="dxa"/>
            <w:vAlign w:val="center"/>
          </w:tcPr>
          <w:p w:rsidR="00CF1B44" w:rsidRDefault="00122F46">
            <w:pPr>
              <w:jc w:val="right"/>
            </w:pPr>
            <w:r>
              <w:rPr>
                <w:rFonts w:eastAsiaTheme="minorEastAsia"/>
                <w:color w:val="000000" w:themeColor="text1"/>
                <w:szCs w:val="21"/>
              </w:rPr>
              <w:t>2,500,000</w:t>
            </w:r>
          </w:p>
        </w:tc>
        <w:tc>
          <w:tcPr>
            <w:tcW w:w="1503" w:type="dxa"/>
            <w:vAlign w:val="center"/>
          </w:tcPr>
          <w:p w:rsidR="00CF1B44" w:rsidRDefault="00122F46">
            <w:pPr>
              <w:jc w:val="right"/>
            </w:pPr>
            <w:r>
              <w:rPr>
                <w:rFonts w:eastAsiaTheme="minorEastAsia"/>
                <w:color w:val="000000" w:themeColor="text1"/>
                <w:szCs w:val="21"/>
              </w:rPr>
              <w:t>257,825,000.00</w:t>
            </w:r>
          </w:p>
        </w:tc>
        <w:tc>
          <w:tcPr>
            <w:tcW w:w="1503" w:type="dxa"/>
            <w:vAlign w:val="center"/>
          </w:tcPr>
          <w:p w:rsidR="00CF1B44" w:rsidRDefault="00122F46">
            <w:pPr>
              <w:jc w:val="right"/>
            </w:pPr>
            <w:r>
              <w:rPr>
                <w:rFonts w:eastAsiaTheme="minorEastAsia"/>
                <w:color w:val="000000" w:themeColor="text1"/>
                <w:szCs w:val="21"/>
              </w:rPr>
              <w:t>20.30</w:t>
            </w:r>
          </w:p>
        </w:tc>
      </w:tr>
      <w:tr w:rsidR="00CF1B44">
        <w:tc>
          <w:tcPr>
            <w:tcW w:w="1504" w:type="dxa"/>
            <w:vAlign w:val="center"/>
          </w:tcPr>
          <w:p w:rsidR="00CF1B44" w:rsidRDefault="00122F46">
            <w:pPr>
              <w:jc w:val="center"/>
            </w:pPr>
            <w:r>
              <w:rPr>
                <w:rFonts w:eastAsiaTheme="minorEastAsia"/>
                <w:color w:val="000000" w:themeColor="text1"/>
                <w:szCs w:val="21"/>
              </w:rPr>
              <w:t>2</w:t>
            </w:r>
          </w:p>
        </w:tc>
        <w:tc>
          <w:tcPr>
            <w:tcW w:w="1504" w:type="dxa"/>
            <w:vAlign w:val="center"/>
          </w:tcPr>
          <w:p w:rsidR="00CF1B44" w:rsidRDefault="00122F46">
            <w:pPr>
              <w:jc w:val="center"/>
            </w:pPr>
            <w:r>
              <w:rPr>
                <w:rFonts w:eastAsiaTheme="minorEastAsia"/>
                <w:color w:val="000000" w:themeColor="text1"/>
                <w:szCs w:val="21"/>
              </w:rPr>
              <w:t>200202</w:t>
            </w:r>
          </w:p>
        </w:tc>
        <w:tc>
          <w:tcPr>
            <w:tcW w:w="1504" w:type="dxa"/>
            <w:vAlign w:val="center"/>
          </w:tcPr>
          <w:p w:rsidR="00CF1B44" w:rsidRDefault="00122F46">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CF1B44" w:rsidRDefault="00122F46">
            <w:pPr>
              <w:jc w:val="right"/>
            </w:pPr>
            <w:r>
              <w:rPr>
                <w:rFonts w:eastAsiaTheme="minorEastAsia"/>
                <w:color w:val="000000" w:themeColor="text1"/>
                <w:szCs w:val="21"/>
              </w:rPr>
              <w:t>1,200,000</w:t>
            </w:r>
          </w:p>
        </w:tc>
        <w:tc>
          <w:tcPr>
            <w:tcW w:w="1503" w:type="dxa"/>
            <w:vAlign w:val="center"/>
          </w:tcPr>
          <w:p w:rsidR="00CF1B44" w:rsidRDefault="00122F46">
            <w:pPr>
              <w:jc w:val="right"/>
            </w:pPr>
            <w:r>
              <w:rPr>
                <w:rFonts w:eastAsiaTheme="minorEastAsia"/>
                <w:color w:val="000000" w:themeColor="text1"/>
                <w:szCs w:val="21"/>
              </w:rPr>
              <w:t>118,068,000.00</w:t>
            </w:r>
          </w:p>
        </w:tc>
        <w:tc>
          <w:tcPr>
            <w:tcW w:w="1503" w:type="dxa"/>
            <w:vAlign w:val="center"/>
          </w:tcPr>
          <w:p w:rsidR="00CF1B44" w:rsidRDefault="00122F46">
            <w:pPr>
              <w:jc w:val="right"/>
            </w:pPr>
            <w:r>
              <w:rPr>
                <w:rFonts w:eastAsiaTheme="minorEastAsia"/>
                <w:color w:val="000000" w:themeColor="text1"/>
                <w:szCs w:val="21"/>
              </w:rPr>
              <w:t>9.29</w:t>
            </w:r>
          </w:p>
        </w:tc>
      </w:tr>
      <w:tr w:rsidR="00CF1B44">
        <w:tc>
          <w:tcPr>
            <w:tcW w:w="1504" w:type="dxa"/>
            <w:vAlign w:val="center"/>
          </w:tcPr>
          <w:p w:rsidR="00CF1B44" w:rsidRDefault="00122F46">
            <w:pPr>
              <w:jc w:val="center"/>
            </w:pPr>
            <w:r>
              <w:rPr>
                <w:rFonts w:eastAsiaTheme="minorEastAsia"/>
                <w:color w:val="000000" w:themeColor="text1"/>
                <w:szCs w:val="21"/>
              </w:rPr>
              <w:t>3</w:t>
            </w:r>
          </w:p>
        </w:tc>
        <w:tc>
          <w:tcPr>
            <w:tcW w:w="1504" w:type="dxa"/>
            <w:vAlign w:val="center"/>
          </w:tcPr>
          <w:p w:rsidR="00CF1B44" w:rsidRDefault="00122F46">
            <w:pPr>
              <w:jc w:val="center"/>
            </w:pPr>
            <w:r>
              <w:rPr>
                <w:rFonts w:eastAsiaTheme="minorEastAsia"/>
                <w:color w:val="000000" w:themeColor="text1"/>
                <w:szCs w:val="21"/>
              </w:rPr>
              <w:t>2020003</w:t>
            </w:r>
          </w:p>
        </w:tc>
        <w:tc>
          <w:tcPr>
            <w:tcW w:w="1504" w:type="dxa"/>
            <w:vAlign w:val="center"/>
          </w:tcPr>
          <w:p w:rsidR="00CF1B44" w:rsidRDefault="00122F46">
            <w:pPr>
              <w:jc w:val="center"/>
            </w:pPr>
            <w:r>
              <w:rPr>
                <w:rFonts w:eastAsiaTheme="minorEastAsia"/>
                <w:color w:val="000000" w:themeColor="text1"/>
                <w:szCs w:val="21"/>
              </w:rPr>
              <w:t>20</w:t>
            </w:r>
            <w:r>
              <w:rPr>
                <w:rFonts w:eastAsiaTheme="minorEastAsia"/>
                <w:color w:val="000000" w:themeColor="text1"/>
                <w:szCs w:val="21"/>
              </w:rPr>
              <w:t>天津银行</w:t>
            </w:r>
            <w:r>
              <w:rPr>
                <w:rFonts w:eastAsiaTheme="minorEastAsia"/>
                <w:color w:val="000000" w:themeColor="text1"/>
                <w:szCs w:val="21"/>
              </w:rPr>
              <w:t>01</w:t>
            </w:r>
          </w:p>
        </w:tc>
        <w:tc>
          <w:tcPr>
            <w:tcW w:w="1503" w:type="dxa"/>
            <w:vAlign w:val="center"/>
          </w:tcPr>
          <w:p w:rsidR="00CF1B44" w:rsidRDefault="00122F46">
            <w:pPr>
              <w:jc w:val="right"/>
            </w:pPr>
            <w:r>
              <w:rPr>
                <w:rFonts w:eastAsiaTheme="minorEastAsia"/>
                <w:color w:val="000000" w:themeColor="text1"/>
                <w:szCs w:val="21"/>
              </w:rPr>
              <w:t>1,000,000</w:t>
            </w:r>
          </w:p>
        </w:tc>
        <w:tc>
          <w:tcPr>
            <w:tcW w:w="1503" w:type="dxa"/>
            <w:vAlign w:val="center"/>
          </w:tcPr>
          <w:p w:rsidR="00CF1B44" w:rsidRDefault="00122F46">
            <w:pPr>
              <w:jc w:val="right"/>
            </w:pPr>
            <w:r>
              <w:rPr>
                <w:rFonts w:eastAsiaTheme="minorEastAsia"/>
                <w:color w:val="000000" w:themeColor="text1"/>
                <w:szCs w:val="21"/>
              </w:rPr>
              <w:t>100,710,000.00</w:t>
            </w:r>
          </w:p>
        </w:tc>
        <w:tc>
          <w:tcPr>
            <w:tcW w:w="1503" w:type="dxa"/>
            <w:vAlign w:val="center"/>
          </w:tcPr>
          <w:p w:rsidR="00CF1B44" w:rsidRDefault="00122F46">
            <w:pPr>
              <w:jc w:val="right"/>
            </w:pPr>
            <w:r>
              <w:rPr>
                <w:rFonts w:eastAsiaTheme="minorEastAsia"/>
                <w:color w:val="000000" w:themeColor="text1"/>
                <w:szCs w:val="21"/>
              </w:rPr>
              <w:t>7.93</w:t>
            </w:r>
          </w:p>
        </w:tc>
      </w:tr>
      <w:tr w:rsidR="00CF1B44">
        <w:tc>
          <w:tcPr>
            <w:tcW w:w="1504" w:type="dxa"/>
            <w:vAlign w:val="center"/>
          </w:tcPr>
          <w:p w:rsidR="00CF1B44" w:rsidRDefault="00122F46">
            <w:pPr>
              <w:jc w:val="center"/>
            </w:pPr>
            <w:r>
              <w:rPr>
                <w:rFonts w:eastAsiaTheme="minorEastAsia"/>
                <w:color w:val="000000" w:themeColor="text1"/>
                <w:szCs w:val="21"/>
              </w:rPr>
              <w:t>4</w:t>
            </w:r>
          </w:p>
        </w:tc>
        <w:tc>
          <w:tcPr>
            <w:tcW w:w="1504" w:type="dxa"/>
            <w:vAlign w:val="center"/>
          </w:tcPr>
          <w:p w:rsidR="00CF1B44" w:rsidRDefault="00122F46">
            <w:pPr>
              <w:jc w:val="center"/>
            </w:pPr>
            <w:r>
              <w:rPr>
                <w:rFonts w:eastAsiaTheme="minorEastAsia"/>
                <w:color w:val="000000" w:themeColor="text1"/>
                <w:szCs w:val="21"/>
              </w:rPr>
              <w:t>210202</w:t>
            </w:r>
          </w:p>
        </w:tc>
        <w:tc>
          <w:tcPr>
            <w:tcW w:w="1504" w:type="dxa"/>
            <w:vAlign w:val="center"/>
          </w:tcPr>
          <w:p w:rsidR="00CF1B44" w:rsidRDefault="00122F46">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CF1B44" w:rsidRDefault="00122F46">
            <w:pPr>
              <w:jc w:val="right"/>
            </w:pPr>
            <w:r>
              <w:rPr>
                <w:rFonts w:eastAsiaTheme="minorEastAsia"/>
                <w:color w:val="000000" w:themeColor="text1"/>
                <w:szCs w:val="21"/>
              </w:rPr>
              <w:t>1,000,000</w:t>
            </w:r>
          </w:p>
        </w:tc>
        <w:tc>
          <w:tcPr>
            <w:tcW w:w="1503" w:type="dxa"/>
            <w:vAlign w:val="center"/>
          </w:tcPr>
          <w:p w:rsidR="00CF1B44" w:rsidRDefault="00122F46">
            <w:pPr>
              <w:jc w:val="right"/>
            </w:pPr>
            <w:r>
              <w:rPr>
                <w:rFonts w:eastAsiaTheme="minorEastAsia"/>
                <w:color w:val="000000" w:themeColor="text1"/>
                <w:szCs w:val="21"/>
              </w:rPr>
              <w:t>100,090,000.0</w:t>
            </w:r>
            <w:r>
              <w:rPr>
                <w:rFonts w:eastAsiaTheme="minorEastAsia"/>
                <w:color w:val="000000" w:themeColor="text1"/>
                <w:szCs w:val="21"/>
              </w:rPr>
              <w:lastRenderedPageBreak/>
              <w:t>0</w:t>
            </w:r>
          </w:p>
        </w:tc>
        <w:tc>
          <w:tcPr>
            <w:tcW w:w="1503" w:type="dxa"/>
            <w:vAlign w:val="center"/>
          </w:tcPr>
          <w:p w:rsidR="00CF1B44" w:rsidRDefault="00122F46">
            <w:pPr>
              <w:jc w:val="right"/>
            </w:pPr>
            <w:r>
              <w:rPr>
                <w:rFonts w:eastAsiaTheme="minorEastAsia"/>
                <w:color w:val="000000" w:themeColor="text1"/>
                <w:szCs w:val="21"/>
              </w:rPr>
              <w:lastRenderedPageBreak/>
              <w:t>7.88</w:t>
            </w:r>
          </w:p>
        </w:tc>
      </w:tr>
      <w:tr w:rsidR="00CF1B44">
        <w:tc>
          <w:tcPr>
            <w:tcW w:w="1504" w:type="dxa"/>
            <w:vAlign w:val="center"/>
          </w:tcPr>
          <w:p w:rsidR="00CF1B44" w:rsidRDefault="00122F46">
            <w:pPr>
              <w:jc w:val="center"/>
            </w:pPr>
            <w:r>
              <w:rPr>
                <w:rFonts w:eastAsiaTheme="minorEastAsia"/>
                <w:color w:val="000000" w:themeColor="text1"/>
                <w:szCs w:val="21"/>
              </w:rPr>
              <w:t>5</w:t>
            </w:r>
          </w:p>
        </w:tc>
        <w:tc>
          <w:tcPr>
            <w:tcW w:w="1504" w:type="dxa"/>
            <w:vAlign w:val="center"/>
          </w:tcPr>
          <w:p w:rsidR="00CF1B44" w:rsidRDefault="00122F46">
            <w:pPr>
              <w:jc w:val="center"/>
            </w:pPr>
            <w:r>
              <w:rPr>
                <w:rFonts w:eastAsiaTheme="minorEastAsia"/>
                <w:color w:val="000000" w:themeColor="text1"/>
                <w:szCs w:val="21"/>
              </w:rPr>
              <w:t>200302</w:t>
            </w:r>
          </w:p>
        </w:tc>
        <w:tc>
          <w:tcPr>
            <w:tcW w:w="1504" w:type="dxa"/>
            <w:vAlign w:val="center"/>
          </w:tcPr>
          <w:p w:rsidR="00CF1B44" w:rsidRDefault="00122F46">
            <w:pPr>
              <w:jc w:val="center"/>
            </w:pPr>
            <w:r>
              <w:rPr>
                <w:rFonts w:eastAsiaTheme="minorEastAsia"/>
                <w:color w:val="000000" w:themeColor="text1"/>
                <w:szCs w:val="21"/>
              </w:rPr>
              <w:t>20</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rsidR="00CF1B44" w:rsidRDefault="00122F46">
            <w:pPr>
              <w:jc w:val="right"/>
            </w:pPr>
            <w:r>
              <w:rPr>
                <w:rFonts w:eastAsiaTheme="minorEastAsia"/>
                <w:color w:val="000000" w:themeColor="text1"/>
                <w:szCs w:val="21"/>
              </w:rPr>
              <w:t>800,000</w:t>
            </w:r>
          </w:p>
        </w:tc>
        <w:tc>
          <w:tcPr>
            <w:tcW w:w="1503" w:type="dxa"/>
            <w:vAlign w:val="center"/>
          </w:tcPr>
          <w:p w:rsidR="00CF1B44" w:rsidRDefault="00122F46">
            <w:pPr>
              <w:jc w:val="right"/>
            </w:pPr>
            <w:r>
              <w:rPr>
                <w:rFonts w:eastAsiaTheme="minorEastAsia"/>
                <w:color w:val="000000" w:themeColor="text1"/>
                <w:szCs w:val="21"/>
              </w:rPr>
              <w:t>79,736,000.00</w:t>
            </w:r>
          </w:p>
        </w:tc>
        <w:tc>
          <w:tcPr>
            <w:tcW w:w="1503" w:type="dxa"/>
            <w:vAlign w:val="center"/>
          </w:tcPr>
          <w:p w:rsidR="00CF1B44" w:rsidRDefault="00122F46">
            <w:pPr>
              <w:jc w:val="right"/>
            </w:pPr>
            <w:r>
              <w:rPr>
                <w:rFonts w:eastAsiaTheme="minorEastAsia"/>
                <w:color w:val="000000" w:themeColor="text1"/>
                <w:szCs w:val="21"/>
              </w:rPr>
              <w:t>6.28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689.89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15,326,851.60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15,327,541.49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1,268,068,664.72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26,737.59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119,717.26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21,501,085.50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1,246,687,296.48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26,237.59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lastRenderedPageBreak/>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lastRenderedPageBreak/>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F1B44">
        <w:tc>
          <w:tcPr>
            <w:tcW w:w="993" w:type="dxa"/>
            <w:vMerge w:val="restart"/>
            <w:vAlign w:val="center"/>
          </w:tcPr>
          <w:p w:rsidR="00CF1B44" w:rsidRDefault="00122F46">
            <w:r>
              <w:rPr>
                <w:bCs/>
                <w:color w:val="000000"/>
                <w:kern w:val="0"/>
                <w:szCs w:val="21"/>
              </w:rPr>
              <w:t>机构</w:t>
            </w:r>
          </w:p>
        </w:tc>
        <w:tc>
          <w:tcPr>
            <w:tcW w:w="992" w:type="dxa"/>
            <w:vAlign w:val="center"/>
          </w:tcPr>
          <w:p w:rsidR="00CF1B44" w:rsidRDefault="00122F46">
            <w:pPr>
              <w:jc w:val="center"/>
            </w:pPr>
            <w:r>
              <w:rPr>
                <w:color w:val="000000"/>
                <w:kern w:val="0"/>
                <w:szCs w:val="21"/>
              </w:rPr>
              <w:t>1</w:t>
            </w:r>
          </w:p>
        </w:tc>
        <w:tc>
          <w:tcPr>
            <w:tcW w:w="1843" w:type="dxa"/>
            <w:vAlign w:val="center"/>
          </w:tcPr>
          <w:p w:rsidR="00CF1B44" w:rsidRDefault="00122F46">
            <w:pPr>
              <w:jc w:val="center"/>
            </w:pPr>
            <w:r>
              <w:rPr>
                <w:color w:val="000000"/>
                <w:kern w:val="0"/>
                <w:szCs w:val="21"/>
              </w:rPr>
              <w:t>20210401-20210630</w:t>
            </w:r>
          </w:p>
        </w:tc>
        <w:tc>
          <w:tcPr>
            <w:tcW w:w="851" w:type="dxa"/>
            <w:vAlign w:val="center"/>
          </w:tcPr>
          <w:p w:rsidR="00CF1B44" w:rsidRDefault="00122F46">
            <w:pPr>
              <w:jc w:val="center"/>
            </w:pPr>
            <w:r>
              <w:rPr>
                <w:color w:val="000000"/>
                <w:kern w:val="0"/>
                <w:szCs w:val="21"/>
              </w:rPr>
              <w:t>494,184,347.30</w:t>
            </w:r>
          </w:p>
        </w:tc>
        <w:tc>
          <w:tcPr>
            <w:tcW w:w="850" w:type="dxa"/>
            <w:vAlign w:val="center"/>
          </w:tcPr>
          <w:p w:rsidR="00CF1B44" w:rsidRDefault="00122F46">
            <w:pPr>
              <w:jc w:val="center"/>
            </w:pPr>
            <w:r>
              <w:rPr>
                <w:color w:val="000000"/>
                <w:kern w:val="0"/>
                <w:szCs w:val="21"/>
              </w:rPr>
              <w:t>0.00</w:t>
            </w:r>
          </w:p>
        </w:tc>
        <w:tc>
          <w:tcPr>
            <w:tcW w:w="1134" w:type="dxa"/>
            <w:vAlign w:val="center"/>
          </w:tcPr>
          <w:p w:rsidR="00CF1B44" w:rsidRDefault="00122F46">
            <w:pPr>
              <w:jc w:val="center"/>
            </w:pPr>
            <w:r>
              <w:rPr>
                <w:color w:val="000000"/>
                <w:kern w:val="0"/>
                <w:szCs w:val="21"/>
              </w:rPr>
              <w:t>0.00</w:t>
            </w:r>
          </w:p>
        </w:tc>
        <w:tc>
          <w:tcPr>
            <w:tcW w:w="1419" w:type="dxa"/>
            <w:vAlign w:val="center"/>
          </w:tcPr>
          <w:p w:rsidR="00CF1B44" w:rsidRDefault="00122F46">
            <w:pPr>
              <w:jc w:val="center"/>
            </w:pPr>
            <w:r>
              <w:rPr>
                <w:color w:val="000000"/>
                <w:kern w:val="0"/>
                <w:szCs w:val="21"/>
              </w:rPr>
              <w:t>494,184,347.30</w:t>
            </w:r>
          </w:p>
        </w:tc>
        <w:tc>
          <w:tcPr>
            <w:tcW w:w="1130" w:type="dxa"/>
            <w:vAlign w:val="center"/>
          </w:tcPr>
          <w:p w:rsidR="00CF1B44" w:rsidRDefault="00122F46">
            <w:pPr>
              <w:jc w:val="center"/>
            </w:pPr>
            <w:r>
              <w:rPr>
                <w:color w:val="000000"/>
                <w:kern w:val="0"/>
                <w:szCs w:val="21"/>
              </w:rPr>
              <w:t>39.64%</w:t>
            </w:r>
          </w:p>
        </w:tc>
      </w:tr>
      <w:tr w:rsidR="00CF1B44">
        <w:tc>
          <w:tcPr>
            <w:tcW w:w="993" w:type="dxa"/>
            <w:vMerge/>
          </w:tcPr>
          <w:p w:rsidR="00CF1B44" w:rsidRDefault="00CF1B44"/>
        </w:tc>
        <w:tc>
          <w:tcPr>
            <w:tcW w:w="992" w:type="dxa"/>
            <w:vAlign w:val="center"/>
          </w:tcPr>
          <w:p w:rsidR="00CF1B44" w:rsidRDefault="00122F46">
            <w:pPr>
              <w:jc w:val="center"/>
            </w:pPr>
            <w:r>
              <w:rPr>
                <w:color w:val="000000"/>
                <w:kern w:val="0"/>
                <w:szCs w:val="21"/>
              </w:rPr>
              <w:t>2</w:t>
            </w:r>
          </w:p>
        </w:tc>
        <w:tc>
          <w:tcPr>
            <w:tcW w:w="1843" w:type="dxa"/>
            <w:vAlign w:val="center"/>
          </w:tcPr>
          <w:p w:rsidR="00CF1B44" w:rsidRDefault="00122F46">
            <w:pPr>
              <w:jc w:val="center"/>
            </w:pPr>
            <w:r>
              <w:rPr>
                <w:color w:val="000000"/>
                <w:kern w:val="0"/>
                <w:szCs w:val="21"/>
              </w:rPr>
              <w:t>20210401-20210630</w:t>
            </w:r>
          </w:p>
        </w:tc>
        <w:tc>
          <w:tcPr>
            <w:tcW w:w="851" w:type="dxa"/>
            <w:vAlign w:val="center"/>
          </w:tcPr>
          <w:p w:rsidR="00CF1B44" w:rsidRDefault="00122F46">
            <w:pPr>
              <w:jc w:val="center"/>
            </w:pPr>
            <w:r>
              <w:rPr>
                <w:color w:val="000000"/>
                <w:kern w:val="0"/>
                <w:szCs w:val="21"/>
              </w:rPr>
              <w:t>447,993,162.82</w:t>
            </w:r>
          </w:p>
        </w:tc>
        <w:tc>
          <w:tcPr>
            <w:tcW w:w="850" w:type="dxa"/>
            <w:vAlign w:val="center"/>
          </w:tcPr>
          <w:p w:rsidR="00CF1B44" w:rsidRDefault="00122F46">
            <w:pPr>
              <w:jc w:val="center"/>
            </w:pPr>
            <w:r>
              <w:rPr>
                <w:color w:val="000000"/>
                <w:kern w:val="0"/>
                <w:szCs w:val="21"/>
              </w:rPr>
              <w:t>0.00</w:t>
            </w:r>
          </w:p>
        </w:tc>
        <w:tc>
          <w:tcPr>
            <w:tcW w:w="1134" w:type="dxa"/>
            <w:vAlign w:val="center"/>
          </w:tcPr>
          <w:p w:rsidR="00CF1B44" w:rsidRDefault="00122F46">
            <w:pPr>
              <w:jc w:val="center"/>
            </w:pPr>
            <w:r>
              <w:rPr>
                <w:color w:val="000000"/>
                <w:kern w:val="0"/>
                <w:szCs w:val="21"/>
              </w:rPr>
              <w:t>0.00</w:t>
            </w:r>
          </w:p>
        </w:tc>
        <w:tc>
          <w:tcPr>
            <w:tcW w:w="1419" w:type="dxa"/>
            <w:vAlign w:val="center"/>
          </w:tcPr>
          <w:p w:rsidR="00CF1B44" w:rsidRDefault="00122F46">
            <w:pPr>
              <w:jc w:val="center"/>
            </w:pPr>
            <w:r>
              <w:rPr>
                <w:color w:val="000000"/>
                <w:kern w:val="0"/>
                <w:szCs w:val="21"/>
              </w:rPr>
              <w:t>447,993,162.82</w:t>
            </w:r>
          </w:p>
        </w:tc>
        <w:tc>
          <w:tcPr>
            <w:tcW w:w="1130" w:type="dxa"/>
            <w:vAlign w:val="center"/>
          </w:tcPr>
          <w:p w:rsidR="00CF1B44" w:rsidRDefault="00122F46">
            <w:pPr>
              <w:jc w:val="center"/>
            </w:pPr>
            <w:r>
              <w:rPr>
                <w:color w:val="000000"/>
                <w:kern w:val="0"/>
                <w:szCs w:val="21"/>
              </w:rPr>
              <w:t>35.93%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中国证监会准予上投摩根丰瑞债券型证券投资基金募集注册的文件；</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《上投摩根丰瑞债券型证券投资基金基金合同》；</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《上投摩根丰瑞债券型证券投资基金托管协议》；</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CF1B44" w:rsidRDefault="00122F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2F4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2F46">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22F4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上投摩根丰瑞债券型证券投资基金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2F46"/>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1B4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DA396-7B78-4768-8915-75BE5E17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1354</Words>
  <Characters>7723</Characters>
  <Application>Microsoft Office Word</Application>
  <DocSecurity>0</DocSecurity>
  <Lines>64</Lines>
  <Paragraphs>18</Paragraphs>
  <ScaleCrop>false</ScaleCrop>
  <Company>TRT. Ltd. Co.</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218</cp:revision>
  <cp:lastPrinted>2007-07-19T00:46:00Z</cp:lastPrinted>
  <dcterms:created xsi:type="dcterms:W3CDTF">2013-06-21T06:56:00Z</dcterms:created>
  <dcterms:modified xsi:type="dcterms:W3CDTF">2021-07-20T08:04:00Z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