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摩根丰瑞债券型证券投资基金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摩根丰瑞债券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005366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547,368,537.86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91423" w:rsidRDefault="006012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991423" w:rsidRDefault="006012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991423" w:rsidRDefault="006012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991423" w:rsidRDefault="006012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991423" w:rsidRDefault="006012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991423" w:rsidRDefault="006012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、其他投资策略：包括信用策略、回购策略、中小企业私募债券投资策略、资产支持证券投资策略、证券公司短期公司债券投资策略。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991423" w:rsidRDefault="006012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547,247,221.80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121,316.06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8,462,722.36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426.74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12,038,142.55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558.15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570,735,673.43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126,225.16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1.0405</w:t>
            </w:r>
          </w:p>
        </w:tc>
      </w:tr>
    </w:tbl>
    <w:p w:rsidR="00991423" w:rsidRDefault="006012D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摩根丰瑞债券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91423">
        <w:tc>
          <w:tcPr>
            <w:tcW w:w="1290" w:type="dxa"/>
            <w:vAlign w:val="center"/>
          </w:tcPr>
          <w:p w:rsidR="00991423" w:rsidRDefault="006012D5">
            <w:pPr>
              <w:jc w:val="left"/>
            </w:pPr>
            <w:r>
              <w:rPr>
                <w:rFonts w:eastAsiaTheme="minorEastAsia"/>
                <w:color w:val="000000" w:themeColor="text1"/>
                <w:szCs w:val="21"/>
              </w:rPr>
              <w:t>过去三个月</w:t>
            </w:r>
          </w:p>
        </w:tc>
        <w:tc>
          <w:tcPr>
            <w:tcW w:w="1291" w:type="dxa"/>
            <w:vAlign w:val="center"/>
          </w:tcPr>
          <w:p w:rsidR="00991423" w:rsidRDefault="006012D5">
            <w:pPr>
              <w:jc w:val="right"/>
            </w:pPr>
            <w:r>
              <w:rPr>
                <w:rFonts w:eastAsiaTheme="minorEastAsia"/>
                <w:color w:val="000000" w:themeColor="text1"/>
                <w:szCs w:val="21"/>
              </w:rPr>
              <w:t>1.19%</w:t>
            </w:r>
          </w:p>
        </w:tc>
        <w:tc>
          <w:tcPr>
            <w:tcW w:w="1291" w:type="dxa"/>
            <w:vAlign w:val="center"/>
          </w:tcPr>
          <w:p w:rsidR="00991423" w:rsidRDefault="006012D5">
            <w:pPr>
              <w:jc w:val="right"/>
            </w:pPr>
            <w:r>
              <w:rPr>
                <w:rFonts w:eastAsiaTheme="minorEastAsia"/>
                <w:color w:val="000000" w:themeColor="text1"/>
                <w:szCs w:val="21"/>
              </w:rPr>
              <w:t>0.04%</w:t>
            </w:r>
          </w:p>
        </w:tc>
        <w:tc>
          <w:tcPr>
            <w:tcW w:w="1291" w:type="dxa"/>
            <w:vAlign w:val="center"/>
          </w:tcPr>
          <w:p w:rsidR="00991423" w:rsidRDefault="006012D5">
            <w:pPr>
              <w:jc w:val="right"/>
            </w:pPr>
            <w:r>
              <w:rPr>
                <w:rFonts w:eastAsiaTheme="minorEastAsia"/>
                <w:color w:val="000000" w:themeColor="text1"/>
                <w:szCs w:val="21"/>
              </w:rPr>
              <w:t>1.78%</w:t>
            </w:r>
          </w:p>
        </w:tc>
        <w:tc>
          <w:tcPr>
            <w:tcW w:w="1291" w:type="dxa"/>
            <w:vAlign w:val="center"/>
          </w:tcPr>
          <w:p w:rsidR="00991423" w:rsidRDefault="006012D5">
            <w:pPr>
              <w:jc w:val="right"/>
            </w:pPr>
            <w:r>
              <w:rPr>
                <w:rFonts w:eastAsiaTheme="minorEastAsia"/>
                <w:color w:val="000000" w:themeColor="text1"/>
                <w:szCs w:val="21"/>
              </w:rPr>
              <w:t>0.04%</w:t>
            </w:r>
          </w:p>
        </w:tc>
        <w:tc>
          <w:tcPr>
            <w:tcW w:w="1291" w:type="dxa"/>
            <w:vAlign w:val="center"/>
          </w:tcPr>
          <w:p w:rsidR="00991423" w:rsidRDefault="006012D5">
            <w:pPr>
              <w:jc w:val="right"/>
            </w:pPr>
            <w:r>
              <w:rPr>
                <w:rFonts w:eastAsiaTheme="minorEastAsia"/>
                <w:color w:val="000000" w:themeColor="text1"/>
                <w:szCs w:val="21"/>
              </w:rPr>
              <w:t>-0.59%</w:t>
            </w:r>
          </w:p>
        </w:tc>
        <w:tc>
          <w:tcPr>
            <w:tcW w:w="1291" w:type="dxa"/>
            <w:vAlign w:val="center"/>
          </w:tcPr>
          <w:p w:rsidR="00991423" w:rsidRDefault="006012D5">
            <w:pPr>
              <w:jc w:val="right"/>
            </w:pPr>
            <w:r>
              <w:rPr>
                <w:rFonts w:eastAsiaTheme="minorEastAsia"/>
                <w:color w:val="000000" w:themeColor="text1"/>
                <w:szCs w:val="21"/>
              </w:rPr>
              <w:t>0.00%</w:t>
            </w:r>
          </w:p>
        </w:tc>
      </w:tr>
      <w:tr w:rsidR="00991423">
        <w:tc>
          <w:tcPr>
            <w:tcW w:w="1290" w:type="dxa"/>
            <w:vAlign w:val="center"/>
          </w:tcPr>
          <w:p w:rsidR="00991423" w:rsidRDefault="006012D5">
            <w:pPr>
              <w:jc w:val="left"/>
            </w:pPr>
            <w:r>
              <w:rPr>
                <w:rFonts w:eastAsiaTheme="minorEastAsia"/>
                <w:color w:val="000000" w:themeColor="text1"/>
                <w:szCs w:val="21"/>
              </w:rPr>
              <w:t>过去六个月</w:t>
            </w:r>
          </w:p>
        </w:tc>
        <w:tc>
          <w:tcPr>
            <w:tcW w:w="1291" w:type="dxa"/>
            <w:vAlign w:val="center"/>
          </w:tcPr>
          <w:p w:rsidR="00991423" w:rsidRDefault="006012D5">
            <w:pPr>
              <w:jc w:val="right"/>
            </w:pPr>
            <w:r>
              <w:rPr>
                <w:rFonts w:eastAsiaTheme="minorEastAsia"/>
                <w:color w:val="000000" w:themeColor="text1"/>
                <w:szCs w:val="21"/>
              </w:rPr>
              <w:t>1.71%</w:t>
            </w:r>
          </w:p>
        </w:tc>
        <w:tc>
          <w:tcPr>
            <w:tcW w:w="1291" w:type="dxa"/>
            <w:vAlign w:val="center"/>
          </w:tcPr>
          <w:p w:rsidR="00991423" w:rsidRDefault="006012D5">
            <w:pPr>
              <w:jc w:val="right"/>
            </w:pPr>
            <w:r>
              <w:rPr>
                <w:rFonts w:eastAsiaTheme="minorEastAsia"/>
                <w:color w:val="000000" w:themeColor="text1"/>
                <w:szCs w:val="21"/>
              </w:rPr>
              <w:t>0.04%</w:t>
            </w:r>
          </w:p>
        </w:tc>
        <w:tc>
          <w:tcPr>
            <w:tcW w:w="1291" w:type="dxa"/>
            <w:vAlign w:val="center"/>
          </w:tcPr>
          <w:p w:rsidR="00991423" w:rsidRDefault="006012D5">
            <w:pPr>
              <w:jc w:val="right"/>
            </w:pPr>
            <w:r>
              <w:rPr>
                <w:rFonts w:eastAsiaTheme="minorEastAsia"/>
                <w:color w:val="000000" w:themeColor="text1"/>
                <w:szCs w:val="21"/>
              </w:rPr>
              <w:t>2.73%</w:t>
            </w:r>
          </w:p>
        </w:tc>
        <w:tc>
          <w:tcPr>
            <w:tcW w:w="1291" w:type="dxa"/>
            <w:vAlign w:val="center"/>
          </w:tcPr>
          <w:p w:rsidR="00991423" w:rsidRDefault="006012D5">
            <w:pPr>
              <w:jc w:val="right"/>
            </w:pPr>
            <w:r>
              <w:rPr>
                <w:rFonts w:eastAsiaTheme="minorEastAsia"/>
                <w:color w:val="000000" w:themeColor="text1"/>
                <w:szCs w:val="21"/>
              </w:rPr>
              <w:t>0.04%</w:t>
            </w:r>
          </w:p>
        </w:tc>
        <w:tc>
          <w:tcPr>
            <w:tcW w:w="1291" w:type="dxa"/>
            <w:vAlign w:val="center"/>
          </w:tcPr>
          <w:p w:rsidR="00991423" w:rsidRDefault="006012D5">
            <w:pPr>
              <w:jc w:val="right"/>
            </w:pPr>
            <w:r>
              <w:rPr>
                <w:rFonts w:eastAsiaTheme="minorEastAsia"/>
                <w:color w:val="000000" w:themeColor="text1"/>
                <w:szCs w:val="21"/>
              </w:rPr>
              <w:t>-1.02%</w:t>
            </w:r>
          </w:p>
        </w:tc>
        <w:tc>
          <w:tcPr>
            <w:tcW w:w="1291" w:type="dxa"/>
            <w:vAlign w:val="center"/>
          </w:tcPr>
          <w:p w:rsidR="00991423" w:rsidRDefault="006012D5">
            <w:pPr>
              <w:jc w:val="right"/>
            </w:pPr>
            <w:r>
              <w:rPr>
                <w:rFonts w:eastAsiaTheme="minorEastAsia"/>
                <w:color w:val="000000" w:themeColor="text1"/>
                <w:szCs w:val="21"/>
              </w:rPr>
              <w:t>0.00%</w:t>
            </w:r>
          </w:p>
        </w:tc>
      </w:tr>
      <w:tr w:rsidR="00991423">
        <w:tc>
          <w:tcPr>
            <w:tcW w:w="1290" w:type="dxa"/>
            <w:vAlign w:val="center"/>
          </w:tcPr>
          <w:p w:rsidR="00991423" w:rsidRDefault="006012D5">
            <w:pPr>
              <w:jc w:val="left"/>
            </w:pPr>
            <w:r>
              <w:rPr>
                <w:rFonts w:eastAsiaTheme="minorEastAsia"/>
                <w:color w:val="000000" w:themeColor="text1"/>
                <w:szCs w:val="21"/>
              </w:rPr>
              <w:t>过去一年</w:t>
            </w:r>
          </w:p>
        </w:tc>
        <w:tc>
          <w:tcPr>
            <w:tcW w:w="1291" w:type="dxa"/>
            <w:vAlign w:val="center"/>
          </w:tcPr>
          <w:p w:rsidR="00991423" w:rsidRDefault="006012D5">
            <w:pPr>
              <w:jc w:val="right"/>
            </w:pPr>
            <w:r>
              <w:rPr>
                <w:rFonts w:eastAsiaTheme="minorEastAsia"/>
                <w:color w:val="000000" w:themeColor="text1"/>
                <w:szCs w:val="21"/>
              </w:rPr>
              <w:t>2.55%</w:t>
            </w:r>
          </w:p>
        </w:tc>
        <w:tc>
          <w:tcPr>
            <w:tcW w:w="1291" w:type="dxa"/>
            <w:vAlign w:val="center"/>
          </w:tcPr>
          <w:p w:rsidR="00991423" w:rsidRDefault="006012D5">
            <w:pPr>
              <w:jc w:val="right"/>
            </w:pPr>
            <w:r>
              <w:rPr>
                <w:rFonts w:eastAsiaTheme="minorEastAsia"/>
                <w:color w:val="000000" w:themeColor="text1"/>
                <w:szCs w:val="21"/>
              </w:rPr>
              <w:t>0.06%</w:t>
            </w:r>
          </w:p>
        </w:tc>
        <w:tc>
          <w:tcPr>
            <w:tcW w:w="1291" w:type="dxa"/>
            <w:vAlign w:val="center"/>
          </w:tcPr>
          <w:p w:rsidR="00991423" w:rsidRDefault="006012D5">
            <w:pPr>
              <w:jc w:val="right"/>
            </w:pPr>
            <w:r>
              <w:rPr>
                <w:rFonts w:eastAsiaTheme="minorEastAsia"/>
                <w:color w:val="000000" w:themeColor="text1"/>
                <w:szCs w:val="21"/>
              </w:rPr>
              <w:t>4.24%</w:t>
            </w:r>
          </w:p>
        </w:tc>
        <w:tc>
          <w:tcPr>
            <w:tcW w:w="1291" w:type="dxa"/>
            <w:vAlign w:val="center"/>
          </w:tcPr>
          <w:p w:rsidR="00991423" w:rsidRDefault="006012D5">
            <w:pPr>
              <w:jc w:val="right"/>
            </w:pPr>
            <w:r>
              <w:rPr>
                <w:rFonts w:eastAsiaTheme="minorEastAsia"/>
                <w:color w:val="000000" w:themeColor="text1"/>
                <w:szCs w:val="21"/>
              </w:rPr>
              <w:t>0.05%</w:t>
            </w:r>
          </w:p>
        </w:tc>
        <w:tc>
          <w:tcPr>
            <w:tcW w:w="1291" w:type="dxa"/>
            <w:vAlign w:val="center"/>
          </w:tcPr>
          <w:p w:rsidR="00991423" w:rsidRDefault="006012D5">
            <w:pPr>
              <w:jc w:val="right"/>
            </w:pPr>
            <w:r>
              <w:rPr>
                <w:rFonts w:eastAsiaTheme="minorEastAsia"/>
                <w:color w:val="000000" w:themeColor="text1"/>
                <w:szCs w:val="21"/>
              </w:rPr>
              <w:t>-1.69%</w:t>
            </w:r>
          </w:p>
        </w:tc>
        <w:tc>
          <w:tcPr>
            <w:tcW w:w="1291" w:type="dxa"/>
            <w:vAlign w:val="center"/>
          </w:tcPr>
          <w:p w:rsidR="00991423" w:rsidRDefault="006012D5">
            <w:pPr>
              <w:jc w:val="right"/>
            </w:pPr>
            <w:r>
              <w:rPr>
                <w:rFonts w:eastAsiaTheme="minorEastAsia"/>
                <w:color w:val="000000" w:themeColor="text1"/>
                <w:szCs w:val="21"/>
              </w:rPr>
              <w:t>0.01%</w:t>
            </w:r>
          </w:p>
        </w:tc>
      </w:tr>
      <w:tr w:rsidR="00991423">
        <w:tc>
          <w:tcPr>
            <w:tcW w:w="1290" w:type="dxa"/>
            <w:vAlign w:val="center"/>
          </w:tcPr>
          <w:p w:rsidR="00991423" w:rsidRDefault="006012D5">
            <w:pPr>
              <w:jc w:val="left"/>
            </w:pPr>
            <w:r>
              <w:rPr>
                <w:rFonts w:eastAsiaTheme="minorEastAsia"/>
                <w:color w:val="000000" w:themeColor="text1"/>
                <w:szCs w:val="21"/>
              </w:rPr>
              <w:t>过去三年</w:t>
            </w:r>
          </w:p>
        </w:tc>
        <w:tc>
          <w:tcPr>
            <w:tcW w:w="1291" w:type="dxa"/>
            <w:vAlign w:val="center"/>
          </w:tcPr>
          <w:p w:rsidR="00991423" w:rsidRDefault="006012D5">
            <w:pPr>
              <w:jc w:val="right"/>
            </w:pPr>
            <w:r>
              <w:rPr>
                <w:rFonts w:eastAsiaTheme="minorEastAsia"/>
                <w:color w:val="000000" w:themeColor="text1"/>
                <w:szCs w:val="21"/>
              </w:rPr>
              <w:t>8.03%</w:t>
            </w:r>
          </w:p>
        </w:tc>
        <w:tc>
          <w:tcPr>
            <w:tcW w:w="1291" w:type="dxa"/>
            <w:vAlign w:val="center"/>
          </w:tcPr>
          <w:p w:rsidR="00991423" w:rsidRDefault="006012D5">
            <w:pPr>
              <w:jc w:val="right"/>
            </w:pPr>
            <w:r>
              <w:rPr>
                <w:rFonts w:eastAsiaTheme="minorEastAsia"/>
                <w:color w:val="000000" w:themeColor="text1"/>
                <w:szCs w:val="21"/>
              </w:rPr>
              <w:t>0.05%</w:t>
            </w:r>
          </w:p>
        </w:tc>
        <w:tc>
          <w:tcPr>
            <w:tcW w:w="1291" w:type="dxa"/>
            <w:vAlign w:val="center"/>
          </w:tcPr>
          <w:p w:rsidR="00991423" w:rsidRDefault="006012D5">
            <w:pPr>
              <w:jc w:val="right"/>
            </w:pPr>
            <w:r>
              <w:rPr>
                <w:rFonts w:eastAsiaTheme="minorEastAsia"/>
                <w:color w:val="000000" w:themeColor="text1"/>
                <w:szCs w:val="21"/>
              </w:rPr>
              <w:t>12.39%</w:t>
            </w:r>
          </w:p>
        </w:tc>
        <w:tc>
          <w:tcPr>
            <w:tcW w:w="1291" w:type="dxa"/>
            <w:vAlign w:val="center"/>
          </w:tcPr>
          <w:p w:rsidR="00991423" w:rsidRDefault="006012D5">
            <w:pPr>
              <w:jc w:val="right"/>
            </w:pPr>
            <w:r>
              <w:rPr>
                <w:rFonts w:eastAsiaTheme="minorEastAsia"/>
                <w:color w:val="000000" w:themeColor="text1"/>
                <w:szCs w:val="21"/>
              </w:rPr>
              <w:t>0.05%</w:t>
            </w:r>
          </w:p>
        </w:tc>
        <w:tc>
          <w:tcPr>
            <w:tcW w:w="1291" w:type="dxa"/>
            <w:vAlign w:val="center"/>
          </w:tcPr>
          <w:p w:rsidR="00991423" w:rsidRDefault="006012D5">
            <w:pPr>
              <w:jc w:val="right"/>
            </w:pPr>
            <w:r>
              <w:rPr>
                <w:rFonts w:eastAsiaTheme="minorEastAsia"/>
                <w:color w:val="000000" w:themeColor="text1"/>
                <w:szCs w:val="21"/>
              </w:rPr>
              <w:t>-4.36%</w:t>
            </w:r>
          </w:p>
        </w:tc>
        <w:tc>
          <w:tcPr>
            <w:tcW w:w="1291" w:type="dxa"/>
            <w:vAlign w:val="center"/>
          </w:tcPr>
          <w:p w:rsidR="00991423" w:rsidRDefault="006012D5">
            <w:pPr>
              <w:jc w:val="right"/>
            </w:pPr>
            <w:r>
              <w:rPr>
                <w:rFonts w:eastAsiaTheme="minorEastAsia"/>
                <w:color w:val="000000" w:themeColor="text1"/>
                <w:szCs w:val="21"/>
              </w:rPr>
              <w:t>0.00%</w:t>
            </w:r>
          </w:p>
        </w:tc>
      </w:tr>
      <w:tr w:rsidR="00991423">
        <w:tc>
          <w:tcPr>
            <w:tcW w:w="1290" w:type="dxa"/>
            <w:vAlign w:val="center"/>
          </w:tcPr>
          <w:p w:rsidR="00991423" w:rsidRDefault="006012D5">
            <w:pPr>
              <w:jc w:val="left"/>
            </w:pPr>
            <w:r>
              <w:rPr>
                <w:rFonts w:eastAsiaTheme="minorEastAsia"/>
                <w:color w:val="000000" w:themeColor="text1"/>
                <w:szCs w:val="21"/>
              </w:rPr>
              <w:lastRenderedPageBreak/>
              <w:t>过去五年</w:t>
            </w:r>
          </w:p>
        </w:tc>
        <w:tc>
          <w:tcPr>
            <w:tcW w:w="1291" w:type="dxa"/>
            <w:vAlign w:val="center"/>
          </w:tcPr>
          <w:p w:rsidR="00991423" w:rsidRDefault="006012D5">
            <w:pPr>
              <w:jc w:val="right"/>
            </w:pPr>
            <w:r>
              <w:rPr>
                <w:rFonts w:eastAsiaTheme="minorEastAsia"/>
                <w:color w:val="000000" w:themeColor="text1"/>
                <w:szCs w:val="21"/>
              </w:rPr>
              <w:t>17.58%</w:t>
            </w:r>
          </w:p>
        </w:tc>
        <w:tc>
          <w:tcPr>
            <w:tcW w:w="1291" w:type="dxa"/>
            <w:vAlign w:val="center"/>
          </w:tcPr>
          <w:p w:rsidR="00991423" w:rsidRDefault="006012D5">
            <w:pPr>
              <w:jc w:val="right"/>
            </w:pPr>
            <w:r>
              <w:rPr>
                <w:rFonts w:eastAsiaTheme="minorEastAsia"/>
                <w:color w:val="000000" w:themeColor="text1"/>
                <w:szCs w:val="21"/>
              </w:rPr>
              <w:t>0.06%</w:t>
            </w:r>
          </w:p>
        </w:tc>
        <w:tc>
          <w:tcPr>
            <w:tcW w:w="1291" w:type="dxa"/>
            <w:vAlign w:val="center"/>
          </w:tcPr>
          <w:p w:rsidR="00991423" w:rsidRDefault="006012D5">
            <w:pPr>
              <w:jc w:val="right"/>
            </w:pPr>
            <w:r>
              <w:rPr>
                <w:rFonts w:eastAsiaTheme="minorEastAsia"/>
                <w:color w:val="000000" w:themeColor="text1"/>
                <w:szCs w:val="21"/>
              </w:rPr>
              <w:t>25.10%</w:t>
            </w:r>
          </w:p>
        </w:tc>
        <w:tc>
          <w:tcPr>
            <w:tcW w:w="1291" w:type="dxa"/>
            <w:vAlign w:val="center"/>
          </w:tcPr>
          <w:p w:rsidR="00991423" w:rsidRDefault="006012D5">
            <w:pPr>
              <w:jc w:val="right"/>
            </w:pPr>
            <w:r>
              <w:rPr>
                <w:rFonts w:eastAsiaTheme="minorEastAsia"/>
                <w:color w:val="000000" w:themeColor="text1"/>
                <w:szCs w:val="21"/>
              </w:rPr>
              <w:t>0.06%</w:t>
            </w:r>
          </w:p>
        </w:tc>
        <w:tc>
          <w:tcPr>
            <w:tcW w:w="1291" w:type="dxa"/>
            <w:vAlign w:val="center"/>
          </w:tcPr>
          <w:p w:rsidR="00991423" w:rsidRDefault="006012D5">
            <w:pPr>
              <w:jc w:val="right"/>
            </w:pPr>
            <w:r>
              <w:rPr>
                <w:rFonts w:eastAsiaTheme="minorEastAsia"/>
                <w:color w:val="000000" w:themeColor="text1"/>
                <w:szCs w:val="21"/>
              </w:rPr>
              <w:t>-7.52%</w:t>
            </w:r>
          </w:p>
        </w:tc>
        <w:tc>
          <w:tcPr>
            <w:tcW w:w="1291" w:type="dxa"/>
            <w:vAlign w:val="center"/>
          </w:tcPr>
          <w:p w:rsidR="00991423" w:rsidRDefault="006012D5">
            <w:pPr>
              <w:jc w:val="right"/>
            </w:pPr>
            <w:r>
              <w:rPr>
                <w:rFonts w:eastAsiaTheme="minorEastAsia"/>
                <w:color w:val="000000" w:themeColor="text1"/>
                <w:szCs w:val="21"/>
              </w:rPr>
              <w:t>0.00%</w:t>
            </w:r>
          </w:p>
        </w:tc>
      </w:tr>
      <w:tr w:rsidR="00991423">
        <w:tc>
          <w:tcPr>
            <w:tcW w:w="1290" w:type="dxa"/>
            <w:vAlign w:val="center"/>
          </w:tcPr>
          <w:p w:rsidR="00991423" w:rsidRDefault="006012D5">
            <w:pPr>
              <w:jc w:val="left"/>
            </w:pPr>
            <w:r>
              <w:rPr>
                <w:rFonts w:eastAsiaTheme="minorEastAsia"/>
                <w:color w:val="000000" w:themeColor="text1"/>
                <w:szCs w:val="21"/>
              </w:rPr>
              <w:t>自基金合同生效起至今</w:t>
            </w:r>
          </w:p>
        </w:tc>
        <w:tc>
          <w:tcPr>
            <w:tcW w:w="1291" w:type="dxa"/>
            <w:vAlign w:val="center"/>
          </w:tcPr>
          <w:p w:rsidR="00991423" w:rsidRDefault="006012D5">
            <w:pPr>
              <w:jc w:val="right"/>
            </w:pPr>
            <w:r>
              <w:rPr>
                <w:rFonts w:eastAsiaTheme="minorEastAsia"/>
                <w:color w:val="000000" w:themeColor="text1"/>
                <w:szCs w:val="21"/>
              </w:rPr>
              <w:t>20.97%</w:t>
            </w:r>
          </w:p>
        </w:tc>
        <w:tc>
          <w:tcPr>
            <w:tcW w:w="1291" w:type="dxa"/>
            <w:vAlign w:val="center"/>
          </w:tcPr>
          <w:p w:rsidR="00991423" w:rsidRDefault="006012D5">
            <w:pPr>
              <w:jc w:val="right"/>
            </w:pPr>
            <w:r>
              <w:rPr>
                <w:rFonts w:eastAsiaTheme="minorEastAsia"/>
                <w:color w:val="000000" w:themeColor="text1"/>
                <w:szCs w:val="21"/>
              </w:rPr>
              <w:t>0.06%</w:t>
            </w:r>
          </w:p>
        </w:tc>
        <w:tc>
          <w:tcPr>
            <w:tcW w:w="1291" w:type="dxa"/>
            <w:vAlign w:val="center"/>
          </w:tcPr>
          <w:p w:rsidR="00991423" w:rsidRDefault="006012D5">
            <w:pPr>
              <w:jc w:val="right"/>
            </w:pPr>
            <w:r>
              <w:rPr>
                <w:rFonts w:eastAsiaTheme="minorEastAsia"/>
                <w:color w:val="000000" w:themeColor="text1"/>
                <w:szCs w:val="21"/>
              </w:rPr>
              <w:t>30.53%</w:t>
            </w:r>
          </w:p>
        </w:tc>
        <w:tc>
          <w:tcPr>
            <w:tcW w:w="1291" w:type="dxa"/>
            <w:vAlign w:val="center"/>
          </w:tcPr>
          <w:p w:rsidR="00991423" w:rsidRDefault="006012D5">
            <w:pPr>
              <w:jc w:val="right"/>
            </w:pPr>
            <w:r>
              <w:rPr>
                <w:rFonts w:eastAsiaTheme="minorEastAsia"/>
                <w:color w:val="000000" w:themeColor="text1"/>
                <w:szCs w:val="21"/>
              </w:rPr>
              <w:t>0.06%</w:t>
            </w:r>
          </w:p>
        </w:tc>
        <w:tc>
          <w:tcPr>
            <w:tcW w:w="1291" w:type="dxa"/>
            <w:vAlign w:val="center"/>
          </w:tcPr>
          <w:p w:rsidR="00991423" w:rsidRDefault="006012D5">
            <w:pPr>
              <w:jc w:val="right"/>
            </w:pPr>
            <w:r>
              <w:rPr>
                <w:rFonts w:eastAsiaTheme="minorEastAsia"/>
                <w:color w:val="000000" w:themeColor="text1"/>
                <w:szCs w:val="21"/>
              </w:rPr>
              <w:t>-9.56%</w:t>
            </w:r>
          </w:p>
        </w:tc>
        <w:tc>
          <w:tcPr>
            <w:tcW w:w="1291" w:type="dxa"/>
            <w:vAlign w:val="center"/>
          </w:tcPr>
          <w:p w:rsidR="00991423" w:rsidRDefault="006012D5">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摩根丰瑞债券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91423">
        <w:tc>
          <w:tcPr>
            <w:tcW w:w="1290" w:type="dxa"/>
            <w:vAlign w:val="center"/>
          </w:tcPr>
          <w:p w:rsidR="00991423" w:rsidRDefault="006012D5">
            <w:pPr>
              <w:jc w:val="left"/>
            </w:pPr>
            <w:r>
              <w:rPr>
                <w:rFonts w:eastAsiaTheme="minorEastAsia"/>
                <w:color w:val="000000" w:themeColor="text1"/>
                <w:szCs w:val="21"/>
              </w:rPr>
              <w:t>过去三个月</w:t>
            </w:r>
          </w:p>
        </w:tc>
        <w:tc>
          <w:tcPr>
            <w:tcW w:w="1291" w:type="dxa"/>
            <w:vAlign w:val="center"/>
          </w:tcPr>
          <w:p w:rsidR="00991423" w:rsidRDefault="006012D5">
            <w:pPr>
              <w:jc w:val="right"/>
            </w:pPr>
            <w:r>
              <w:rPr>
                <w:rFonts w:eastAsiaTheme="minorEastAsia"/>
                <w:color w:val="000000" w:themeColor="text1"/>
                <w:szCs w:val="21"/>
              </w:rPr>
              <w:t>1.19%</w:t>
            </w:r>
          </w:p>
        </w:tc>
        <w:tc>
          <w:tcPr>
            <w:tcW w:w="1291" w:type="dxa"/>
            <w:vAlign w:val="center"/>
          </w:tcPr>
          <w:p w:rsidR="00991423" w:rsidRDefault="006012D5">
            <w:pPr>
              <w:jc w:val="right"/>
            </w:pPr>
            <w:r>
              <w:rPr>
                <w:rFonts w:eastAsiaTheme="minorEastAsia"/>
                <w:color w:val="000000" w:themeColor="text1"/>
                <w:szCs w:val="21"/>
              </w:rPr>
              <w:t>0.04%</w:t>
            </w:r>
          </w:p>
        </w:tc>
        <w:tc>
          <w:tcPr>
            <w:tcW w:w="1291" w:type="dxa"/>
            <w:vAlign w:val="center"/>
          </w:tcPr>
          <w:p w:rsidR="00991423" w:rsidRDefault="006012D5">
            <w:pPr>
              <w:jc w:val="right"/>
            </w:pPr>
            <w:r>
              <w:rPr>
                <w:rFonts w:eastAsiaTheme="minorEastAsia"/>
                <w:color w:val="000000" w:themeColor="text1"/>
                <w:szCs w:val="21"/>
              </w:rPr>
              <w:t>1.78%</w:t>
            </w:r>
          </w:p>
        </w:tc>
        <w:tc>
          <w:tcPr>
            <w:tcW w:w="1291" w:type="dxa"/>
            <w:vAlign w:val="center"/>
          </w:tcPr>
          <w:p w:rsidR="00991423" w:rsidRDefault="006012D5">
            <w:pPr>
              <w:jc w:val="right"/>
            </w:pPr>
            <w:r>
              <w:rPr>
                <w:rFonts w:eastAsiaTheme="minorEastAsia"/>
                <w:color w:val="000000" w:themeColor="text1"/>
                <w:szCs w:val="21"/>
              </w:rPr>
              <w:t>0.04%</w:t>
            </w:r>
          </w:p>
        </w:tc>
        <w:tc>
          <w:tcPr>
            <w:tcW w:w="1291" w:type="dxa"/>
            <w:vAlign w:val="center"/>
          </w:tcPr>
          <w:p w:rsidR="00991423" w:rsidRDefault="006012D5">
            <w:pPr>
              <w:jc w:val="right"/>
            </w:pPr>
            <w:r>
              <w:rPr>
                <w:rFonts w:eastAsiaTheme="minorEastAsia"/>
                <w:color w:val="000000" w:themeColor="text1"/>
                <w:szCs w:val="21"/>
              </w:rPr>
              <w:t>-0.59%</w:t>
            </w:r>
          </w:p>
        </w:tc>
        <w:tc>
          <w:tcPr>
            <w:tcW w:w="1291" w:type="dxa"/>
            <w:vAlign w:val="center"/>
          </w:tcPr>
          <w:p w:rsidR="00991423" w:rsidRDefault="006012D5">
            <w:pPr>
              <w:jc w:val="right"/>
            </w:pPr>
            <w:r>
              <w:rPr>
                <w:rFonts w:eastAsiaTheme="minorEastAsia"/>
                <w:color w:val="000000" w:themeColor="text1"/>
                <w:szCs w:val="21"/>
              </w:rPr>
              <w:t>0.00%</w:t>
            </w:r>
          </w:p>
        </w:tc>
      </w:tr>
      <w:tr w:rsidR="00991423">
        <w:tc>
          <w:tcPr>
            <w:tcW w:w="1290" w:type="dxa"/>
            <w:vAlign w:val="center"/>
          </w:tcPr>
          <w:p w:rsidR="00991423" w:rsidRDefault="006012D5">
            <w:pPr>
              <w:jc w:val="left"/>
            </w:pPr>
            <w:r>
              <w:rPr>
                <w:rFonts w:eastAsiaTheme="minorEastAsia"/>
                <w:color w:val="000000" w:themeColor="text1"/>
                <w:szCs w:val="21"/>
              </w:rPr>
              <w:t>过去六个月</w:t>
            </w:r>
          </w:p>
        </w:tc>
        <w:tc>
          <w:tcPr>
            <w:tcW w:w="1291" w:type="dxa"/>
            <w:vAlign w:val="center"/>
          </w:tcPr>
          <w:p w:rsidR="00991423" w:rsidRDefault="006012D5">
            <w:pPr>
              <w:jc w:val="right"/>
            </w:pPr>
            <w:r>
              <w:rPr>
                <w:rFonts w:eastAsiaTheme="minorEastAsia"/>
                <w:color w:val="000000" w:themeColor="text1"/>
                <w:szCs w:val="21"/>
              </w:rPr>
              <w:t>1.68%</w:t>
            </w:r>
          </w:p>
        </w:tc>
        <w:tc>
          <w:tcPr>
            <w:tcW w:w="1291" w:type="dxa"/>
            <w:vAlign w:val="center"/>
          </w:tcPr>
          <w:p w:rsidR="00991423" w:rsidRDefault="006012D5">
            <w:pPr>
              <w:jc w:val="right"/>
            </w:pPr>
            <w:r>
              <w:rPr>
                <w:rFonts w:eastAsiaTheme="minorEastAsia"/>
                <w:color w:val="000000" w:themeColor="text1"/>
                <w:szCs w:val="21"/>
              </w:rPr>
              <w:t>0.04%</w:t>
            </w:r>
          </w:p>
        </w:tc>
        <w:tc>
          <w:tcPr>
            <w:tcW w:w="1291" w:type="dxa"/>
            <w:vAlign w:val="center"/>
          </w:tcPr>
          <w:p w:rsidR="00991423" w:rsidRDefault="006012D5">
            <w:pPr>
              <w:jc w:val="right"/>
            </w:pPr>
            <w:r>
              <w:rPr>
                <w:rFonts w:eastAsiaTheme="minorEastAsia"/>
                <w:color w:val="000000" w:themeColor="text1"/>
                <w:szCs w:val="21"/>
              </w:rPr>
              <w:t>2.73%</w:t>
            </w:r>
          </w:p>
        </w:tc>
        <w:tc>
          <w:tcPr>
            <w:tcW w:w="1291" w:type="dxa"/>
            <w:vAlign w:val="center"/>
          </w:tcPr>
          <w:p w:rsidR="00991423" w:rsidRDefault="006012D5">
            <w:pPr>
              <w:jc w:val="right"/>
            </w:pPr>
            <w:r>
              <w:rPr>
                <w:rFonts w:eastAsiaTheme="minorEastAsia"/>
                <w:color w:val="000000" w:themeColor="text1"/>
                <w:szCs w:val="21"/>
              </w:rPr>
              <w:t>0.04%</w:t>
            </w:r>
          </w:p>
        </w:tc>
        <w:tc>
          <w:tcPr>
            <w:tcW w:w="1291" w:type="dxa"/>
            <w:vAlign w:val="center"/>
          </w:tcPr>
          <w:p w:rsidR="00991423" w:rsidRDefault="006012D5">
            <w:pPr>
              <w:jc w:val="right"/>
            </w:pPr>
            <w:r>
              <w:rPr>
                <w:rFonts w:eastAsiaTheme="minorEastAsia"/>
                <w:color w:val="000000" w:themeColor="text1"/>
                <w:szCs w:val="21"/>
              </w:rPr>
              <w:t>-1.05%</w:t>
            </w:r>
          </w:p>
        </w:tc>
        <w:tc>
          <w:tcPr>
            <w:tcW w:w="1291" w:type="dxa"/>
            <w:vAlign w:val="center"/>
          </w:tcPr>
          <w:p w:rsidR="00991423" w:rsidRDefault="006012D5">
            <w:pPr>
              <w:jc w:val="right"/>
            </w:pPr>
            <w:r>
              <w:rPr>
                <w:rFonts w:eastAsiaTheme="minorEastAsia"/>
                <w:color w:val="000000" w:themeColor="text1"/>
                <w:szCs w:val="21"/>
              </w:rPr>
              <w:t>0.00%</w:t>
            </w:r>
          </w:p>
        </w:tc>
      </w:tr>
      <w:tr w:rsidR="00991423">
        <w:tc>
          <w:tcPr>
            <w:tcW w:w="1290" w:type="dxa"/>
            <w:vAlign w:val="center"/>
          </w:tcPr>
          <w:p w:rsidR="00991423" w:rsidRDefault="006012D5">
            <w:pPr>
              <w:jc w:val="left"/>
            </w:pPr>
            <w:r>
              <w:rPr>
                <w:rFonts w:eastAsiaTheme="minorEastAsia"/>
                <w:color w:val="000000" w:themeColor="text1"/>
                <w:szCs w:val="21"/>
              </w:rPr>
              <w:t>过去一年</w:t>
            </w:r>
          </w:p>
        </w:tc>
        <w:tc>
          <w:tcPr>
            <w:tcW w:w="1291" w:type="dxa"/>
            <w:vAlign w:val="center"/>
          </w:tcPr>
          <w:p w:rsidR="00991423" w:rsidRDefault="006012D5">
            <w:pPr>
              <w:jc w:val="right"/>
            </w:pPr>
            <w:r>
              <w:rPr>
                <w:rFonts w:eastAsiaTheme="minorEastAsia"/>
                <w:color w:val="000000" w:themeColor="text1"/>
                <w:szCs w:val="21"/>
              </w:rPr>
              <w:t>2.45%</w:t>
            </w:r>
          </w:p>
        </w:tc>
        <w:tc>
          <w:tcPr>
            <w:tcW w:w="1291" w:type="dxa"/>
            <w:vAlign w:val="center"/>
          </w:tcPr>
          <w:p w:rsidR="00991423" w:rsidRDefault="006012D5">
            <w:pPr>
              <w:jc w:val="right"/>
            </w:pPr>
            <w:r>
              <w:rPr>
                <w:rFonts w:eastAsiaTheme="minorEastAsia"/>
                <w:color w:val="000000" w:themeColor="text1"/>
                <w:szCs w:val="21"/>
              </w:rPr>
              <w:t>0.06%</w:t>
            </w:r>
          </w:p>
        </w:tc>
        <w:tc>
          <w:tcPr>
            <w:tcW w:w="1291" w:type="dxa"/>
            <w:vAlign w:val="center"/>
          </w:tcPr>
          <w:p w:rsidR="00991423" w:rsidRDefault="006012D5">
            <w:pPr>
              <w:jc w:val="right"/>
            </w:pPr>
            <w:r>
              <w:rPr>
                <w:rFonts w:eastAsiaTheme="minorEastAsia"/>
                <w:color w:val="000000" w:themeColor="text1"/>
                <w:szCs w:val="21"/>
              </w:rPr>
              <w:t>4.24%</w:t>
            </w:r>
          </w:p>
        </w:tc>
        <w:tc>
          <w:tcPr>
            <w:tcW w:w="1291" w:type="dxa"/>
            <w:vAlign w:val="center"/>
          </w:tcPr>
          <w:p w:rsidR="00991423" w:rsidRDefault="006012D5">
            <w:pPr>
              <w:jc w:val="right"/>
            </w:pPr>
            <w:r>
              <w:rPr>
                <w:rFonts w:eastAsiaTheme="minorEastAsia"/>
                <w:color w:val="000000" w:themeColor="text1"/>
                <w:szCs w:val="21"/>
              </w:rPr>
              <w:t>0.05%</w:t>
            </w:r>
          </w:p>
        </w:tc>
        <w:tc>
          <w:tcPr>
            <w:tcW w:w="1291" w:type="dxa"/>
            <w:vAlign w:val="center"/>
          </w:tcPr>
          <w:p w:rsidR="00991423" w:rsidRDefault="006012D5">
            <w:pPr>
              <w:jc w:val="right"/>
            </w:pPr>
            <w:r>
              <w:rPr>
                <w:rFonts w:eastAsiaTheme="minorEastAsia"/>
                <w:color w:val="000000" w:themeColor="text1"/>
                <w:szCs w:val="21"/>
              </w:rPr>
              <w:t>-1.79%</w:t>
            </w:r>
          </w:p>
        </w:tc>
        <w:tc>
          <w:tcPr>
            <w:tcW w:w="1291" w:type="dxa"/>
            <w:vAlign w:val="center"/>
          </w:tcPr>
          <w:p w:rsidR="00991423" w:rsidRDefault="006012D5">
            <w:pPr>
              <w:jc w:val="right"/>
            </w:pPr>
            <w:r>
              <w:rPr>
                <w:rFonts w:eastAsiaTheme="minorEastAsia"/>
                <w:color w:val="000000" w:themeColor="text1"/>
                <w:szCs w:val="21"/>
              </w:rPr>
              <w:t>0.01%</w:t>
            </w:r>
          </w:p>
        </w:tc>
      </w:tr>
      <w:tr w:rsidR="00991423">
        <w:tc>
          <w:tcPr>
            <w:tcW w:w="1290" w:type="dxa"/>
            <w:vAlign w:val="center"/>
          </w:tcPr>
          <w:p w:rsidR="00991423" w:rsidRDefault="006012D5">
            <w:pPr>
              <w:jc w:val="left"/>
            </w:pPr>
            <w:r>
              <w:rPr>
                <w:rFonts w:eastAsiaTheme="minorEastAsia"/>
                <w:color w:val="000000" w:themeColor="text1"/>
                <w:szCs w:val="21"/>
              </w:rPr>
              <w:t>过去三年</w:t>
            </w:r>
          </w:p>
        </w:tc>
        <w:tc>
          <w:tcPr>
            <w:tcW w:w="1291" w:type="dxa"/>
            <w:vAlign w:val="center"/>
          </w:tcPr>
          <w:p w:rsidR="00991423" w:rsidRDefault="006012D5">
            <w:pPr>
              <w:jc w:val="right"/>
            </w:pPr>
            <w:r>
              <w:rPr>
                <w:rFonts w:eastAsiaTheme="minorEastAsia"/>
                <w:color w:val="000000" w:themeColor="text1"/>
                <w:szCs w:val="21"/>
              </w:rPr>
              <w:t>7.74%</w:t>
            </w:r>
          </w:p>
        </w:tc>
        <w:tc>
          <w:tcPr>
            <w:tcW w:w="1291" w:type="dxa"/>
            <w:vAlign w:val="center"/>
          </w:tcPr>
          <w:p w:rsidR="00991423" w:rsidRDefault="006012D5">
            <w:pPr>
              <w:jc w:val="right"/>
            </w:pPr>
            <w:r>
              <w:rPr>
                <w:rFonts w:eastAsiaTheme="minorEastAsia"/>
                <w:color w:val="000000" w:themeColor="text1"/>
                <w:szCs w:val="21"/>
              </w:rPr>
              <w:t>0.05%</w:t>
            </w:r>
          </w:p>
        </w:tc>
        <w:tc>
          <w:tcPr>
            <w:tcW w:w="1291" w:type="dxa"/>
            <w:vAlign w:val="center"/>
          </w:tcPr>
          <w:p w:rsidR="00991423" w:rsidRDefault="006012D5">
            <w:pPr>
              <w:jc w:val="right"/>
            </w:pPr>
            <w:r>
              <w:rPr>
                <w:rFonts w:eastAsiaTheme="minorEastAsia"/>
                <w:color w:val="000000" w:themeColor="text1"/>
                <w:szCs w:val="21"/>
              </w:rPr>
              <w:t>12.39%</w:t>
            </w:r>
          </w:p>
        </w:tc>
        <w:tc>
          <w:tcPr>
            <w:tcW w:w="1291" w:type="dxa"/>
            <w:vAlign w:val="center"/>
          </w:tcPr>
          <w:p w:rsidR="00991423" w:rsidRDefault="006012D5">
            <w:pPr>
              <w:jc w:val="right"/>
            </w:pPr>
            <w:r>
              <w:rPr>
                <w:rFonts w:eastAsiaTheme="minorEastAsia"/>
                <w:color w:val="000000" w:themeColor="text1"/>
                <w:szCs w:val="21"/>
              </w:rPr>
              <w:t>0.05%</w:t>
            </w:r>
          </w:p>
        </w:tc>
        <w:tc>
          <w:tcPr>
            <w:tcW w:w="1291" w:type="dxa"/>
            <w:vAlign w:val="center"/>
          </w:tcPr>
          <w:p w:rsidR="00991423" w:rsidRDefault="006012D5">
            <w:pPr>
              <w:jc w:val="right"/>
            </w:pPr>
            <w:r>
              <w:rPr>
                <w:rFonts w:eastAsiaTheme="minorEastAsia"/>
                <w:color w:val="000000" w:themeColor="text1"/>
                <w:szCs w:val="21"/>
              </w:rPr>
              <w:t>-4.65%</w:t>
            </w:r>
          </w:p>
        </w:tc>
        <w:tc>
          <w:tcPr>
            <w:tcW w:w="1291" w:type="dxa"/>
            <w:vAlign w:val="center"/>
          </w:tcPr>
          <w:p w:rsidR="00991423" w:rsidRDefault="006012D5">
            <w:pPr>
              <w:jc w:val="right"/>
            </w:pPr>
            <w:r>
              <w:rPr>
                <w:rFonts w:eastAsiaTheme="minorEastAsia"/>
                <w:color w:val="000000" w:themeColor="text1"/>
                <w:szCs w:val="21"/>
              </w:rPr>
              <w:t>0.00%</w:t>
            </w:r>
          </w:p>
        </w:tc>
      </w:tr>
      <w:tr w:rsidR="00991423">
        <w:tc>
          <w:tcPr>
            <w:tcW w:w="1290" w:type="dxa"/>
            <w:vAlign w:val="center"/>
          </w:tcPr>
          <w:p w:rsidR="00991423" w:rsidRDefault="006012D5">
            <w:pPr>
              <w:jc w:val="left"/>
            </w:pPr>
            <w:r>
              <w:rPr>
                <w:rFonts w:eastAsiaTheme="minorEastAsia"/>
                <w:color w:val="000000" w:themeColor="text1"/>
                <w:szCs w:val="21"/>
              </w:rPr>
              <w:t>过去五年</w:t>
            </w:r>
          </w:p>
        </w:tc>
        <w:tc>
          <w:tcPr>
            <w:tcW w:w="1291" w:type="dxa"/>
            <w:vAlign w:val="center"/>
          </w:tcPr>
          <w:p w:rsidR="00991423" w:rsidRDefault="006012D5">
            <w:pPr>
              <w:jc w:val="right"/>
            </w:pPr>
            <w:r>
              <w:rPr>
                <w:rFonts w:eastAsiaTheme="minorEastAsia"/>
                <w:color w:val="000000" w:themeColor="text1"/>
                <w:szCs w:val="21"/>
              </w:rPr>
              <w:t>17.27%</w:t>
            </w:r>
          </w:p>
        </w:tc>
        <w:tc>
          <w:tcPr>
            <w:tcW w:w="1291" w:type="dxa"/>
            <w:vAlign w:val="center"/>
          </w:tcPr>
          <w:p w:rsidR="00991423" w:rsidRDefault="006012D5">
            <w:pPr>
              <w:jc w:val="right"/>
            </w:pPr>
            <w:r>
              <w:rPr>
                <w:rFonts w:eastAsiaTheme="minorEastAsia"/>
                <w:color w:val="000000" w:themeColor="text1"/>
                <w:szCs w:val="21"/>
              </w:rPr>
              <w:t>0.06%</w:t>
            </w:r>
          </w:p>
        </w:tc>
        <w:tc>
          <w:tcPr>
            <w:tcW w:w="1291" w:type="dxa"/>
            <w:vAlign w:val="center"/>
          </w:tcPr>
          <w:p w:rsidR="00991423" w:rsidRDefault="006012D5">
            <w:pPr>
              <w:jc w:val="right"/>
            </w:pPr>
            <w:r>
              <w:rPr>
                <w:rFonts w:eastAsiaTheme="minorEastAsia"/>
                <w:color w:val="000000" w:themeColor="text1"/>
                <w:szCs w:val="21"/>
              </w:rPr>
              <w:t>25.10%</w:t>
            </w:r>
          </w:p>
        </w:tc>
        <w:tc>
          <w:tcPr>
            <w:tcW w:w="1291" w:type="dxa"/>
            <w:vAlign w:val="center"/>
          </w:tcPr>
          <w:p w:rsidR="00991423" w:rsidRDefault="006012D5">
            <w:pPr>
              <w:jc w:val="right"/>
            </w:pPr>
            <w:r>
              <w:rPr>
                <w:rFonts w:eastAsiaTheme="minorEastAsia"/>
                <w:color w:val="000000" w:themeColor="text1"/>
                <w:szCs w:val="21"/>
              </w:rPr>
              <w:t>0.06%</w:t>
            </w:r>
          </w:p>
        </w:tc>
        <w:tc>
          <w:tcPr>
            <w:tcW w:w="1291" w:type="dxa"/>
            <w:vAlign w:val="center"/>
          </w:tcPr>
          <w:p w:rsidR="00991423" w:rsidRDefault="006012D5">
            <w:pPr>
              <w:jc w:val="right"/>
            </w:pPr>
            <w:r>
              <w:rPr>
                <w:rFonts w:eastAsiaTheme="minorEastAsia"/>
                <w:color w:val="000000" w:themeColor="text1"/>
                <w:szCs w:val="21"/>
              </w:rPr>
              <w:t>-7.83%</w:t>
            </w:r>
          </w:p>
        </w:tc>
        <w:tc>
          <w:tcPr>
            <w:tcW w:w="1291" w:type="dxa"/>
            <w:vAlign w:val="center"/>
          </w:tcPr>
          <w:p w:rsidR="00991423" w:rsidRDefault="006012D5">
            <w:pPr>
              <w:jc w:val="right"/>
            </w:pPr>
            <w:r>
              <w:rPr>
                <w:rFonts w:eastAsiaTheme="minorEastAsia"/>
                <w:color w:val="000000" w:themeColor="text1"/>
                <w:szCs w:val="21"/>
              </w:rPr>
              <w:t>0.00%</w:t>
            </w:r>
          </w:p>
        </w:tc>
      </w:tr>
      <w:tr w:rsidR="00991423">
        <w:tc>
          <w:tcPr>
            <w:tcW w:w="1290" w:type="dxa"/>
            <w:vAlign w:val="center"/>
          </w:tcPr>
          <w:p w:rsidR="00991423" w:rsidRDefault="006012D5">
            <w:pPr>
              <w:jc w:val="left"/>
            </w:pPr>
            <w:r>
              <w:rPr>
                <w:rFonts w:eastAsiaTheme="minorEastAsia"/>
                <w:color w:val="000000" w:themeColor="text1"/>
                <w:szCs w:val="21"/>
              </w:rPr>
              <w:t>自基金合同生效起至今</w:t>
            </w:r>
          </w:p>
        </w:tc>
        <w:tc>
          <w:tcPr>
            <w:tcW w:w="1291" w:type="dxa"/>
            <w:vAlign w:val="center"/>
          </w:tcPr>
          <w:p w:rsidR="00991423" w:rsidRDefault="006012D5">
            <w:pPr>
              <w:jc w:val="right"/>
            </w:pPr>
            <w:r>
              <w:rPr>
                <w:rFonts w:eastAsiaTheme="minorEastAsia"/>
                <w:color w:val="000000" w:themeColor="text1"/>
                <w:szCs w:val="21"/>
              </w:rPr>
              <w:t>20.85%</w:t>
            </w:r>
          </w:p>
        </w:tc>
        <w:tc>
          <w:tcPr>
            <w:tcW w:w="1291" w:type="dxa"/>
            <w:vAlign w:val="center"/>
          </w:tcPr>
          <w:p w:rsidR="00991423" w:rsidRDefault="006012D5">
            <w:pPr>
              <w:jc w:val="right"/>
            </w:pPr>
            <w:r>
              <w:rPr>
                <w:rFonts w:eastAsiaTheme="minorEastAsia"/>
                <w:color w:val="000000" w:themeColor="text1"/>
                <w:szCs w:val="21"/>
              </w:rPr>
              <w:t>0.06%</w:t>
            </w:r>
          </w:p>
        </w:tc>
        <w:tc>
          <w:tcPr>
            <w:tcW w:w="1291" w:type="dxa"/>
            <w:vAlign w:val="center"/>
          </w:tcPr>
          <w:p w:rsidR="00991423" w:rsidRDefault="006012D5">
            <w:pPr>
              <w:jc w:val="right"/>
            </w:pPr>
            <w:r>
              <w:rPr>
                <w:rFonts w:eastAsiaTheme="minorEastAsia"/>
                <w:color w:val="000000" w:themeColor="text1"/>
                <w:szCs w:val="21"/>
              </w:rPr>
              <w:t>30.53%</w:t>
            </w:r>
          </w:p>
        </w:tc>
        <w:tc>
          <w:tcPr>
            <w:tcW w:w="1291" w:type="dxa"/>
            <w:vAlign w:val="center"/>
          </w:tcPr>
          <w:p w:rsidR="00991423" w:rsidRDefault="006012D5">
            <w:pPr>
              <w:jc w:val="right"/>
            </w:pPr>
            <w:r>
              <w:rPr>
                <w:rFonts w:eastAsiaTheme="minorEastAsia"/>
                <w:color w:val="000000" w:themeColor="text1"/>
                <w:szCs w:val="21"/>
              </w:rPr>
              <w:t>0.06%</w:t>
            </w:r>
          </w:p>
        </w:tc>
        <w:tc>
          <w:tcPr>
            <w:tcW w:w="1291" w:type="dxa"/>
            <w:vAlign w:val="center"/>
          </w:tcPr>
          <w:p w:rsidR="00991423" w:rsidRDefault="006012D5">
            <w:pPr>
              <w:jc w:val="right"/>
            </w:pPr>
            <w:r>
              <w:rPr>
                <w:rFonts w:eastAsiaTheme="minorEastAsia"/>
                <w:color w:val="000000" w:themeColor="text1"/>
                <w:szCs w:val="21"/>
              </w:rPr>
              <w:t>-9.68%</w:t>
            </w:r>
          </w:p>
        </w:tc>
        <w:tc>
          <w:tcPr>
            <w:tcW w:w="1291" w:type="dxa"/>
            <w:vAlign w:val="center"/>
          </w:tcPr>
          <w:p w:rsidR="00991423" w:rsidRDefault="006012D5">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摩根丰瑞债券型证券投资基金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．摩根丰瑞债券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．摩根丰瑞债券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91423">
        <w:tc>
          <w:tcPr>
            <w:tcW w:w="952" w:type="dxa"/>
            <w:vAlign w:val="center"/>
          </w:tcPr>
          <w:p w:rsidR="00991423" w:rsidRDefault="006012D5">
            <w:pPr>
              <w:jc w:val="center"/>
            </w:pPr>
            <w:r>
              <w:rPr>
                <w:rFonts w:eastAsiaTheme="minorEastAsia"/>
                <w:color w:val="000000" w:themeColor="text1"/>
                <w:szCs w:val="21"/>
              </w:rPr>
              <w:t>雷杨娟</w:t>
            </w:r>
          </w:p>
        </w:tc>
        <w:tc>
          <w:tcPr>
            <w:tcW w:w="930" w:type="dxa"/>
            <w:vAlign w:val="center"/>
          </w:tcPr>
          <w:p w:rsidR="00991423" w:rsidRDefault="006012D5">
            <w:pPr>
              <w:jc w:val="center"/>
            </w:pPr>
            <w:r>
              <w:rPr>
                <w:rFonts w:eastAsiaTheme="minorEastAsia"/>
                <w:color w:val="000000" w:themeColor="text1"/>
                <w:szCs w:val="21"/>
              </w:rPr>
              <w:t>本基金基金经理</w:t>
            </w:r>
          </w:p>
        </w:tc>
        <w:tc>
          <w:tcPr>
            <w:tcW w:w="1210" w:type="dxa"/>
            <w:vAlign w:val="center"/>
          </w:tcPr>
          <w:p w:rsidR="00991423" w:rsidRDefault="006012D5">
            <w:pPr>
              <w:jc w:val="center"/>
            </w:pPr>
            <w:r>
              <w:rPr>
                <w:rFonts w:eastAsiaTheme="minorEastAsia"/>
                <w:color w:val="000000" w:themeColor="text1"/>
                <w:szCs w:val="21"/>
              </w:rPr>
              <w:t>2020-07-31</w:t>
            </w:r>
          </w:p>
        </w:tc>
        <w:tc>
          <w:tcPr>
            <w:tcW w:w="1309" w:type="dxa"/>
            <w:vAlign w:val="center"/>
          </w:tcPr>
          <w:p w:rsidR="00991423" w:rsidRDefault="006012D5">
            <w:pPr>
              <w:jc w:val="center"/>
            </w:pPr>
            <w:r>
              <w:rPr>
                <w:rFonts w:eastAsiaTheme="minorEastAsia"/>
                <w:color w:val="000000" w:themeColor="text1"/>
                <w:szCs w:val="21"/>
              </w:rPr>
              <w:t>-</w:t>
            </w:r>
          </w:p>
        </w:tc>
        <w:tc>
          <w:tcPr>
            <w:tcW w:w="1254" w:type="dxa"/>
            <w:vAlign w:val="center"/>
          </w:tcPr>
          <w:p w:rsidR="00991423" w:rsidRDefault="006012D5">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991423" w:rsidRDefault="006012D5">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w:t>
            </w:r>
            <w:r>
              <w:rPr>
                <w:rFonts w:eastAsiaTheme="minorEastAsia"/>
                <w:color w:val="000000" w:themeColor="text1"/>
                <w:szCs w:val="21"/>
              </w:rPr>
              <w:lastRenderedPageBreak/>
              <w:t>限公司（原上投摩根基金管理有限公司），历任专户投资二部副总监兼资深投资经理，现任债券投资部副总监兼资深基金经理。</w:t>
            </w:r>
          </w:p>
        </w:tc>
      </w:tr>
    </w:tbl>
    <w:p w:rsidR="00991423" w:rsidRDefault="006012D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w:t>
      </w:r>
      <w:r>
        <w:rPr>
          <w:rFonts w:eastAsiaTheme="minorEastAsia"/>
          <w:color w:val="000000" w:themeColor="text1"/>
          <w:szCs w:val="21"/>
        </w:rPr>
        <w:t>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w:t>
      </w:r>
      <w:r>
        <w:rPr>
          <w:rFonts w:eastAsiaTheme="minorEastAsia"/>
          <w:color w:val="000000" w:themeColor="text1"/>
          <w:szCs w:val="21"/>
        </w:rPr>
        <w:t>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年二季度，美国就业市场韧性仍在，核心通胀仍较顽固，</w:t>
      </w:r>
      <w:r>
        <w:rPr>
          <w:rFonts w:eastAsiaTheme="minorEastAsia"/>
          <w:color w:val="000000" w:themeColor="text1"/>
          <w:szCs w:val="21"/>
        </w:rPr>
        <w:t>6</w:t>
      </w:r>
      <w:r>
        <w:rPr>
          <w:rFonts w:eastAsiaTheme="minorEastAsia"/>
          <w:color w:val="000000" w:themeColor="text1"/>
          <w:szCs w:val="21"/>
        </w:rPr>
        <w:t>月联储如期暂停加息，但鹰派指引超预期。国内方面，一季度经济疫后修复，二季度经济复苏进入阶段性瓶颈期，复苏斜率有所放缓，市场对于政策的预期升温。</w:t>
      </w:r>
      <w:r>
        <w:rPr>
          <w:rFonts w:eastAsiaTheme="minorEastAsia"/>
          <w:color w:val="000000" w:themeColor="text1"/>
          <w:szCs w:val="21"/>
        </w:rPr>
        <w:t>6</w:t>
      </w:r>
      <w:r>
        <w:rPr>
          <w:rFonts w:eastAsiaTheme="minorEastAsia"/>
          <w:color w:val="000000" w:themeColor="text1"/>
          <w:szCs w:val="21"/>
        </w:rPr>
        <w:t>月官方制造业</w:t>
      </w:r>
      <w:r>
        <w:rPr>
          <w:rFonts w:eastAsiaTheme="minorEastAsia"/>
          <w:color w:val="000000" w:themeColor="text1"/>
          <w:szCs w:val="21"/>
        </w:rPr>
        <w:t>PMI</w:t>
      </w:r>
      <w:r>
        <w:rPr>
          <w:rFonts w:eastAsiaTheme="minorEastAsia"/>
          <w:color w:val="000000" w:themeColor="text1"/>
          <w:szCs w:val="21"/>
        </w:rPr>
        <w:t>数据录得</w:t>
      </w:r>
      <w:r>
        <w:rPr>
          <w:rFonts w:eastAsiaTheme="minorEastAsia"/>
          <w:color w:val="000000" w:themeColor="text1"/>
          <w:szCs w:val="21"/>
        </w:rPr>
        <w:t>49%</w:t>
      </w:r>
      <w:r>
        <w:rPr>
          <w:rFonts w:eastAsiaTheme="minorEastAsia"/>
          <w:color w:val="000000" w:themeColor="text1"/>
          <w:szCs w:val="21"/>
        </w:rPr>
        <w:t>，相比</w:t>
      </w:r>
      <w:r>
        <w:rPr>
          <w:rFonts w:eastAsiaTheme="minorEastAsia"/>
          <w:color w:val="000000" w:themeColor="text1"/>
          <w:szCs w:val="21"/>
        </w:rPr>
        <w:t>5</w:t>
      </w:r>
      <w:r>
        <w:rPr>
          <w:rFonts w:eastAsiaTheme="minorEastAsia"/>
          <w:color w:val="000000" w:themeColor="text1"/>
          <w:szCs w:val="21"/>
        </w:rPr>
        <w:t>月有小幅改善但仍处于枯荣线以下。</w:t>
      </w:r>
      <w:r>
        <w:rPr>
          <w:rFonts w:eastAsiaTheme="minorEastAsia"/>
          <w:color w:val="000000" w:themeColor="text1"/>
          <w:szCs w:val="21"/>
        </w:rPr>
        <w:t>5</w:t>
      </w:r>
      <w:r>
        <w:rPr>
          <w:rFonts w:eastAsiaTheme="minorEastAsia"/>
          <w:color w:val="000000" w:themeColor="text1"/>
          <w:szCs w:val="21"/>
        </w:rPr>
        <w:t>月经济数据显示生产端较</w:t>
      </w:r>
      <w:r>
        <w:rPr>
          <w:rFonts w:eastAsiaTheme="minorEastAsia"/>
          <w:color w:val="000000" w:themeColor="text1"/>
          <w:szCs w:val="21"/>
        </w:rPr>
        <w:t>4</w:t>
      </w:r>
      <w:r>
        <w:rPr>
          <w:rFonts w:eastAsiaTheme="minorEastAsia"/>
          <w:color w:val="000000" w:themeColor="text1"/>
          <w:szCs w:val="21"/>
        </w:rPr>
        <w:t>月有小幅改善，但需求端依旧偏软，经济运行情况弱于一季度。</w:t>
      </w:r>
      <w:r>
        <w:rPr>
          <w:rFonts w:eastAsiaTheme="minorEastAsia"/>
          <w:color w:val="000000" w:themeColor="text1"/>
          <w:szCs w:val="21"/>
        </w:rPr>
        <w:t>5</w:t>
      </w:r>
      <w:r>
        <w:rPr>
          <w:rFonts w:eastAsiaTheme="minorEastAsia"/>
          <w:color w:val="000000" w:themeColor="text1"/>
          <w:szCs w:val="21"/>
        </w:rPr>
        <w:t>月工增同比增长</w:t>
      </w:r>
      <w:r>
        <w:rPr>
          <w:rFonts w:eastAsiaTheme="minorEastAsia"/>
          <w:color w:val="000000" w:themeColor="text1"/>
          <w:szCs w:val="21"/>
        </w:rPr>
        <w:t>3.5%</w:t>
      </w:r>
      <w:r>
        <w:rPr>
          <w:rFonts w:eastAsiaTheme="minorEastAsia"/>
          <w:color w:val="000000" w:themeColor="text1"/>
          <w:szCs w:val="21"/>
        </w:rPr>
        <w:t>；固定资产投资累计同比增长</w:t>
      </w:r>
      <w:r>
        <w:rPr>
          <w:rFonts w:eastAsiaTheme="minorEastAsia"/>
          <w:color w:val="000000" w:themeColor="text1"/>
          <w:szCs w:val="21"/>
        </w:rPr>
        <w:t>4%</w:t>
      </w:r>
      <w:r>
        <w:rPr>
          <w:rFonts w:eastAsiaTheme="minorEastAsia"/>
          <w:color w:val="000000" w:themeColor="text1"/>
          <w:szCs w:val="21"/>
        </w:rPr>
        <w:t>，其中基建、制造业、房地产投资均有明显回落，投资对于经济增长的支撑作用进一步减弱，地产新开工、施工和</w:t>
      </w:r>
      <w:r>
        <w:rPr>
          <w:rFonts w:eastAsiaTheme="minorEastAsia"/>
          <w:color w:val="000000" w:themeColor="text1"/>
          <w:szCs w:val="21"/>
        </w:rPr>
        <w:t>销售面积均处于过去</w:t>
      </w:r>
      <w:r>
        <w:rPr>
          <w:rFonts w:eastAsiaTheme="minorEastAsia"/>
          <w:color w:val="000000" w:themeColor="text1"/>
          <w:szCs w:val="21"/>
        </w:rPr>
        <w:t>5</w:t>
      </w:r>
      <w:r>
        <w:rPr>
          <w:rFonts w:eastAsiaTheme="minorEastAsia"/>
          <w:color w:val="000000" w:themeColor="text1"/>
          <w:szCs w:val="21"/>
        </w:rPr>
        <w:t>年低位；</w:t>
      </w:r>
      <w:r>
        <w:rPr>
          <w:rFonts w:eastAsiaTheme="minorEastAsia"/>
          <w:color w:val="000000" w:themeColor="text1"/>
          <w:szCs w:val="21"/>
        </w:rPr>
        <w:t>5</w:t>
      </w:r>
      <w:r>
        <w:rPr>
          <w:rFonts w:eastAsiaTheme="minorEastAsia"/>
          <w:color w:val="000000" w:themeColor="text1"/>
          <w:szCs w:val="21"/>
        </w:rPr>
        <w:t>月社零同比增长</w:t>
      </w:r>
      <w:r>
        <w:rPr>
          <w:rFonts w:eastAsiaTheme="minorEastAsia"/>
          <w:color w:val="000000" w:themeColor="text1"/>
          <w:szCs w:val="21"/>
        </w:rPr>
        <w:t>12.7%</w:t>
      </w:r>
      <w:r>
        <w:rPr>
          <w:rFonts w:eastAsiaTheme="minorEastAsia"/>
          <w:color w:val="000000" w:themeColor="text1"/>
          <w:szCs w:val="21"/>
        </w:rPr>
        <w:t>。二季度在贷款需求偏弱的背景下，</w:t>
      </w:r>
      <w:r>
        <w:rPr>
          <w:rFonts w:eastAsiaTheme="minorEastAsia"/>
          <w:color w:val="000000" w:themeColor="text1"/>
          <w:szCs w:val="21"/>
        </w:rPr>
        <w:t>4</w:t>
      </w:r>
      <w:r>
        <w:rPr>
          <w:rFonts w:eastAsiaTheme="minorEastAsia"/>
          <w:color w:val="000000" w:themeColor="text1"/>
          <w:szCs w:val="21"/>
        </w:rPr>
        <w:t>月以来央行不断压降银行存款利率，资金利率持续处于偏低的位置。货币政策方面，央行</w:t>
      </w:r>
      <w:r>
        <w:rPr>
          <w:rFonts w:eastAsiaTheme="minorEastAsia"/>
          <w:color w:val="000000" w:themeColor="text1"/>
          <w:szCs w:val="21"/>
        </w:rPr>
        <w:t>6</w:t>
      </w:r>
      <w:r>
        <w:rPr>
          <w:rFonts w:eastAsiaTheme="minorEastAsia"/>
          <w:color w:val="000000" w:themeColor="text1"/>
          <w:szCs w:val="21"/>
        </w:rPr>
        <w:t>月先后调降公开市场操作（</w:t>
      </w:r>
      <w:r>
        <w:rPr>
          <w:rFonts w:eastAsiaTheme="minorEastAsia"/>
          <w:color w:val="000000" w:themeColor="text1"/>
          <w:szCs w:val="21"/>
        </w:rPr>
        <w:t>OMO</w:t>
      </w:r>
      <w:r>
        <w:rPr>
          <w:rFonts w:eastAsiaTheme="minorEastAsia"/>
          <w:color w:val="000000" w:themeColor="text1"/>
          <w:szCs w:val="21"/>
        </w:rPr>
        <w:t>）利率和中期借贷便利（</w:t>
      </w:r>
      <w:r>
        <w:rPr>
          <w:rFonts w:eastAsiaTheme="minorEastAsia"/>
          <w:color w:val="000000" w:themeColor="text1"/>
          <w:szCs w:val="21"/>
        </w:rPr>
        <w:t>MLF</w:t>
      </w:r>
      <w:r>
        <w:rPr>
          <w:rFonts w:eastAsiaTheme="minorEastAsia"/>
          <w:color w:val="000000" w:themeColor="text1"/>
          <w:szCs w:val="21"/>
        </w:rPr>
        <w:t>）利率，打开了新一轮宽松空间。通胀方面，通胀水平总体保持温和，通胀压力可控。</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二季度以来，在基本面修复预期转弱、资产荒叠加降息等货币预期落地的利好下，债券市场利率重归下行，中枢从</w:t>
      </w:r>
      <w:r>
        <w:rPr>
          <w:rFonts w:eastAsiaTheme="minorEastAsia"/>
          <w:color w:val="000000" w:themeColor="text1"/>
          <w:szCs w:val="21"/>
        </w:rPr>
        <w:t>2.85%</w:t>
      </w:r>
      <w:r>
        <w:rPr>
          <w:rFonts w:eastAsiaTheme="minorEastAsia"/>
          <w:color w:val="000000" w:themeColor="text1"/>
          <w:szCs w:val="21"/>
        </w:rPr>
        <w:t>下行至</w:t>
      </w:r>
      <w:r>
        <w:rPr>
          <w:rFonts w:eastAsiaTheme="minorEastAsia"/>
          <w:color w:val="000000" w:themeColor="text1"/>
          <w:szCs w:val="21"/>
        </w:rPr>
        <w:t>2.65%</w:t>
      </w:r>
      <w:r>
        <w:rPr>
          <w:rFonts w:eastAsiaTheme="minorEastAsia"/>
          <w:color w:val="000000" w:themeColor="text1"/>
          <w:szCs w:val="21"/>
        </w:rPr>
        <w:t>附近，报告期内十年期国债收益率最低点为</w:t>
      </w:r>
      <w:r>
        <w:rPr>
          <w:rFonts w:eastAsiaTheme="minorEastAsia"/>
          <w:color w:val="000000" w:themeColor="text1"/>
          <w:szCs w:val="21"/>
        </w:rPr>
        <w:t>2.62%</w:t>
      </w:r>
      <w:r>
        <w:rPr>
          <w:rFonts w:eastAsiaTheme="minorEastAsia"/>
          <w:color w:val="000000" w:themeColor="text1"/>
          <w:szCs w:val="21"/>
        </w:rPr>
        <w:t>，最高点为</w:t>
      </w:r>
      <w:r>
        <w:rPr>
          <w:rFonts w:eastAsiaTheme="minorEastAsia"/>
          <w:color w:val="000000" w:themeColor="text1"/>
          <w:szCs w:val="21"/>
        </w:rPr>
        <w:t>2.86%</w:t>
      </w: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月降息后，</w:t>
      </w:r>
      <w:r>
        <w:rPr>
          <w:rFonts w:eastAsiaTheme="minorEastAsia"/>
          <w:color w:val="000000" w:themeColor="text1"/>
          <w:szCs w:val="21"/>
        </w:rPr>
        <w:t>利率调整速度和幅度远超历史降息后表现，稳增长政策预期发酵后长债利率</w:t>
      </w:r>
      <w:r>
        <w:rPr>
          <w:rFonts w:eastAsiaTheme="minorEastAsia"/>
          <w:color w:val="000000" w:themeColor="text1"/>
          <w:szCs w:val="21"/>
        </w:rPr>
        <w:t>V</w:t>
      </w:r>
      <w:r>
        <w:rPr>
          <w:rFonts w:eastAsiaTheme="minorEastAsia"/>
          <w:color w:val="000000" w:themeColor="text1"/>
          <w:szCs w:val="21"/>
        </w:rPr>
        <w:t>型调整，当前市场对较弱基本面的定价较为充分。临近</w:t>
      </w:r>
      <w:r>
        <w:rPr>
          <w:rFonts w:eastAsiaTheme="minorEastAsia"/>
          <w:color w:val="000000" w:themeColor="text1"/>
          <w:szCs w:val="21"/>
        </w:rPr>
        <w:t>7</w:t>
      </w:r>
      <w:r>
        <w:rPr>
          <w:rFonts w:eastAsiaTheme="minorEastAsia"/>
          <w:color w:val="000000" w:themeColor="text1"/>
          <w:szCs w:val="21"/>
        </w:rPr>
        <w:t>月政治局会议，政策预期博弈下，利率波动或加大。信用债方面，经济修复缓慢，政策层面呵护实体经济融资需求，目前信用利差、期限利差处在偏低水平。中债总财富指数二季度以来上涨</w:t>
      </w:r>
      <w:r>
        <w:rPr>
          <w:rFonts w:eastAsiaTheme="minorEastAsia"/>
          <w:color w:val="000000" w:themeColor="text1"/>
          <w:szCs w:val="21"/>
        </w:rPr>
        <w:t>1.86%</w:t>
      </w:r>
      <w:r>
        <w:rPr>
          <w:rFonts w:eastAsiaTheme="minorEastAsia"/>
          <w:color w:val="000000" w:themeColor="text1"/>
          <w:szCs w:val="21"/>
        </w:rPr>
        <w:t>，中债信用债总财富指数上涨</w:t>
      </w:r>
      <w:r>
        <w:rPr>
          <w:rFonts w:eastAsiaTheme="minorEastAsia"/>
          <w:color w:val="000000" w:themeColor="text1"/>
          <w:szCs w:val="21"/>
        </w:rPr>
        <w:t>1.24%</w:t>
      </w:r>
      <w:r>
        <w:rPr>
          <w:rFonts w:eastAsiaTheme="minorEastAsia"/>
          <w:color w:val="000000" w:themeColor="text1"/>
          <w:szCs w:val="21"/>
        </w:rPr>
        <w:t>。</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第二季度，本基金大幅提升了杠杆水平和久期水平，调整了资产配置比例。</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展望第三季度，市场对出台托底政策的预期正在变强，但高质量发展的定力仍在，短期政策的出台可能对收益率造成扰动，但在资金保持宽松的预期下，预计收益率上行空间较为有限。计划略微调整杠杆比例。</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本报告期摩根丰瑞</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:1.19%</w:t>
      </w:r>
      <w:r>
        <w:rPr>
          <w:rFonts w:eastAsiaTheme="minorEastAsia"/>
          <w:color w:val="000000" w:themeColor="text1"/>
          <w:szCs w:val="21"/>
        </w:rPr>
        <w:t>，同期业绩比较基准收益率为</w:t>
      </w:r>
      <w:r>
        <w:rPr>
          <w:rFonts w:eastAsiaTheme="minorEastAsia"/>
          <w:color w:val="000000" w:themeColor="text1"/>
          <w:szCs w:val="21"/>
        </w:rPr>
        <w:t>:1.78%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摩根丰瑞</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:1.78%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792,081,786.93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98.20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792,081,786.93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98.20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14,537,363.26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806,619,150.19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792,081,786.93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138.75</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535,333,837.95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93.78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792,081,786.93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138.75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991423">
        <w:tc>
          <w:tcPr>
            <w:tcW w:w="1504" w:type="dxa"/>
            <w:vAlign w:val="center"/>
          </w:tcPr>
          <w:p w:rsidR="00991423" w:rsidRDefault="006012D5">
            <w:pPr>
              <w:jc w:val="center"/>
            </w:pPr>
            <w:r>
              <w:rPr>
                <w:rFonts w:eastAsiaTheme="minorEastAsia"/>
                <w:color w:val="000000" w:themeColor="text1"/>
                <w:szCs w:val="21"/>
              </w:rPr>
              <w:t>1</w:t>
            </w:r>
          </w:p>
        </w:tc>
        <w:tc>
          <w:tcPr>
            <w:tcW w:w="1504" w:type="dxa"/>
            <w:vAlign w:val="center"/>
          </w:tcPr>
          <w:p w:rsidR="00991423" w:rsidRDefault="006012D5">
            <w:pPr>
              <w:jc w:val="center"/>
            </w:pPr>
            <w:r>
              <w:rPr>
                <w:rFonts w:eastAsiaTheme="minorEastAsia"/>
                <w:color w:val="000000" w:themeColor="text1"/>
                <w:szCs w:val="21"/>
              </w:rPr>
              <w:t>150218</w:t>
            </w:r>
          </w:p>
        </w:tc>
        <w:tc>
          <w:tcPr>
            <w:tcW w:w="1504" w:type="dxa"/>
            <w:vAlign w:val="center"/>
          </w:tcPr>
          <w:p w:rsidR="00991423" w:rsidRDefault="006012D5">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18</w:t>
            </w:r>
          </w:p>
        </w:tc>
        <w:tc>
          <w:tcPr>
            <w:tcW w:w="1503" w:type="dxa"/>
            <w:vAlign w:val="center"/>
          </w:tcPr>
          <w:p w:rsidR="00991423" w:rsidRDefault="006012D5">
            <w:pPr>
              <w:jc w:val="right"/>
            </w:pPr>
            <w:r>
              <w:rPr>
                <w:rFonts w:eastAsiaTheme="minorEastAsia"/>
                <w:color w:val="000000" w:themeColor="text1"/>
                <w:szCs w:val="21"/>
              </w:rPr>
              <w:t>1,200,000</w:t>
            </w:r>
          </w:p>
        </w:tc>
        <w:tc>
          <w:tcPr>
            <w:tcW w:w="1503" w:type="dxa"/>
            <w:vAlign w:val="center"/>
          </w:tcPr>
          <w:p w:rsidR="00991423" w:rsidRDefault="006012D5">
            <w:pPr>
              <w:jc w:val="right"/>
            </w:pPr>
            <w:r>
              <w:rPr>
                <w:rFonts w:eastAsiaTheme="minorEastAsia"/>
                <w:color w:val="000000" w:themeColor="text1"/>
                <w:szCs w:val="21"/>
              </w:rPr>
              <w:t>127,154,991.78</w:t>
            </w:r>
          </w:p>
        </w:tc>
        <w:tc>
          <w:tcPr>
            <w:tcW w:w="1503" w:type="dxa"/>
            <w:vAlign w:val="center"/>
          </w:tcPr>
          <w:p w:rsidR="00991423" w:rsidRDefault="006012D5">
            <w:pPr>
              <w:jc w:val="right"/>
            </w:pPr>
            <w:r>
              <w:rPr>
                <w:rFonts w:eastAsiaTheme="minorEastAsia"/>
                <w:color w:val="000000" w:themeColor="text1"/>
                <w:szCs w:val="21"/>
              </w:rPr>
              <w:t>22.27</w:t>
            </w:r>
          </w:p>
        </w:tc>
      </w:tr>
      <w:tr w:rsidR="00991423">
        <w:tc>
          <w:tcPr>
            <w:tcW w:w="1504" w:type="dxa"/>
            <w:vAlign w:val="center"/>
          </w:tcPr>
          <w:p w:rsidR="00991423" w:rsidRDefault="006012D5">
            <w:pPr>
              <w:jc w:val="center"/>
            </w:pPr>
            <w:r>
              <w:rPr>
                <w:rFonts w:eastAsiaTheme="minorEastAsia"/>
                <w:color w:val="000000" w:themeColor="text1"/>
                <w:szCs w:val="21"/>
              </w:rPr>
              <w:t>2</w:t>
            </w:r>
          </w:p>
        </w:tc>
        <w:tc>
          <w:tcPr>
            <w:tcW w:w="1504" w:type="dxa"/>
            <w:vAlign w:val="center"/>
          </w:tcPr>
          <w:p w:rsidR="00991423" w:rsidRDefault="006012D5">
            <w:pPr>
              <w:jc w:val="center"/>
            </w:pPr>
            <w:r>
              <w:rPr>
                <w:rFonts w:eastAsiaTheme="minorEastAsia"/>
                <w:color w:val="000000" w:themeColor="text1"/>
                <w:szCs w:val="21"/>
              </w:rPr>
              <w:t>220207</w:t>
            </w:r>
          </w:p>
        </w:tc>
        <w:tc>
          <w:tcPr>
            <w:tcW w:w="1504" w:type="dxa"/>
            <w:vAlign w:val="center"/>
          </w:tcPr>
          <w:p w:rsidR="00991423" w:rsidRDefault="006012D5">
            <w:pPr>
              <w:jc w:val="center"/>
            </w:pPr>
            <w:r>
              <w:rPr>
                <w:rFonts w:eastAsiaTheme="minorEastAsia"/>
                <w:color w:val="000000" w:themeColor="text1"/>
                <w:szCs w:val="21"/>
              </w:rPr>
              <w:t>22</w:t>
            </w:r>
            <w:r>
              <w:rPr>
                <w:rFonts w:eastAsiaTheme="minorEastAsia"/>
                <w:color w:val="000000" w:themeColor="text1"/>
                <w:szCs w:val="21"/>
              </w:rPr>
              <w:t>国开</w:t>
            </w:r>
            <w:r>
              <w:rPr>
                <w:rFonts w:eastAsiaTheme="minorEastAsia"/>
                <w:color w:val="000000" w:themeColor="text1"/>
                <w:szCs w:val="21"/>
              </w:rPr>
              <w:t>07</w:t>
            </w:r>
          </w:p>
        </w:tc>
        <w:tc>
          <w:tcPr>
            <w:tcW w:w="1503" w:type="dxa"/>
            <w:vAlign w:val="center"/>
          </w:tcPr>
          <w:p w:rsidR="00991423" w:rsidRDefault="006012D5">
            <w:pPr>
              <w:jc w:val="right"/>
            </w:pPr>
            <w:r>
              <w:rPr>
                <w:rFonts w:eastAsiaTheme="minorEastAsia"/>
                <w:color w:val="000000" w:themeColor="text1"/>
                <w:szCs w:val="21"/>
              </w:rPr>
              <w:t>1,000,000</w:t>
            </w:r>
          </w:p>
        </w:tc>
        <w:tc>
          <w:tcPr>
            <w:tcW w:w="1503" w:type="dxa"/>
            <w:vAlign w:val="center"/>
          </w:tcPr>
          <w:p w:rsidR="00991423" w:rsidRDefault="006012D5">
            <w:pPr>
              <w:jc w:val="right"/>
            </w:pPr>
            <w:r>
              <w:rPr>
                <w:rFonts w:eastAsiaTheme="minorEastAsia"/>
                <w:color w:val="000000" w:themeColor="text1"/>
                <w:szCs w:val="21"/>
              </w:rPr>
              <w:t>101,675,479.45</w:t>
            </w:r>
          </w:p>
        </w:tc>
        <w:tc>
          <w:tcPr>
            <w:tcW w:w="1503" w:type="dxa"/>
            <w:vAlign w:val="center"/>
          </w:tcPr>
          <w:p w:rsidR="00991423" w:rsidRDefault="006012D5">
            <w:pPr>
              <w:jc w:val="right"/>
            </w:pPr>
            <w:r>
              <w:rPr>
                <w:rFonts w:eastAsiaTheme="minorEastAsia"/>
                <w:color w:val="000000" w:themeColor="text1"/>
                <w:szCs w:val="21"/>
              </w:rPr>
              <w:t>17.81</w:t>
            </w:r>
          </w:p>
        </w:tc>
      </w:tr>
      <w:tr w:rsidR="00991423">
        <w:tc>
          <w:tcPr>
            <w:tcW w:w="1504" w:type="dxa"/>
            <w:vAlign w:val="center"/>
          </w:tcPr>
          <w:p w:rsidR="00991423" w:rsidRDefault="006012D5">
            <w:pPr>
              <w:jc w:val="center"/>
            </w:pPr>
            <w:r>
              <w:rPr>
                <w:rFonts w:eastAsiaTheme="minorEastAsia"/>
                <w:color w:val="000000" w:themeColor="text1"/>
                <w:szCs w:val="21"/>
              </w:rPr>
              <w:t>3</w:t>
            </w:r>
          </w:p>
        </w:tc>
        <w:tc>
          <w:tcPr>
            <w:tcW w:w="1504" w:type="dxa"/>
            <w:vAlign w:val="center"/>
          </w:tcPr>
          <w:p w:rsidR="00991423" w:rsidRDefault="006012D5">
            <w:pPr>
              <w:jc w:val="center"/>
            </w:pPr>
            <w:r>
              <w:rPr>
                <w:rFonts w:eastAsiaTheme="minorEastAsia"/>
                <w:color w:val="000000" w:themeColor="text1"/>
                <w:szCs w:val="21"/>
              </w:rPr>
              <w:t>200208</w:t>
            </w:r>
          </w:p>
        </w:tc>
        <w:tc>
          <w:tcPr>
            <w:tcW w:w="1504" w:type="dxa"/>
            <w:vAlign w:val="center"/>
          </w:tcPr>
          <w:p w:rsidR="00991423" w:rsidRDefault="006012D5">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991423" w:rsidRDefault="006012D5">
            <w:pPr>
              <w:jc w:val="right"/>
            </w:pPr>
            <w:r>
              <w:rPr>
                <w:rFonts w:eastAsiaTheme="minorEastAsia"/>
                <w:color w:val="000000" w:themeColor="text1"/>
                <w:szCs w:val="21"/>
              </w:rPr>
              <w:t>1,000,000</w:t>
            </w:r>
          </w:p>
        </w:tc>
        <w:tc>
          <w:tcPr>
            <w:tcW w:w="1503" w:type="dxa"/>
            <w:vAlign w:val="center"/>
          </w:tcPr>
          <w:p w:rsidR="00991423" w:rsidRDefault="006012D5">
            <w:pPr>
              <w:jc w:val="right"/>
            </w:pPr>
            <w:r>
              <w:rPr>
                <w:rFonts w:eastAsiaTheme="minorEastAsia"/>
                <w:color w:val="000000" w:themeColor="text1"/>
                <w:szCs w:val="21"/>
              </w:rPr>
              <w:t>101,191,065.57</w:t>
            </w:r>
          </w:p>
        </w:tc>
        <w:tc>
          <w:tcPr>
            <w:tcW w:w="1503" w:type="dxa"/>
            <w:vAlign w:val="center"/>
          </w:tcPr>
          <w:p w:rsidR="00991423" w:rsidRDefault="006012D5">
            <w:pPr>
              <w:jc w:val="right"/>
            </w:pPr>
            <w:r>
              <w:rPr>
                <w:rFonts w:eastAsiaTheme="minorEastAsia"/>
                <w:color w:val="000000" w:themeColor="text1"/>
                <w:szCs w:val="21"/>
              </w:rPr>
              <w:t>17.73</w:t>
            </w:r>
          </w:p>
        </w:tc>
      </w:tr>
      <w:tr w:rsidR="00991423">
        <w:tc>
          <w:tcPr>
            <w:tcW w:w="1504" w:type="dxa"/>
            <w:vAlign w:val="center"/>
          </w:tcPr>
          <w:p w:rsidR="00991423" w:rsidRDefault="006012D5">
            <w:pPr>
              <w:jc w:val="center"/>
            </w:pPr>
            <w:r>
              <w:rPr>
                <w:rFonts w:eastAsiaTheme="minorEastAsia"/>
                <w:color w:val="000000" w:themeColor="text1"/>
                <w:szCs w:val="21"/>
              </w:rPr>
              <w:t>4</w:t>
            </w:r>
          </w:p>
        </w:tc>
        <w:tc>
          <w:tcPr>
            <w:tcW w:w="1504" w:type="dxa"/>
            <w:vAlign w:val="center"/>
          </w:tcPr>
          <w:p w:rsidR="00991423" w:rsidRDefault="006012D5">
            <w:pPr>
              <w:jc w:val="center"/>
            </w:pPr>
            <w:r>
              <w:rPr>
                <w:rFonts w:eastAsiaTheme="minorEastAsia"/>
                <w:color w:val="000000" w:themeColor="text1"/>
                <w:szCs w:val="21"/>
              </w:rPr>
              <w:t>200212</w:t>
            </w:r>
          </w:p>
        </w:tc>
        <w:tc>
          <w:tcPr>
            <w:tcW w:w="1504" w:type="dxa"/>
            <w:vAlign w:val="center"/>
          </w:tcPr>
          <w:p w:rsidR="00991423" w:rsidRDefault="006012D5">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12</w:t>
            </w:r>
          </w:p>
        </w:tc>
        <w:tc>
          <w:tcPr>
            <w:tcW w:w="1503" w:type="dxa"/>
            <w:vAlign w:val="center"/>
          </w:tcPr>
          <w:p w:rsidR="00991423" w:rsidRDefault="006012D5">
            <w:pPr>
              <w:jc w:val="right"/>
            </w:pPr>
            <w:r>
              <w:rPr>
                <w:rFonts w:eastAsiaTheme="minorEastAsia"/>
                <w:color w:val="000000" w:themeColor="text1"/>
                <w:szCs w:val="21"/>
              </w:rPr>
              <w:t>500,000</w:t>
            </w:r>
          </w:p>
        </w:tc>
        <w:tc>
          <w:tcPr>
            <w:tcW w:w="1503" w:type="dxa"/>
            <w:vAlign w:val="center"/>
          </w:tcPr>
          <w:p w:rsidR="00991423" w:rsidRDefault="006012D5">
            <w:pPr>
              <w:jc w:val="right"/>
            </w:pPr>
            <w:r>
              <w:rPr>
                <w:rFonts w:eastAsiaTheme="minorEastAsia"/>
                <w:color w:val="000000" w:themeColor="text1"/>
                <w:szCs w:val="21"/>
              </w:rPr>
              <w:t>52,635,520.55</w:t>
            </w:r>
          </w:p>
        </w:tc>
        <w:tc>
          <w:tcPr>
            <w:tcW w:w="1503" w:type="dxa"/>
            <w:vAlign w:val="center"/>
          </w:tcPr>
          <w:p w:rsidR="00991423" w:rsidRDefault="006012D5">
            <w:pPr>
              <w:jc w:val="right"/>
            </w:pPr>
            <w:r>
              <w:rPr>
                <w:rFonts w:eastAsiaTheme="minorEastAsia"/>
                <w:color w:val="000000" w:themeColor="text1"/>
                <w:szCs w:val="21"/>
              </w:rPr>
              <w:t>9.22</w:t>
            </w:r>
          </w:p>
        </w:tc>
      </w:tr>
      <w:tr w:rsidR="00991423">
        <w:tc>
          <w:tcPr>
            <w:tcW w:w="1504" w:type="dxa"/>
            <w:vAlign w:val="center"/>
          </w:tcPr>
          <w:p w:rsidR="00991423" w:rsidRDefault="006012D5">
            <w:pPr>
              <w:jc w:val="center"/>
            </w:pPr>
            <w:r>
              <w:rPr>
                <w:rFonts w:eastAsiaTheme="minorEastAsia"/>
                <w:color w:val="000000" w:themeColor="text1"/>
                <w:szCs w:val="21"/>
              </w:rPr>
              <w:t>5</w:t>
            </w:r>
          </w:p>
        </w:tc>
        <w:tc>
          <w:tcPr>
            <w:tcW w:w="1504" w:type="dxa"/>
            <w:vAlign w:val="center"/>
          </w:tcPr>
          <w:p w:rsidR="00991423" w:rsidRDefault="006012D5">
            <w:pPr>
              <w:jc w:val="center"/>
            </w:pPr>
            <w:r>
              <w:rPr>
                <w:rFonts w:eastAsiaTheme="minorEastAsia"/>
                <w:color w:val="000000" w:themeColor="text1"/>
                <w:szCs w:val="21"/>
              </w:rPr>
              <w:t>230205</w:t>
            </w:r>
          </w:p>
        </w:tc>
        <w:tc>
          <w:tcPr>
            <w:tcW w:w="1504" w:type="dxa"/>
            <w:vAlign w:val="center"/>
          </w:tcPr>
          <w:p w:rsidR="00991423" w:rsidRDefault="006012D5">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05</w:t>
            </w:r>
          </w:p>
        </w:tc>
        <w:tc>
          <w:tcPr>
            <w:tcW w:w="1503" w:type="dxa"/>
            <w:vAlign w:val="center"/>
          </w:tcPr>
          <w:p w:rsidR="00991423" w:rsidRDefault="006012D5">
            <w:pPr>
              <w:jc w:val="right"/>
            </w:pPr>
            <w:r>
              <w:rPr>
                <w:rFonts w:eastAsiaTheme="minorEastAsia"/>
                <w:color w:val="000000" w:themeColor="text1"/>
                <w:szCs w:val="21"/>
              </w:rPr>
              <w:t>500,000</w:t>
            </w:r>
          </w:p>
        </w:tc>
        <w:tc>
          <w:tcPr>
            <w:tcW w:w="1503" w:type="dxa"/>
            <w:vAlign w:val="center"/>
          </w:tcPr>
          <w:p w:rsidR="00991423" w:rsidRDefault="006012D5">
            <w:pPr>
              <w:jc w:val="right"/>
            </w:pPr>
            <w:r>
              <w:rPr>
                <w:rFonts w:eastAsiaTheme="minorEastAsia"/>
                <w:color w:val="000000" w:themeColor="text1"/>
                <w:szCs w:val="21"/>
              </w:rPr>
              <w:t>51,292,704.92</w:t>
            </w:r>
          </w:p>
        </w:tc>
        <w:tc>
          <w:tcPr>
            <w:tcW w:w="1503" w:type="dxa"/>
            <w:vAlign w:val="center"/>
          </w:tcPr>
          <w:p w:rsidR="00991423" w:rsidRDefault="006012D5">
            <w:pPr>
              <w:jc w:val="right"/>
            </w:pPr>
            <w:r>
              <w:rPr>
                <w:rFonts w:eastAsiaTheme="minorEastAsia"/>
                <w:color w:val="000000" w:themeColor="text1"/>
                <w:szCs w:val="21"/>
              </w:rPr>
              <w:t>8.99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本基金本报告期末无其他资产构成。</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1,041,361,574.26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53,936.98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78,208.34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108,565.94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494,192,560.80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41,186.86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547,247,221.80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121,316.06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991423">
        <w:tc>
          <w:tcPr>
            <w:tcW w:w="993" w:type="dxa"/>
            <w:vMerge w:val="restart"/>
            <w:vAlign w:val="center"/>
          </w:tcPr>
          <w:p w:rsidR="00991423" w:rsidRDefault="006012D5">
            <w:r>
              <w:rPr>
                <w:bCs/>
                <w:color w:val="000000"/>
                <w:kern w:val="0"/>
                <w:szCs w:val="21"/>
              </w:rPr>
              <w:t>机构</w:t>
            </w:r>
          </w:p>
        </w:tc>
        <w:tc>
          <w:tcPr>
            <w:tcW w:w="992" w:type="dxa"/>
            <w:vAlign w:val="center"/>
          </w:tcPr>
          <w:p w:rsidR="00991423" w:rsidRDefault="006012D5">
            <w:pPr>
              <w:jc w:val="center"/>
            </w:pPr>
            <w:r>
              <w:rPr>
                <w:color w:val="000000"/>
                <w:kern w:val="0"/>
                <w:szCs w:val="21"/>
              </w:rPr>
              <w:t>1</w:t>
            </w:r>
          </w:p>
        </w:tc>
        <w:tc>
          <w:tcPr>
            <w:tcW w:w="1843" w:type="dxa"/>
            <w:vAlign w:val="center"/>
          </w:tcPr>
          <w:p w:rsidR="00991423" w:rsidRDefault="006012D5">
            <w:pPr>
              <w:jc w:val="center"/>
            </w:pPr>
            <w:r>
              <w:rPr>
                <w:color w:val="000000"/>
                <w:kern w:val="0"/>
                <w:szCs w:val="21"/>
              </w:rPr>
              <w:t>20230401-20230630</w:t>
            </w:r>
          </w:p>
        </w:tc>
        <w:tc>
          <w:tcPr>
            <w:tcW w:w="851" w:type="dxa"/>
            <w:vAlign w:val="center"/>
          </w:tcPr>
          <w:p w:rsidR="00991423" w:rsidRDefault="006012D5">
            <w:pPr>
              <w:jc w:val="center"/>
            </w:pPr>
            <w:r>
              <w:rPr>
                <w:color w:val="000000"/>
                <w:kern w:val="0"/>
                <w:szCs w:val="21"/>
              </w:rPr>
              <w:t>447,993,162.82</w:t>
            </w:r>
          </w:p>
        </w:tc>
        <w:tc>
          <w:tcPr>
            <w:tcW w:w="850" w:type="dxa"/>
            <w:vAlign w:val="center"/>
          </w:tcPr>
          <w:p w:rsidR="00991423" w:rsidRDefault="006012D5">
            <w:pPr>
              <w:jc w:val="center"/>
            </w:pPr>
            <w:r>
              <w:rPr>
                <w:color w:val="000000"/>
                <w:kern w:val="0"/>
                <w:szCs w:val="21"/>
              </w:rPr>
              <w:t>0.00</w:t>
            </w:r>
          </w:p>
        </w:tc>
        <w:tc>
          <w:tcPr>
            <w:tcW w:w="1134" w:type="dxa"/>
            <w:vAlign w:val="center"/>
          </w:tcPr>
          <w:p w:rsidR="00991423" w:rsidRDefault="006012D5">
            <w:pPr>
              <w:jc w:val="center"/>
            </w:pPr>
            <w:r>
              <w:rPr>
                <w:color w:val="000000"/>
                <w:kern w:val="0"/>
                <w:szCs w:val="21"/>
              </w:rPr>
              <w:t>0.00</w:t>
            </w:r>
          </w:p>
        </w:tc>
        <w:tc>
          <w:tcPr>
            <w:tcW w:w="1419" w:type="dxa"/>
            <w:vAlign w:val="center"/>
          </w:tcPr>
          <w:p w:rsidR="00991423" w:rsidRDefault="006012D5">
            <w:pPr>
              <w:jc w:val="center"/>
            </w:pPr>
            <w:r>
              <w:rPr>
                <w:color w:val="000000"/>
                <w:kern w:val="0"/>
                <w:szCs w:val="21"/>
              </w:rPr>
              <w:t>447,993,162.82</w:t>
            </w:r>
          </w:p>
        </w:tc>
        <w:tc>
          <w:tcPr>
            <w:tcW w:w="1130" w:type="dxa"/>
            <w:vAlign w:val="center"/>
          </w:tcPr>
          <w:p w:rsidR="00991423" w:rsidRDefault="006012D5">
            <w:pPr>
              <w:jc w:val="center"/>
            </w:pPr>
            <w:r>
              <w:rPr>
                <w:color w:val="000000"/>
                <w:kern w:val="0"/>
                <w:szCs w:val="21"/>
              </w:rPr>
              <w:t>81.84%</w:t>
            </w:r>
          </w:p>
        </w:tc>
      </w:tr>
      <w:tr w:rsidR="00991423">
        <w:tc>
          <w:tcPr>
            <w:tcW w:w="993" w:type="dxa"/>
            <w:vMerge/>
          </w:tcPr>
          <w:p w:rsidR="00991423" w:rsidRDefault="00991423"/>
        </w:tc>
        <w:tc>
          <w:tcPr>
            <w:tcW w:w="992" w:type="dxa"/>
            <w:vAlign w:val="center"/>
          </w:tcPr>
          <w:p w:rsidR="00991423" w:rsidRDefault="006012D5">
            <w:pPr>
              <w:jc w:val="center"/>
            </w:pPr>
            <w:r>
              <w:rPr>
                <w:color w:val="000000"/>
                <w:kern w:val="0"/>
                <w:szCs w:val="21"/>
              </w:rPr>
              <w:t>2</w:t>
            </w:r>
          </w:p>
        </w:tc>
        <w:tc>
          <w:tcPr>
            <w:tcW w:w="1843" w:type="dxa"/>
            <w:vAlign w:val="center"/>
          </w:tcPr>
          <w:p w:rsidR="00991423" w:rsidRDefault="006012D5">
            <w:pPr>
              <w:jc w:val="center"/>
            </w:pPr>
            <w:r>
              <w:rPr>
                <w:color w:val="000000"/>
                <w:kern w:val="0"/>
                <w:szCs w:val="21"/>
              </w:rPr>
              <w:t>20230401-20230628</w:t>
            </w:r>
          </w:p>
        </w:tc>
        <w:tc>
          <w:tcPr>
            <w:tcW w:w="851" w:type="dxa"/>
            <w:vAlign w:val="center"/>
          </w:tcPr>
          <w:p w:rsidR="00991423" w:rsidRDefault="006012D5">
            <w:pPr>
              <w:jc w:val="center"/>
            </w:pPr>
            <w:r>
              <w:rPr>
                <w:color w:val="000000"/>
                <w:kern w:val="0"/>
                <w:szCs w:val="21"/>
              </w:rPr>
              <w:t>494,184,347.30</w:t>
            </w:r>
          </w:p>
        </w:tc>
        <w:tc>
          <w:tcPr>
            <w:tcW w:w="850" w:type="dxa"/>
            <w:vAlign w:val="center"/>
          </w:tcPr>
          <w:p w:rsidR="00991423" w:rsidRDefault="006012D5">
            <w:pPr>
              <w:jc w:val="center"/>
            </w:pPr>
            <w:r>
              <w:rPr>
                <w:color w:val="000000"/>
                <w:kern w:val="0"/>
                <w:szCs w:val="21"/>
              </w:rPr>
              <w:t>0.00</w:t>
            </w:r>
          </w:p>
        </w:tc>
        <w:tc>
          <w:tcPr>
            <w:tcW w:w="1134" w:type="dxa"/>
            <w:vAlign w:val="center"/>
          </w:tcPr>
          <w:p w:rsidR="00991423" w:rsidRDefault="006012D5">
            <w:pPr>
              <w:jc w:val="center"/>
            </w:pPr>
            <w:r>
              <w:rPr>
                <w:color w:val="000000"/>
                <w:kern w:val="0"/>
                <w:szCs w:val="21"/>
              </w:rPr>
              <w:t>494,184,347.30</w:t>
            </w:r>
          </w:p>
        </w:tc>
        <w:tc>
          <w:tcPr>
            <w:tcW w:w="1419" w:type="dxa"/>
            <w:vAlign w:val="center"/>
          </w:tcPr>
          <w:p w:rsidR="00991423" w:rsidRDefault="006012D5">
            <w:pPr>
              <w:jc w:val="center"/>
            </w:pPr>
            <w:r>
              <w:rPr>
                <w:color w:val="000000"/>
                <w:kern w:val="0"/>
                <w:szCs w:val="21"/>
              </w:rPr>
              <w:t>0.00</w:t>
            </w:r>
          </w:p>
        </w:tc>
        <w:tc>
          <w:tcPr>
            <w:tcW w:w="1130" w:type="dxa"/>
            <w:vAlign w:val="center"/>
          </w:tcPr>
          <w:p w:rsidR="00991423" w:rsidRDefault="006012D5">
            <w:pPr>
              <w:jc w:val="center"/>
            </w:pPr>
            <w:r>
              <w:rPr>
                <w:color w:val="000000"/>
                <w:kern w:val="0"/>
                <w:szCs w:val="21"/>
              </w:rPr>
              <w:t>0.00%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《摩根丰瑞债券型证券投资基金基金合同》；</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《摩根丰瑞债券型证券投资基金托管协议》；</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991423" w:rsidRDefault="006012D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012D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012D5">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012D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摩根丰瑞债券型证券投资基金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2D5"/>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423"/>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9287F-A88F-4423-A8D9-A1E85343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13</Pages>
  <Words>1107</Words>
  <Characters>6316</Characters>
  <Application>Microsoft Office Word</Application>
  <DocSecurity>0</DocSecurity>
  <Lines>52</Lines>
  <Paragraphs>14</Paragraphs>
  <ScaleCrop>false</ScaleCrop>
  <Company>TRT. Ltd. Co.</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219</cp:revision>
  <cp:lastPrinted>2007-07-19T00:46:00Z</cp:lastPrinted>
  <dcterms:created xsi:type="dcterms:W3CDTF">2013-06-21T06:56:00Z</dcterms:created>
  <dcterms:modified xsi:type="dcterms:W3CDTF">2023-07-20T06:28:00Z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