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摩根丰瑞债券型证券投资基金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4</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12</w:t>
      </w:r>
      <w:r w:rsidRPr="0073597F">
        <w:rPr>
          <w:rFonts w:eastAsiaTheme="minorEastAsia"/>
          <w:b/>
          <w:color w:val="000000" w:themeColor="text1"/>
          <w:sz w:val="36"/>
          <w:szCs w:val="36"/>
        </w:rPr>
        <w:t>月</w:t>
      </w:r>
      <w:r w:rsidRPr="0073597F">
        <w:rPr>
          <w:rFonts w:eastAsiaTheme="minorEastAsia"/>
          <w:b/>
          <w:color w:val="000000" w:themeColor="text1"/>
          <w:sz w:val="36"/>
          <w:szCs w:val="36"/>
        </w:rPr>
        <w:t>31</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基金托管人：交通银行股份有限公司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报告送出日期：二〇二五年一月二十二日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5A19FC" w:rsidRDefault="002C36D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A19FC" w:rsidRDefault="002C36D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A19FC" w:rsidRDefault="002C36D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A19FC" w:rsidRDefault="002C36D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A19FC" w:rsidRDefault="002C36D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摩根丰瑞债券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005366</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11</w:t>
            </w:r>
            <w:r w:rsidRPr="0073597F">
              <w:rPr>
                <w:rFonts w:eastAsiaTheme="minorEastAsia"/>
                <w:color w:val="000000" w:themeColor="text1"/>
                <w:kern w:val="0"/>
                <w:szCs w:val="21"/>
              </w:rPr>
              <w:t>月</w:t>
            </w:r>
            <w:r w:rsidRPr="0073597F">
              <w:rPr>
                <w:rFonts w:eastAsiaTheme="minorEastAsia"/>
                <w:color w:val="000000" w:themeColor="text1"/>
                <w:kern w:val="0"/>
                <w:szCs w:val="21"/>
              </w:rPr>
              <w:t>27</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575,174,131.14</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在合理充分的定量分析及定性研究基础上，在风险可控的原则下，通过参与债券类资产的投资运作，力争获取超越基准的稳健回报。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rsidR="005A19FC" w:rsidRDefault="002C36D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rsidR="005A19FC" w:rsidRDefault="002C36D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rsidR="005A19FC" w:rsidRDefault="002C36D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、久期管理策略</w:t>
            </w:r>
          </w:p>
          <w:p w:rsidR="005A19FC" w:rsidRDefault="002C36D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rsidR="005A19FC" w:rsidRDefault="002C36D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rsidR="005A19FC" w:rsidRDefault="002C36D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w:t>
            </w:r>
            <w:r w:rsidRPr="0073597F">
              <w:rPr>
                <w:rFonts w:eastAsiaTheme="minorEastAsia"/>
                <w:color w:val="000000" w:themeColor="text1"/>
                <w:kern w:val="0"/>
                <w:szCs w:val="21"/>
              </w:rPr>
              <w:t>、其他投资策略：包括信用策略、回购策略、中小企业私募债券投资策略、资产支持证券投资策略、证券公司短期公司债券投资策略。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中证综合债券指数收益率</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5A19FC" w:rsidRDefault="002C36D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交通银行股份有限公司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A</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C</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005366</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005367</w:t>
            </w:r>
          </w:p>
        </w:tc>
        <w:tc>
          <w:tcPr>
            <w:tcW w:w="2077" w:type="dxa"/>
            <w:vAlign w:val="center"/>
          </w:tcPr>
          <w:p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021493</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w:t>
            </w:r>
            <w:r w:rsidRPr="0073597F">
              <w:rPr>
                <w:rFonts w:eastAsiaTheme="minorEastAsia"/>
                <w:color w:val="000000" w:themeColor="text1"/>
                <w:szCs w:val="21"/>
              </w:rPr>
              <w:lastRenderedPageBreak/>
              <w:t>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lastRenderedPageBreak/>
              <w:t>575,126,709.48</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47,365.80</w:t>
            </w:r>
            <w:r w:rsidRPr="0073597F">
              <w:rPr>
                <w:rFonts w:eastAsiaTheme="minorEastAsia"/>
                <w:color w:val="000000" w:themeColor="text1"/>
                <w:kern w:val="0"/>
                <w:szCs w:val="21"/>
              </w:rPr>
              <w:t>份</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55.86</w:t>
            </w:r>
            <w:r w:rsidR="00B079FF"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A</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C</w:t>
            </w:r>
          </w:p>
        </w:tc>
        <w:tc>
          <w:tcPr>
            <w:tcW w:w="2268" w:type="dxa"/>
            <w:vAlign w:val="center"/>
          </w:tcPr>
          <w:p w:rsidR="0033334C" w:rsidRPr="0073597F" w:rsidRDefault="006F1F9D" w:rsidP="0033334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4,084,561.11</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47,654.68</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140.12</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14,515,043.14</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13,552.78</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306.83</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0.0252</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0.0034</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0.0148</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638,587,315.94</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52,393.51</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61.66</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1.1103</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1.1061</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1.1038</w:t>
            </w:r>
          </w:p>
        </w:tc>
      </w:tr>
    </w:tbl>
    <w:p w:rsidR="005A19FC" w:rsidRDefault="002C36D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摩根丰瑞债券</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5A19FC">
        <w:tc>
          <w:tcPr>
            <w:tcW w:w="1290" w:type="dxa"/>
            <w:vAlign w:val="center"/>
          </w:tcPr>
          <w:p w:rsidR="005A19FC" w:rsidRDefault="002C36D7">
            <w:pPr>
              <w:jc w:val="left"/>
            </w:pPr>
            <w:r>
              <w:rPr>
                <w:rFonts w:eastAsiaTheme="minorEastAsia"/>
                <w:color w:val="000000" w:themeColor="text1"/>
                <w:szCs w:val="21"/>
              </w:rPr>
              <w:t>过去三个月</w:t>
            </w:r>
          </w:p>
        </w:tc>
        <w:tc>
          <w:tcPr>
            <w:tcW w:w="1291" w:type="dxa"/>
            <w:vAlign w:val="center"/>
          </w:tcPr>
          <w:p w:rsidR="005A19FC" w:rsidRDefault="002C36D7">
            <w:pPr>
              <w:jc w:val="right"/>
            </w:pPr>
            <w:r>
              <w:rPr>
                <w:rFonts w:eastAsiaTheme="minorEastAsia"/>
                <w:color w:val="000000" w:themeColor="text1"/>
                <w:szCs w:val="21"/>
              </w:rPr>
              <w:t>2.32%</w:t>
            </w:r>
          </w:p>
        </w:tc>
        <w:tc>
          <w:tcPr>
            <w:tcW w:w="1291" w:type="dxa"/>
            <w:vAlign w:val="center"/>
          </w:tcPr>
          <w:p w:rsidR="005A19FC" w:rsidRDefault="002C36D7">
            <w:pPr>
              <w:jc w:val="right"/>
            </w:pPr>
            <w:r>
              <w:rPr>
                <w:rFonts w:eastAsiaTheme="minorEastAsia"/>
                <w:color w:val="000000" w:themeColor="text1"/>
                <w:szCs w:val="21"/>
              </w:rPr>
              <w:t>0.09%</w:t>
            </w:r>
          </w:p>
        </w:tc>
        <w:tc>
          <w:tcPr>
            <w:tcW w:w="1291" w:type="dxa"/>
            <w:vAlign w:val="center"/>
          </w:tcPr>
          <w:p w:rsidR="005A19FC" w:rsidRDefault="002C36D7">
            <w:pPr>
              <w:jc w:val="right"/>
            </w:pPr>
            <w:r>
              <w:rPr>
                <w:rFonts w:eastAsiaTheme="minorEastAsia"/>
                <w:color w:val="000000" w:themeColor="text1"/>
                <w:szCs w:val="21"/>
              </w:rPr>
              <w:t>2.71%</w:t>
            </w:r>
          </w:p>
        </w:tc>
        <w:tc>
          <w:tcPr>
            <w:tcW w:w="1291" w:type="dxa"/>
            <w:vAlign w:val="center"/>
          </w:tcPr>
          <w:p w:rsidR="005A19FC" w:rsidRDefault="002C36D7">
            <w:pPr>
              <w:jc w:val="right"/>
            </w:pPr>
            <w:r>
              <w:rPr>
                <w:rFonts w:eastAsiaTheme="minorEastAsia"/>
                <w:color w:val="000000" w:themeColor="text1"/>
                <w:szCs w:val="21"/>
              </w:rPr>
              <w:t>0.10%</w:t>
            </w:r>
          </w:p>
        </w:tc>
        <w:tc>
          <w:tcPr>
            <w:tcW w:w="1291" w:type="dxa"/>
            <w:vAlign w:val="center"/>
          </w:tcPr>
          <w:p w:rsidR="005A19FC" w:rsidRDefault="002C36D7">
            <w:pPr>
              <w:jc w:val="right"/>
            </w:pPr>
            <w:r>
              <w:rPr>
                <w:rFonts w:eastAsiaTheme="minorEastAsia"/>
                <w:color w:val="000000" w:themeColor="text1"/>
                <w:szCs w:val="21"/>
              </w:rPr>
              <w:t>-0.39%</w:t>
            </w:r>
          </w:p>
        </w:tc>
        <w:tc>
          <w:tcPr>
            <w:tcW w:w="1291" w:type="dxa"/>
            <w:vAlign w:val="center"/>
          </w:tcPr>
          <w:p w:rsidR="005A19FC" w:rsidRDefault="002C36D7">
            <w:pPr>
              <w:jc w:val="right"/>
            </w:pPr>
            <w:r>
              <w:rPr>
                <w:rFonts w:eastAsiaTheme="minorEastAsia"/>
                <w:color w:val="000000" w:themeColor="text1"/>
                <w:szCs w:val="21"/>
              </w:rPr>
              <w:t>-0.01%</w:t>
            </w:r>
          </w:p>
        </w:tc>
      </w:tr>
      <w:tr w:rsidR="005A19FC">
        <w:tc>
          <w:tcPr>
            <w:tcW w:w="1290" w:type="dxa"/>
            <w:vAlign w:val="center"/>
          </w:tcPr>
          <w:p w:rsidR="005A19FC" w:rsidRDefault="002C36D7">
            <w:pPr>
              <w:jc w:val="left"/>
            </w:pPr>
            <w:r>
              <w:rPr>
                <w:rFonts w:eastAsiaTheme="minorEastAsia"/>
                <w:color w:val="000000" w:themeColor="text1"/>
                <w:szCs w:val="21"/>
              </w:rPr>
              <w:t>过去六个月</w:t>
            </w:r>
          </w:p>
        </w:tc>
        <w:tc>
          <w:tcPr>
            <w:tcW w:w="1291" w:type="dxa"/>
            <w:vAlign w:val="center"/>
          </w:tcPr>
          <w:p w:rsidR="005A19FC" w:rsidRDefault="002C36D7">
            <w:pPr>
              <w:jc w:val="right"/>
            </w:pPr>
            <w:r>
              <w:rPr>
                <w:rFonts w:eastAsiaTheme="minorEastAsia"/>
                <w:color w:val="000000" w:themeColor="text1"/>
                <w:szCs w:val="21"/>
              </w:rPr>
              <w:t>2.83%</w:t>
            </w:r>
          </w:p>
        </w:tc>
        <w:tc>
          <w:tcPr>
            <w:tcW w:w="1291" w:type="dxa"/>
            <w:vAlign w:val="center"/>
          </w:tcPr>
          <w:p w:rsidR="005A19FC" w:rsidRDefault="002C36D7">
            <w:pPr>
              <w:jc w:val="right"/>
            </w:pPr>
            <w:r>
              <w:rPr>
                <w:rFonts w:eastAsiaTheme="minorEastAsia"/>
                <w:color w:val="000000" w:themeColor="text1"/>
                <w:szCs w:val="21"/>
              </w:rPr>
              <w:t>0.10%</w:t>
            </w:r>
          </w:p>
        </w:tc>
        <w:tc>
          <w:tcPr>
            <w:tcW w:w="1291" w:type="dxa"/>
            <w:vAlign w:val="center"/>
          </w:tcPr>
          <w:p w:rsidR="005A19FC" w:rsidRDefault="002C36D7">
            <w:pPr>
              <w:jc w:val="right"/>
            </w:pPr>
            <w:r>
              <w:rPr>
                <w:rFonts w:eastAsiaTheme="minorEastAsia"/>
                <w:color w:val="000000" w:themeColor="text1"/>
                <w:szCs w:val="21"/>
              </w:rPr>
              <w:t>3.87%</w:t>
            </w:r>
          </w:p>
        </w:tc>
        <w:tc>
          <w:tcPr>
            <w:tcW w:w="1291" w:type="dxa"/>
            <w:vAlign w:val="center"/>
          </w:tcPr>
          <w:p w:rsidR="005A19FC" w:rsidRDefault="002C36D7">
            <w:pPr>
              <w:jc w:val="right"/>
            </w:pPr>
            <w:r>
              <w:rPr>
                <w:rFonts w:eastAsiaTheme="minorEastAsia"/>
                <w:color w:val="000000" w:themeColor="text1"/>
                <w:szCs w:val="21"/>
              </w:rPr>
              <w:t>0.11%</w:t>
            </w:r>
          </w:p>
        </w:tc>
        <w:tc>
          <w:tcPr>
            <w:tcW w:w="1291" w:type="dxa"/>
            <w:vAlign w:val="center"/>
          </w:tcPr>
          <w:p w:rsidR="005A19FC" w:rsidRDefault="002C36D7">
            <w:pPr>
              <w:jc w:val="right"/>
            </w:pPr>
            <w:r>
              <w:rPr>
                <w:rFonts w:eastAsiaTheme="minorEastAsia"/>
                <w:color w:val="000000" w:themeColor="text1"/>
                <w:szCs w:val="21"/>
              </w:rPr>
              <w:t>-1.04%</w:t>
            </w:r>
          </w:p>
        </w:tc>
        <w:tc>
          <w:tcPr>
            <w:tcW w:w="1291" w:type="dxa"/>
            <w:vAlign w:val="center"/>
          </w:tcPr>
          <w:p w:rsidR="005A19FC" w:rsidRDefault="002C36D7">
            <w:pPr>
              <w:jc w:val="right"/>
            </w:pPr>
            <w:r>
              <w:rPr>
                <w:rFonts w:eastAsiaTheme="minorEastAsia"/>
                <w:color w:val="000000" w:themeColor="text1"/>
                <w:szCs w:val="21"/>
              </w:rPr>
              <w:t>-0.01%</w:t>
            </w:r>
          </w:p>
        </w:tc>
      </w:tr>
      <w:tr w:rsidR="005A19FC">
        <w:tc>
          <w:tcPr>
            <w:tcW w:w="1290" w:type="dxa"/>
            <w:vAlign w:val="center"/>
          </w:tcPr>
          <w:p w:rsidR="005A19FC" w:rsidRDefault="002C36D7">
            <w:pPr>
              <w:jc w:val="left"/>
            </w:pPr>
            <w:r>
              <w:rPr>
                <w:rFonts w:eastAsiaTheme="minorEastAsia"/>
                <w:color w:val="000000" w:themeColor="text1"/>
                <w:szCs w:val="21"/>
              </w:rPr>
              <w:t>过去一年</w:t>
            </w:r>
          </w:p>
        </w:tc>
        <w:tc>
          <w:tcPr>
            <w:tcW w:w="1291" w:type="dxa"/>
            <w:vAlign w:val="center"/>
          </w:tcPr>
          <w:p w:rsidR="005A19FC" w:rsidRDefault="002C36D7">
            <w:pPr>
              <w:jc w:val="right"/>
            </w:pPr>
            <w:r>
              <w:rPr>
                <w:rFonts w:eastAsiaTheme="minorEastAsia"/>
                <w:color w:val="000000" w:themeColor="text1"/>
                <w:szCs w:val="21"/>
              </w:rPr>
              <w:t>5.39%</w:t>
            </w:r>
          </w:p>
        </w:tc>
        <w:tc>
          <w:tcPr>
            <w:tcW w:w="1291" w:type="dxa"/>
            <w:vAlign w:val="center"/>
          </w:tcPr>
          <w:p w:rsidR="005A19FC" w:rsidRDefault="002C36D7">
            <w:pPr>
              <w:jc w:val="right"/>
            </w:pPr>
            <w:r>
              <w:rPr>
                <w:rFonts w:eastAsiaTheme="minorEastAsia"/>
                <w:color w:val="000000" w:themeColor="text1"/>
                <w:szCs w:val="21"/>
              </w:rPr>
              <w:t>0.08%</w:t>
            </w:r>
          </w:p>
        </w:tc>
        <w:tc>
          <w:tcPr>
            <w:tcW w:w="1291" w:type="dxa"/>
            <w:vAlign w:val="center"/>
          </w:tcPr>
          <w:p w:rsidR="005A19FC" w:rsidRDefault="002C36D7">
            <w:pPr>
              <w:jc w:val="right"/>
            </w:pPr>
            <w:r>
              <w:rPr>
                <w:rFonts w:eastAsiaTheme="minorEastAsia"/>
                <w:color w:val="000000" w:themeColor="text1"/>
                <w:szCs w:val="21"/>
              </w:rPr>
              <w:t>7.89%</w:t>
            </w:r>
          </w:p>
        </w:tc>
        <w:tc>
          <w:tcPr>
            <w:tcW w:w="1291" w:type="dxa"/>
            <w:vAlign w:val="center"/>
          </w:tcPr>
          <w:p w:rsidR="005A19FC" w:rsidRDefault="002C36D7">
            <w:pPr>
              <w:jc w:val="right"/>
            </w:pPr>
            <w:r>
              <w:rPr>
                <w:rFonts w:eastAsiaTheme="minorEastAsia"/>
                <w:color w:val="000000" w:themeColor="text1"/>
                <w:szCs w:val="21"/>
              </w:rPr>
              <w:t>0.09%</w:t>
            </w:r>
          </w:p>
        </w:tc>
        <w:tc>
          <w:tcPr>
            <w:tcW w:w="1291" w:type="dxa"/>
            <w:vAlign w:val="center"/>
          </w:tcPr>
          <w:p w:rsidR="005A19FC" w:rsidRDefault="002C36D7">
            <w:pPr>
              <w:jc w:val="right"/>
            </w:pPr>
            <w:r>
              <w:rPr>
                <w:rFonts w:eastAsiaTheme="minorEastAsia"/>
                <w:color w:val="000000" w:themeColor="text1"/>
                <w:szCs w:val="21"/>
              </w:rPr>
              <w:t>-2.50%</w:t>
            </w:r>
          </w:p>
        </w:tc>
        <w:tc>
          <w:tcPr>
            <w:tcW w:w="1291" w:type="dxa"/>
            <w:vAlign w:val="center"/>
          </w:tcPr>
          <w:p w:rsidR="005A19FC" w:rsidRDefault="002C36D7">
            <w:pPr>
              <w:jc w:val="right"/>
            </w:pPr>
            <w:r>
              <w:rPr>
                <w:rFonts w:eastAsiaTheme="minorEastAsia"/>
                <w:color w:val="000000" w:themeColor="text1"/>
                <w:szCs w:val="21"/>
              </w:rPr>
              <w:t>-0.01%</w:t>
            </w:r>
          </w:p>
        </w:tc>
      </w:tr>
      <w:tr w:rsidR="005A19FC">
        <w:tc>
          <w:tcPr>
            <w:tcW w:w="1290" w:type="dxa"/>
            <w:vAlign w:val="center"/>
          </w:tcPr>
          <w:p w:rsidR="005A19FC" w:rsidRDefault="002C36D7">
            <w:pPr>
              <w:jc w:val="left"/>
            </w:pPr>
            <w:r>
              <w:rPr>
                <w:rFonts w:eastAsiaTheme="minorEastAsia"/>
                <w:color w:val="000000" w:themeColor="text1"/>
                <w:szCs w:val="21"/>
              </w:rPr>
              <w:lastRenderedPageBreak/>
              <w:t>过去三年</w:t>
            </w:r>
          </w:p>
        </w:tc>
        <w:tc>
          <w:tcPr>
            <w:tcW w:w="1291" w:type="dxa"/>
            <w:vAlign w:val="center"/>
          </w:tcPr>
          <w:p w:rsidR="005A19FC" w:rsidRDefault="002C36D7">
            <w:pPr>
              <w:jc w:val="right"/>
            </w:pPr>
            <w:r>
              <w:rPr>
                <w:rFonts w:eastAsiaTheme="minorEastAsia"/>
                <w:color w:val="000000" w:themeColor="text1"/>
                <w:szCs w:val="21"/>
              </w:rPr>
              <w:t>10.62%</w:t>
            </w:r>
          </w:p>
        </w:tc>
        <w:tc>
          <w:tcPr>
            <w:tcW w:w="1291" w:type="dxa"/>
            <w:vAlign w:val="center"/>
          </w:tcPr>
          <w:p w:rsidR="005A19FC" w:rsidRDefault="002C36D7">
            <w:pPr>
              <w:jc w:val="right"/>
            </w:pPr>
            <w:r>
              <w:rPr>
                <w:rFonts w:eastAsiaTheme="minorEastAsia"/>
                <w:color w:val="000000" w:themeColor="text1"/>
                <w:szCs w:val="21"/>
              </w:rPr>
              <w:t>0.07%</w:t>
            </w:r>
          </w:p>
        </w:tc>
        <w:tc>
          <w:tcPr>
            <w:tcW w:w="1291" w:type="dxa"/>
            <w:vAlign w:val="center"/>
          </w:tcPr>
          <w:p w:rsidR="005A19FC" w:rsidRDefault="002C36D7">
            <w:pPr>
              <w:jc w:val="right"/>
            </w:pPr>
            <w:r>
              <w:rPr>
                <w:rFonts w:eastAsiaTheme="minorEastAsia"/>
                <w:color w:val="000000" w:themeColor="text1"/>
                <w:szCs w:val="21"/>
              </w:rPr>
              <w:t>16.84%</w:t>
            </w:r>
          </w:p>
        </w:tc>
        <w:tc>
          <w:tcPr>
            <w:tcW w:w="1291" w:type="dxa"/>
            <w:vAlign w:val="center"/>
          </w:tcPr>
          <w:p w:rsidR="005A19FC" w:rsidRDefault="002C36D7">
            <w:pPr>
              <w:jc w:val="right"/>
            </w:pPr>
            <w:r>
              <w:rPr>
                <w:rFonts w:eastAsiaTheme="minorEastAsia"/>
                <w:color w:val="000000" w:themeColor="text1"/>
                <w:szCs w:val="21"/>
              </w:rPr>
              <w:t>0.07%</w:t>
            </w:r>
          </w:p>
        </w:tc>
        <w:tc>
          <w:tcPr>
            <w:tcW w:w="1291" w:type="dxa"/>
            <w:vAlign w:val="center"/>
          </w:tcPr>
          <w:p w:rsidR="005A19FC" w:rsidRDefault="002C36D7">
            <w:pPr>
              <w:jc w:val="right"/>
            </w:pPr>
            <w:r>
              <w:rPr>
                <w:rFonts w:eastAsiaTheme="minorEastAsia"/>
                <w:color w:val="000000" w:themeColor="text1"/>
                <w:szCs w:val="21"/>
              </w:rPr>
              <w:t>-6.22%</w:t>
            </w:r>
          </w:p>
        </w:tc>
        <w:tc>
          <w:tcPr>
            <w:tcW w:w="1291" w:type="dxa"/>
            <w:vAlign w:val="center"/>
          </w:tcPr>
          <w:p w:rsidR="005A19FC" w:rsidRDefault="002C36D7">
            <w:pPr>
              <w:jc w:val="right"/>
            </w:pPr>
            <w:r>
              <w:rPr>
                <w:rFonts w:eastAsiaTheme="minorEastAsia"/>
                <w:color w:val="000000" w:themeColor="text1"/>
                <w:szCs w:val="21"/>
              </w:rPr>
              <w:t>0.00%</w:t>
            </w:r>
          </w:p>
        </w:tc>
      </w:tr>
      <w:tr w:rsidR="005A19FC">
        <w:tc>
          <w:tcPr>
            <w:tcW w:w="1290" w:type="dxa"/>
            <w:vAlign w:val="center"/>
          </w:tcPr>
          <w:p w:rsidR="005A19FC" w:rsidRDefault="002C36D7">
            <w:pPr>
              <w:jc w:val="left"/>
            </w:pPr>
            <w:r>
              <w:rPr>
                <w:rFonts w:eastAsiaTheme="minorEastAsia"/>
                <w:color w:val="000000" w:themeColor="text1"/>
                <w:szCs w:val="21"/>
              </w:rPr>
              <w:t>过去五年</w:t>
            </w:r>
          </w:p>
        </w:tc>
        <w:tc>
          <w:tcPr>
            <w:tcW w:w="1291" w:type="dxa"/>
            <w:vAlign w:val="center"/>
          </w:tcPr>
          <w:p w:rsidR="005A19FC" w:rsidRDefault="002C36D7">
            <w:pPr>
              <w:jc w:val="right"/>
            </w:pPr>
            <w:r>
              <w:rPr>
                <w:rFonts w:eastAsiaTheme="minorEastAsia"/>
                <w:color w:val="000000" w:themeColor="text1"/>
                <w:szCs w:val="21"/>
              </w:rPr>
              <w:t>16.69%</w:t>
            </w:r>
          </w:p>
        </w:tc>
        <w:tc>
          <w:tcPr>
            <w:tcW w:w="1291" w:type="dxa"/>
            <w:vAlign w:val="center"/>
          </w:tcPr>
          <w:p w:rsidR="005A19FC" w:rsidRDefault="002C36D7">
            <w:pPr>
              <w:jc w:val="right"/>
            </w:pPr>
            <w:r>
              <w:rPr>
                <w:rFonts w:eastAsiaTheme="minorEastAsia"/>
                <w:color w:val="000000" w:themeColor="text1"/>
                <w:szCs w:val="21"/>
              </w:rPr>
              <w:t>0.07%</w:t>
            </w:r>
          </w:p>
        </w:tc>
        <w:tc>
          <w:tcPr>
            <w:tcW w:w="1291" w:type="dxa"/>
            <w:vAlign w:val="center"/>
          </w:tcPr>
          <w:p w:rsidR="005A19FC" w:rsidRDefault="002C36D7">
            <w:pPr>
              <w:jc w:val="right"/>
            </w:pPr>
            <w:r>
              <w:rPr>
                <w:rFonts w:eastAsiaTheme="minorEastAsia"/>
                <w:color w:val="000000" w:themeColor="text1"/>
                <w:szCs w:val="21"/>
              </w:rPr>
              <w:t>26.60%</w:t>
            </w:r>
          </w:p>
        </w:tc>
        <w:tc>
          <w:tcPr>
            <w:tcW w:w="1291" w:type="dxa"/>
            <w:vAlign w:val="center"/>
          </w:tcPr>
          <w:p w:rsidR="005A19FC" w:rsidRDefault="002C36D7">
            <w:pPr>
              <w:jc w:val="right"/>
            </w:pPr>
            <w:r>
              <w:rPr>
                <w:rFonts w:eastAsiaTheme="minorEastAsia"/>
                <w:color w:val="000000" w:themeColor="text1"/>
                <w:szCs w:val="21"/>
              </w:rPr>
              <w:t>0.07%</w:t>
            </w:r>
          </w:p>
        </w:tc>
        <w:tc>
          <w:tcPr>
            <w:tcW w:w="1291" w:type="dxa"/>
            <w:vAlign w:val="center"/>
          </w:tcPr>
          <w:p w:rsidR="005A19FC" w:rsidRDefault="002C36D7">
            <w:pPr>
              <w:jc w:val="right"/>
            </w:pPr>
            <w:r>
              <w:rPr>
                <w:rFonts w:eastAsiaTheme="minorEastAsia"/>
                <w:color w:val="000000" w:themeColor="text1"/>
                <w:szCs w:val="21"/>
              </w:rPr>
              <w:t>-9.91%</w:t>
            </w:r>
          </w:p>
        </w:tc>
        <w:tc>
          <w:tcPr>
            <w:tcW w:w="1291" w:type="dxa"/>
            <w:vAlign w:val="center"/>
          </w:tcPr>
          <w:p w:rsidR="005A19FC" w:rsidRDefault="002C36D7">
            <w:pPr>
              <w:jc w:val="right"/>
            </w:pPr>
            <w:r>
              <w:rPr>
                <w:rFonts w:eastAsiaTheme="minorEastAsia"/>
                <w:color w:val="000000" w:themeColor="text1"/>
                <w:szCs w:val="21"/>
              </w:rPr>
              <w:t>0.00%</w:t>
            </w:r>
          </w:p>
        </w:tc>
      </w:tr>
      <w:tr w:rsidR="005A19FC">
        <w:tc>
          <w:tcPr>
            <w:tcW w:w="1290" w:type="dxa"/>
            <w:vAlign w:val="center"/>
          </w:tcPr>
          <w:p w:rsidR="005A19FC" w:rsidRDefault="002C36D7">
            <w:pPr>
              <w:jc w:val="left"/>
            </w:pPr>
            <w:r>
              <w:rPr>
                <w:rFonts w:eastAsiaTheme="minorEastAsia"/>
                <w:color w:val="000000" w:themeColor="text1"/>
                <w:szCs w:val="21"/>
              </w:rPr>
              <w:t>自基金合同生效起至今</w:t>
            </w:r>
          </w:p>
        </w:tc>
        <w:tc>
          <w:tcPr>
            <w:tcW w:w="1291" w:type="dxa"/>
            <w:vAlign w:val="center"/>
          </w:tcPr>
          <w:p w:rsidR="005A19FC" w:rsidRDefault="002C36D7">
            <w:pPr>
              <w:jc w:val="right"/>
            </w:pPr>
            <w:r>
              <w:rPr>
                <w:rFonts w:eastAsiaTheme="minorEastAsia"/>
                <w:color w:val="000000" w:themeColor="text1"/>
                <w:szCs w:val="21"/>
              </w:rPr>
              <w:t>28.79%</w:t>
            </w:r>
          </w:p>
        </w:tc>
        <w:tc>
          <w:tcPr>
            <w:tcW w:w="1291" w:type="dxa"/>
            <w:vAlign w:val="center"/>
          </w:tcPr>
          <w:p w:rsidR="005A19FC" w:rsidRDefault="002C36D7">
            <w:pPr>
              <w:jc w:val="right"/>
            </w:pPr>
            <w:r>
              <w:rPr>
                <w:rFonts w:eastAsiaTheme="minorEastAsia"/>
                <w:color w:val="000000" w:themeColor="text1"/>
                <w:szCs w:val="21"/>
              </w:rPr>
              <w:t>0.06%</w:t>
            </w:r>
          </w:p>
        </w:tc>
        <w:tc>
          <w:tcPr>
            <w:tcW w:w="1291" w:type="dxa"/>
            <w:vAlign w:val="center"/>
          </w:tcPr>
          <w:p w:rsidR="005A19FC" w:rsidRDefault="002C36D7">
            <w:pPr>
              <w:jc w:val="right"/>
            </w:pPr>
            <w:r>
              <w:rPr>
                <w:rFonts w:eastAsiaTheme="minorEastAsia"/>
                <w:color w:val="000000" w:themeColor="text1"/>
                <w:szCs w:val="21"/>
              </w:rPr>
              <w:t>43.68%</w:t>
            </w:r>
          </w:p>
        </w:tc>
        <w:tc>
          <w:tcPr>
            <w:tcW w:w="1291" w:type="dxa"/>
            <w:vAlign w:val="center"/>
          </w:tcPr>
          <w:p w:rsidR="005A19FC" w:rsidRDefault="002C36D7">
            <w:pPr>
              <w:jc w:val="right"/>
            </w:pPr>
            <w:r>
              <w:rPr>
                <w:rFonts w:eastAsiaTheme="minorEastAsia"/>
                <w:color w:val="000000" w:themeColor="text1"/>
                <w:szCs w:val="21"/>
              </w:rPr>
              <w:t>0.06%</w:t>
            </w:r>
          </w:p>
        </w:tc>
        <w:tc>
          <w:tcPr>
            <w:tcW w:w="1291" w:type="dxa"/>
            <w:vAlign w:val="center"/>
          </w:tcPr>
          <w:p w:rsidR="005A19FC" w:rsidRDefault="002C36D7">
            <w:pPr>
              <w:jc w:val="right"/>
            </w:pPr>
            <w:r>
              <w:rPr>
                <w:rFonts w:eastAsiaTheme="minorEastAsia"/>
                <w:color w:val="000000" w:themeColor="text1"/>
                <w:szCs w:val="21"/>
              </w:rPr>
              <w:t>-14.89%</w:t>
            </w:r>
          </w:p>
        </w:tc>
        <w:tc>
          <w:tcPr>
            <w:tcW w:w="1291" w:type="dxa"/>
            <w:vAlign w:val="center"/>
          </w:tcPr>
          <w:p w:rsidR="005A19FC" w:rsidRDefault="002C36D7">
            <w:pPr>
              <w:jc w:val="right"/>
            </w:pPr>
            <w:r>
              <w:rPr>
                <w:rFonts w:eastAsiaTheme="minorEastAsia"/>
                <w:color w:val="000000" w:themeColor="text1"/>
                <w:szCs w:val="21"/>
              </w:rPr>
              <w:t>0.00%</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摩根丰瑞债券</w:t>
      </w:r>
      <w:r w:rsidRPr="0073597F">
        <w:rPr>
          <w:rFonts w:eastAsiaTheme="minorEastAsia"/>
          <w:b/>
          <w:color w:val="000000" w:themeColor="text1"/>
          <w:kern w:val="0"/>
          <w:szCs w:val="21"/>
        </w:rPr>
        <w:t>C</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5A19FC">
        <w:tc>
          <w:tcPr>
            <w:tcW w:w="1290" w:type="dxa"/>
            <w:vAlign w:val="center"/>
          </w:tcPr>
          <w:p w:rsidR="005A19FC" w:rsidRDefault="002C36D7">
            <w:pPr>
              <w:jc w:val="left"/>
            </w:pPr>
            <w:r>
              <w:rPr>
                <w:rFonts w:eastAsiaTheme="minorEastAsia"/>
                <w:color w:val="000000" w:themeColor="text1"/>
                <w:szCs w:val="21"/>
              </w:rPr>
              <w:t>过去三个月</w:t>
            </w:r>
          </w:p>
        </w:tc>
        <w:tc>
          <w:tcPr>
            <w:tcW w:w="1291" w:type="dxa"/>
            <w:vAlign w:val="center"/>
          </w:tcPr>
          <w:p w:rsidR="005A19FC" w:rsidRDefault="002C36D7">
            <w:pPr>
              <w:jc w:val="right"/>
            </w:pPr>
            <w:r>
              <w:rPr>
                <w:rFonts w:eastAsiaTheme="minorEastAsia"/>
                <w:color w:val="000000" w:themeColor="text1"/>
                <w:szCs w:val="21"/>
              </w:rPr>
              <w:t>2.29%</w:t>
            </w:r>
          </w:p>
        </w:tc>
        <w:tc>
          <w:tcPr>
            <w:tcW w:w="1291" w:type="dxa"/>
            <w:vAlign w:val="center"/>
          </w:tcPr>
          <w:p w:rsidR="005A19FC" w:rsidRDefault="002C36D7">
            <w:pPr>
              <w:jc w:val="right"/>
            </w:pPr>
            <w:r>
              <w:rPr>
                <w:rFonts w:eastAsiaTheme="minorEastAsia"/>
                <w:color w:val="000000" w:themeColor="text1"/>
                <w:szCs w:val="21"/>
              </w:rPr>
              <w:t>0.09%</w:t>
            </w:r>
          </w:p>
        </w:tc>
        <w:tc>
          <w:tcPr>
            <w:tcW w:w="1291" w:type="dxa"/>
            <w:vAlign w:val="center"/>
          </w:tcPr>
          <w:p w:rsidR="005A19FC" w:rsidRDefault="002C36D7">
            <w:pPr>
              <w:jc w:val="right"/>
            </w:pPr>
            <w:r>
              <w:rPr>
                <w:rFonts w:eastAsiaTheme="minorEastAsia"/>
                <w:color w:val="000000" w:themeColor="text1"/>
                <w:szCs w:val="21"/>
              </w:rPr>
              <w:t>2.71%</w:t>
            </w:r>
          </w:p>
        </w:tc>
        <w:tc>
          <w:tcPr>
            <w:tcW w:w="1291" w:type="dxa"/>
            <w:vAlign w:val="center"/>
          </w:tcPr>
          <w:p w:rsidR="005A19FC" w:rsidRDefault="002C36D7">
            <w:pPr>
              <w:jc w:val="right"/>
            </w:pPr>
            <w:r>
              <w:rPr>
                <w:rFonts w:eastAsiaTheme="minorEastAsia"/>
                <w:color w:val="000000" w:themeColor="text1"/>
                <w:szCs w:val="21"/>
              </w:rPr>
              <w:t>0.10%</w:t>
            </w:r>
          </w:p>
        </w:tc>
        <w:tc>
          <w:tcPr>
            <w:tcW w:w="1291" w:type="dxa"/>
            <w:vAlign w:val="center"/>
          </w:tcPr>
          <w:p w:rsidR="005A19FC" w:rsidRDefault="002C36D7">
            <w:pPr>
              <w:jc w:val="right"/>
            </w:pPr>
            <w:r>
              <w:rPr>
                <w:rFonts w:eastAsiaTheme="minorEastAsia"/>
                <w:color w:val="000000" w:themeColor="text1"/>
                <w:szCs w:val="21"/>
              </w:rPr>
              <w:t>-0.42%</w:t>
            </w:r>
          </w:p>
        </w:tc>
        <w:tc>
          <w:tcPr>
            <w:tcW w:w="1291" w:type="dxa"/>
            <w:vAlign w:val="center"/>
          </w:tcPr>
          <w:p w:rsidR="005A19FC" w:rsidRDefault="002C36D7">
            <w:pPr>
              <w:jc w:val="right"/>
            </w:pPr>
            <w:r>
              <w:rPr>
                <w:rFonts w:eastAsiaTheme="minorEastAsia"/>
                <w:color w:val="000000" w:themeColor="text1"/>
                <w:szCs w:val="21"/>
              </w:rPr>
              <w:t>-0.01%</w:t>
            </w:r>
          </w:p>
        </w:tc>
      </w:tr>
      <w:tr w:rsidR="005A19FC">
        <w:tc>
          <w:tcPr>
            <w:tcW w:w="1290" w:type="dxa"/>
            <w:vAlign w:val="center"/>
          </w:tcPr>
          <w:p w:rsidR="005A19FC" w:rsidRDefault="002C36D7">
            <w:pPr>
              <w:jc w:val="left"/>
            </w:pPr>
            <w:r>
              <w:rPr>
                <w:rFonts w:eastAsiaTheme="minorEastAsia"/>
                <w:color w:val="000000" w:themeColor="text1"/>
                <w:szCs w:val="21"/>
              </w:rPr>
              <w:t>过去六个月</w:t>
            </w:r>
          </w:p>
        </w:tc>
        <w:tc>
          <w:tcPr>
            <w:tcW w:w="1291" w:type="dxa"/>
            <w:vAlign w:val="center"/>
          </w:tcPr>
          <w:p w:rsidR="005A19FC" w:rsidRDefault="002C36D7">
            <w:pPr>
              <w:jc w:val="right"/>
            </w:pPr>
            <w:r>
              <w:rPr>
                <w:rFonts w:eastAsiaTheme="minorEastAsia"/>
                <w:color w:val="000000" w:themeColor="text1"/>
                <w:szCs w:val="21"/>
              </w:rPr>
              <w:t>2.78%</w:t>
            </w:r>
          </w:p>
        </w:tc>
        <w:tc>
          <w:tcPr>
            <w:tcW w:w="1291" w:type="dxa"/>
            <w:vAlign w:val="center"/>
          </w:tcPr>
          <w:p w:rsidR="005A19FC" w:rsidRDefault="002C36D7">
            <w:pPr>
              <w:jc w:val="right"/>
            </w:pPr>
            <w:r>
              <w:rPr>
                <w:rFonts w:eastAsiaTheme="minorEastAsia"/>
                <w:color w:val="000000" w:themeColor="text1"/>
                <w:szCs w:val="21"/>
              </w:rPr>
              <w:t>0.10%</w:t>
            </w:r>
          </w:p>
        </w:tc>
        <w:tc>
          <w:tcPr>
            <w:tcW w:w="1291" w:type="dxa"/>
            <w:vAlign w:val="center"/>
          </w:tcPr>
          <w:p w:rsidR="005A19FC" w:rsidRDefault="002C36D7">
            <w:pPr>
              <w:jc w:val="right"/>
            </w:pPr>
            <w:r>
              <w:rPr>
                <w:rFonts w:eastAsiaTheme="minorEastAsia"/>
                <w:color w:val="000000" w:themeColor="text1"/>
                <w:szCs w:val="21"/>
              </w:rPr>
              <w:t>3.87%</w:t>
            </w:r>
          </w:p>
        </w:tc>
        <w:tc>
          <w:tcPr>
            <w:tcW w:w="1291" w:type="dxa"/>
            <w:vAlign w:val="center"/>
          </w:tcPr>
          <w:p w:rsidR="005A19FC" w:rsidRDefault="002C36D7">
            <w:pPr>
              <w:jc w:val="right"/>
            </w:pPr>
            <w:r>
              <w:rPr>
                <w:rFonts w:eastAsiaTheme="minorEastAsia"/>
                <w:color w:val="000000" w:themeColor="text1"/>
                <w:szCs w:val="21"/>
              </w:rPr>
              <w:t>0.11%</w:t>
            </w:r>
          </w:p>
        </w:tc>
        <w:tc>
          <w:tcPr>
            <w:tcW w:w="1291" w:type="dxa"/>
            <w:vAlign w:val="center"/>
          </w:tcPr>
          <w:p w:rsidR="005A19FC" w:rsidRDefault="002C36D7">
            <w:pPr>
              <w:jc w:val="right"/>
            </w:pPr>
            <w:r>
              <w:rPr>
                <w:rFonts w:eastAsiaTheme="minorEastAsia"/>
                <w:color w:val="000000" w:themeColor="text1"/>
                <w:szCs w:val="21"/>
              </w:rPr>
              <w:t>-1.09%</w:t>
            </w:r>
          </w:p>
        </w:tc>
        <w:tc>
          <w:tcPr>
            <w:tcW w:w="1291" w:type="dxa"/>
            <w:vAlign w:val="center"/>
          </w:tcPr>
          <w:p w:rsidR="005A19FC" w:rsidRDefault="002C36D7">
            <w:pPr>
              <w:jc w:val="right"/>
            </w:pPr>
            <w:r>
              <w:rPr>
                <w:rFonts w:eastAsiaTheme="minorEastAsia"/>
                <w:color w:val="000000" w:themeColor="text1"/>
                <w:szCs w:val="21"/>
              </w:rPr>
              <w:t>-0.01%</w:t>
            </w:r>
          </w:p>
        </w:tc>
      </w:tr>
      <w:tr w:rsidR="005A19FC">
        <w:tc>
          <w:tcPr>
            <w:tcW w:w="1290" w:type="dxa"/>
            <w:vAlign w:val="center"/>
          </w:tcPr>
          <w:p w:rsidR="005A19FC" w:rsidRDefault="002C36D7">
            <w:pPr>
              <w:jc w:val="left"/>
            </w:pPr>
            <w:r>
              <w:rPr>
                <w:rFonts w:eastAsiaTheme="minorEastAsia"/>
                <w:color w:val="000000" w:themeColor="text1"/>
                <w:szCs w:val="21"/>
              </w:rPr>
              <w:t>过去一年</w:t>
            </w:r>
          </w:p>
        </w:tc>
        <w:tc>
          <w:tcPr>
            <w:tcW w:w="1291" w:type="dxa"/>
            <w:vAlign w:val="center"/>
          </w:tcPr>
          <w:p w:rsidR="005A19FC" w:rsidRDefault="002C36D7">
            <w:pPr>
              <w:jc w:val="right"/>
            </w:pPr>
            <w:r>
              <w:rPr>
                <w:rFonts w:eastAsiaTheme="minorEastAsia"/>
                <w:color w:val="000000" w:themeColor="text1"/>
                <w:szCs w:val="21"/>
              </w:rPr>
              <w:t>5.28%</w:t>
            </w:r>
          </w:p>
        </w:tc>
        <w:tc>
          <w:tcPr>
            <w:tcW w:w="1291" w:type="dxa"/>
            <w:vAlign w:val="center"/>
          </w:tcPr>
          <w:p w:rsidR="005A19FC" w:rsidRDefault="002C36D7">
            <w:pPr>
              <w:jc w:val="right"/>
            </w:pPr>
            <w:r>
              <w:rPr>
                <w:rFonts w:eastAsiaTheme="minorEastAsia"/>
                <w:color w:val="000000" w:themeColor="text1"/>
                <w:szCs w:val="21"/>
              </w:rPr>
              <w:t>0.08%</w:t>
            </w:r>
          </w:p>
        </w:tc>
        <w:tc>
          <w:tcPr>
            <w:tcW w:w="1291" w:type="dxa"/>
            <w:vAlign w:val="center"/>
          </w:tcPr>
          <w:p w:rsidR="005A19FC" w:rsidRDefault="002C36D7">
            <w:pPr>
              <w:jc w:val="right"/>
            </w:pPr>
            <w:r>
              <w:rPr>
                <w:rFonts w:eastAsiaTheme="minorEastAsia"/>
                <w:color w:val="000000" w:themeColor="text1"/>
                <w:szCs w:val="21"/>
              </w:rPr>
              <w:t>7.89%</w:t>
            </w:r>
          </w:p>
        </w:tc>
        <w:tc>
          <w:tcPr>
            <w:tcW w:w="1291" w:type="dxa"/>
            <w:vAlign w:val="center"/>
          </w:tcPr>
          <w:p w:rsidR="005A19FC" w:rsidRDefault="002C36D7">
            <w:pPr>
              <w:jc w:val="right"/>
            </w:pPr>
            <w:r>
              <w:rPr>
                <w:rFonts w:eastAsiaTheme="minorEastAsia"/>
                <w:color w:val="000000" w:themeColor="text1"/>
                <w:szCs w:val="21"/>
              </w:rPr>
              <w:t>0.09%</w:t>
            </w:r>
          </w:p>
        </w:tc>
        <w:tc>
          <w:tcPr>
            <w:tcW w:w="1291" w:type="dxa"/>
            <w:vAlign w:val="center"/>
          </w:tcPr>
          <w:p w:rsidR="005A19FC" w:rsidRDefault="002C36D7">
            <w:pPr>
              <w:jc w:val="right"/>
            </w:pPr>
            <w:r>
              <w:rPr>
                <w:rFonts w:eastAsiaTheme="minorEastAsia"/>
                <w:color w:val="000000" w:themeColor="text1"/>
                <w:szCs w:val="21"/>
              </w:rPr>
              <w:t>-2.61%</w:t>
            </w:r>
          </w:p>
        </w:tc>
        <w:tc>
          <w:tcPr>
            <w:tcW w:w="1291" w:type="dxa"/>
            <w:vAlign w:val="center"/>
          </w:tcPr>
          <w:p w:rsidR="005A19FC" w:rsidRDefault="002C36D7">
            <w:pPr>
              <w:jc w:val="right"/>
            </w:pPr>
            <w:r>
              <w:rPr>
                <w:rFonts w:eastAsiaTheme="minorEastAsia"/>
                <w:color w:val="000000" w:themeColor="text1"/>
                <w:szCs w:val="21"/>
              </w:rPr>
              <w:t>-0.01%</w:t>
            </w:r>
          </w:p>
        </w:tc>
      </w:tr>
      <w:tr w:rsidR="005A19FC">
        <w:tc>
          <w:tcPr>
            <w:tcW w:w="1290" w:type="dxa"/>
            <w:vAlign w:val="center"/>
          </w:tcPr>
          <w:p w:rsidR="005A19FC" w:rsidRDefault="002C36D7">
            <w:pPr>
              <w:jc w:val="left"/>
            </w:pPr>
            <w:r>
              <w:rPr>
                <w:rFonts w:eastAsiaTheme="minorEastAsia"/>
                <w:color w:val="000000" w:themeColor="text1"/>
                <w:szCs w:val="21"/>
              </w:rPr>
              <w:t>过去三年</w:t>
            </w:r>
          </w:p>
        </w:tc>
        <w:tc>
          <w:tcPr>
            <w:tcW w:w="1291" w:type="dxa"/>
            <w:vAlign w:val="center"/>
          </w:tcPr>
          <w:p w:rsidR="005A19FC" w:rsidRDefault="002C36D7">
            <w:pPr>
              <w:jc w:val="right"/>
            </w:pPr>
            <w:r>
              <w:rPr>
                <w:rFonts w:eastAsiaTheme="minorEastAsia"/>
                <w:color w:val="000000" w:themeColor="text1"/>
                <w:szCs w:val="21"/>
              </w:rPr>
              <w:t>10.30%</w:t>
            </w:r>
          </w:p>
        </w:tc>
        <w:tc>
          <w:tcPr>
            <w:tcW w:w="1291" w:type="dxa"/>
            <w:vAlign w:val="center"/>
          </w:tcPr>
          <w:p w:rsidR="005A19FC" w:rsidRDefault="002C36D7">
            <w:pPr>
              <w:jc w:val="right"/>
            </w:pPr>
            <w:r>
              <w:rPr>
                <w:rFonts w:eastAsiaTheme="minorEastAsia"/>
                <w:color w:val="000000" w:themeColor="text1"/>
                <w:szCs w:val="21"/>
              </w:rPr>
              <w:t>0.06%</w:t>
            </w:r>
          </w:p>
        </w:tc>
        <w:tc>
          <w:tcPr>
            <w:tcW w:w="1291" w:type="dxa"/>
            <w:vAlign w:val="center"/>
          </w:tcPr>
          <w:p w:rsidR="005A19FC" w:rsidRDefault="002C36D7">
            <w:pPr>
              <w:jc w:val="right"/>
            </w:pPr>
            <w:r>
              <w:rPr>
                <w:rFonts w:eastAsiaTheme="minorEastAsia"/>
                <w:color w:val="000000" w:themeColor="text1"/>
                <w:szCs w:val="21"/>
              </w:rPr>
              <w:t>16.84%</w:t>
            </w:r>
          </w:p>
        </w:tc>
        <w:tc>
          <w:tcPr>
            <w:tcW w:w="1291" w:type="dxa"/>
            <w:vAlign w:val="center"/>
          </w:tcPr>
          <w:p w:rsidR="005A19FC" w:rsidRDefault="002C36D7">
            <w:pPr>
              <w:jc w:val="right"/>
            </w:pPr>
            <w:r>
              <w:rPr>
                <w:rFonts w:eastAsiaTheme="minorEastAsia"/>
                <w:color w:val="000000" w:themeColor="text1"/>
                <w:szCs w:val="21"/>
              </w:rPr>
              <w:t>0.07%</w:t>
            </w:r>
          </w:p>
        </w:tc>
        <w:tc>
          <w:tcPr>
            <w:tcW w:w="1291" w:type="dxa"/>
            <w:vAlign w:val="center"/>
          </w:tcPr>
          <w:p w:rsidR="005A19FC" w:rsidRDefault="002C36D7">
            <w:pPr>
              <w:jc w:val="right"/>
            </w:pPr>
            <w:r>
              <w:rPr>
                <w:rFonts w:eastAsiaTheme="minorEastAsia"/>
                <w:color w:val="000000" w:themeColor="text1"/>
                <w:szCs w:val="21"/>
              </w:rPr>
              <w:t>-6.54%</w:t>
            </w:r>
          </w:p>
        </w:tc>
        <w:tc>
          <w:tcPr>
            <w:tcW w:w="1291" w:type="dxa"/>
            <w:vAlign w:val="center"/>
          </w:tcPr>
          <w:p w:rsidR="005A19FC" w:rsidRDefault="002C36D7">
            <w:pPr>
              <w:jc w:val="right"/>
            </w:pPr>
            <w:r>
              <w:rPr>
                <w:rFonts w:eastAsiaTheme="minorEastAsia"/>
                <w:color w:val="000000" w:themeColor="text1"/>
                <w:szCs w:val="21"/>
              </w:rPr>
              <w:t>-0.01%</w:t>
            </w:r>
          </w:p>
        </w:tc>
      </w:tr>
      <w:tr w:rsidR="005A19FC">
        <w:tc>
          <w:tcPr>
            <w:tcW w:w="1290" w:type="dxa"/>
            <w:vAlign w:val="center"/>
          </w:tcPr>
          <w:p w:rsidR="005A19FC" w:rsidRDefault="002C36D7">
            <w:pPr>
              <w:jc w:val="left"/>
            </w:pPr>
            <w:r>
              <w:rPr>
                <w:rFonts w:eastAsiaTheme="minorEastAsia"/>
                <w:color w:val="000000" w:themeColor="text1"/>
                <w:szCs w:val="21"/>
              </w:rPr>
              <w:t>过去五年</w:t>
            </w:r>
          </w:p>
        </w:tc>
        <w:tc>
          <w:tcPr>
            <w:tcW w:w="1291" w:type="dxa"/>
            <w:vAlign w:val="center"/>
          </w:tcPr>
          <w:p w:rsidR="005A19FC" w:rsidRDefault="002C36D7">
            <w:pPr>
              <w:jc w:val="right"/>
            </w:pPr>
            <w:r>
              <w:rPr>
                <w:rFonts w:eastAsiaTheme="minorEastAsia"/>
                <w:color w:val="000000" w:themeColor="text1"/>
                <w:szCs w:val="21"/>
              </w:rPr>
              <w:t>16.14%</w:t>
            </w:r>
          </w:p>
        </w:tc>
        <w:tc>
          <w:tcPr>
            <w:tcW w:w="1291" w:type="dxa"/>
            <w:vAlign w:val="center"/>
          </w:tcPr>
          <w:p w:rsidR="005A19FC" w:rsidRDefault="002C36D7">
            <w:pPr>
              <w:jc w:val="right"/>
            </w:pPr>
            <w:r>
              <w:rPr>
                <w:rFonts w:eastAsiaTheme="minorEastAsia"/>
                <w:color w:val="000000" w:themeColor="text1"/>
                <w:szCs w:val="21"/>
              </w:rPr>
              <w:t>0.07%</w:t>
            </w:r>
          </w:p>
        </w:tc>
        <w:tc>
          <w:tcPr>
            <w:tcW w:w="1291" w:type="dxa"/>
            <w:vAlign w:val="center"/>
          </w:tcPr>
          <w:p w:rsidR="005A19FC" w:rsidRDefault="002C36D7">
            <w:pPr>
              <w:jc w:val="right"/>
            </w:pPr>
            <w:r>
              <w:rPr>
                <w:rFonts w:eastAsiaTheme="minorEastAsia"/>
                <w:color w:val="000000" w:themeColor="text1"/>
                <w:szCs w:val="21"/>
              </w:rPr>
              <w:t>26.60%</w:t>
            </w:r>
          </w:p>
        </w:tc>
        <w:tc>
          <w:tcPr>
            <w:tcW w:w="1291" w:type="dxa"/>
            <w:vAlign w:val="center"/>
          </w:tcPr>
          <w:p w:rsidR="005A19FC" w:rsidRDefault="002C36D7">
            <w:pPr>
              <w:jc w:val="right"/>
            </w:pPr>
            <w:r>
              <w:rPr>
                <w:rFonts w:eastAsiaTheme="minorEastAsia"/>
                <w:color w:val="000000" w:themeColor="text1"/>
                <w:szCs w:val="21"/>
              </w:rPr>
              <w:t>0.07%</w:t>
            </w:r>
          </w:p>
        </w:tc>
        <w:tc>
          <w:tcPr>
            <w:tcW w:w="1291" w:type="dxa"/>
            <w:vAlign w:val="center"/>
          </w:tcPr>
          <w:p w:rsidR="005A19FC" w:rsidRDefault="002C36D7">
            <w:pPr>
              <w:jc w:val="right"/>
            </w:pPr>
            <w:r>
              <w:rPr>
                <w:rFonts w:eastAsiaTheme="minorEastAsia"/>
                <w:color w:val="000000" w:themeColor="text1"/>
                <w:szCs w:val="21"/>
              </w:rPr>
              <w:t>-10.46%</w:t>
            </w:r>
          </w:p>
        </w:tc>
        <w:tc>
          <w:tcPr>
            <w:tcW w:w="1291" w:type="dxa"/>
            <w:vAlign w:val="center"/>
          </w:tcPr>
          <w:p w:rsidR="005A19FC" w:rsidRDefault="002C36D7">
            <w:pPr>
              <w:jc w:val="right"/>
            </w:pPr>
            <w:r>
              <w:rPr>
                <w:rFonts w:eastAsiaTheme="minorEastAsia"/>
                <w:color w:val="000000" w:themeColor="text1"/>
                <w:szCs w:val="21"/>
              </w:rPr>
              <w:t>0.00%</w:t>
            </w:r>
          </w:p>
        </w:tc>
      </w:tr>
      <w:tr w:rsidR="005A19FC">
        <w:tc>
          <w:tcPr>
            <w:tcW w:w="1290" w:type="dxa"/>
            <w:vAlign w:val="center"/>
          </w:tcPr>
          <w:p w:rsidR="005A19FC" w:rsidRDefault="002C36D7">
            <w:pPr>
              <w:jc w:val="left"/>
            </w:pPr>
            <w:r>
              <w:rPr>
                <w:rFonts w:eastAsiaTheme="minorEastAsia"/>
                <w:color w:val="000000" w:themeColor="text1"/>
                <w:szCs w:val="21"/>
              </w:rPr>
              <w:t>自基金合同生效起至今</w:t>
            </w:r>
          </w:p>
        </w:tc>
        <w:tc>
          <w:tcPr>
            <w:tcW w:w="1291" w:type="dxa"/>
            <w:vAlign w:val="center"/>
          </w:tcPr>
          <w:p w:rsidR="005A19FC" w:rsidRDefault="002C36D7">
            <w:pPr>
              <w:jc w:val="right"/>
            </w:pPr>
            <w:r>
              <w:rPr>
                <w:rFonts w:eastAsiaTheme="minorEastAsia"/>
                <w:color w:val="000000" w:themeColor="text1"/>
                <w:szCs w:val="21"/>
              </w:rPr>
              <w:t>28.47%</w:t>
            </w:r>
          </w:p>
        </w:tc>
        <w:tc>
          <w:tcPr>
            <w:tcW w:w="1291" w:type="dxa"/>
            <w:vAlign w:val="center"/>
          </w:tcPr>
          <w:p w:rsidR="005A19FC" w:rsidRDefault="002C36D7">
            <w:pPr>
              <w:jc w:val="right"/>
            </w:pPr>
            <w:r>
              <w:rPr>
                <w:rFonts w:eastAsiaTheme="minorEastAsia"/>
                <w:color w:val="000000" w:themeColor="text1"/>
                <w:szCs w:val="21"/>
              </w:rPr>
              <w:t>0.06%</w:t>
            </w:r>
          </w:p>
        </w:tc>
        <w:tc>
          <w:tcPr>
            <w:tcW w:w="1291" w:type="dxa"/>
            <w:vAlign w:val="center"/>
          </w:tcPr>
          <w:p w:rsidR="005A19FC" w:rsidRDefault="002C36D7">
            <w:pPr>
              <w:jc w:val="right"/>
            </w:pPr>
            <w:r>
              <w:rPr>
                <w:rFonts w:eastAsiaTheme="minorEastAsia"/>
                <w:color w:val="000000" w:themeColor="text1"/>
                <w:szCs w:val="21"/>
              </w:rPr>
              <w:t>43.68%</w:t>
            </w:r>
          </w:p>
        </w:tc>
        <w:tc>
          <w:tcPr>
            <w:tcW w:w="1291" w:type="dxa"/>
            <w:vAlign w:val="center"/>
          </w:tcPr>
          <w:p w:rsidR="005A19FC" w:rsidRDefault="002C36D7">
            <w:pPr>
              <w:jc w:val="right"/>
            </w:pPr>
            <w:r>
              <w:rPr>
                <w:rFonts w:eastAsiaTheme="minorEastAsia"/>
                <w:color w:val="000000" w:themeColor="text1"/>
                <w:szCs w:val="21"/>
              </w:rPr>
              <w:t>0.06%</w:t>
            </w:r>
          </w:p>
        </w:tc>
        <w:tc>
          <w:tcPr>
            <w:tcW w:w="1291" w:type="dxa"/>
            <w:vAlign w:val="center"/>
          </w:tcPr>
          <w:p w:rsidR="005A19FC" w:rsidRDefault="002C36D7">
            <w:pPr>
              <w:jc w:val="right"/>
            </w:pPr>
            <w:r>
              <w:rPr>
                <w:rFonts w:eastAsiaTheme="minorEastAsia"/>
                <w:color w:val="000000" w:themeColor="text1"/>
                <w:szCs w:val="21"/>
              </w:rPr>
              <w:t>-15.21%</w:t>
            </w:r>
          </w:p>
        </w:tc>
        <w:tc>
          <w:tcPr>
            <w:tcW w:w="1291" w:type="dxa"/>
            <w:vAlign w:val="center"/>
          </w:tcPr>
          <w:p w:rsidR="005A19FC" w:rsidRDefault="002C36D7">
            <w:pPr>
              <w:jc w:val="right"/>
            </w:pPr>
            <w:r>
              <w:rPr>
                <w:rFonts w:eastAsiaTheme="minorEastAsia"/>
                <w:color w:val="000000" w:themeColor="text1"/>
                <w:szCs w:val="21"/>
              </w:rPr>
              <w:t>0.00%</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006F1F9D">
        <w:rPr>
          <w:rFonts w:eastAsiaTheme="minorEastAsia"/>
          <w:b/>
          <w:color w:val="000000" w:themeColor="text1"/>
          <w:kern w:val="0"/>
          <w:szCs w:val="21"/>
        </w:rPr>
        <w:t>摩根丰瑞债券</w:t>
      </w:r>
      <w:r w:rsidR="006F1F9D">
        <w:rPr>
          <w:rFonts w:eastAsiaTheme="minorEastAsia"/>
          <w:b/>
          <w:color w:val="000000" w:themeColor="text1"/>
          <w:kern w:val="0"/>
          <w:szCs w:val="21"/>
        </w:rPr>
        <w:t>D</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5A19FC">
        <w:tc>
          <w:tcPr>
            <w:tcW w:w="1290" w:type="dxa"/>
            <w:vAlign w:val="center"/>
          </w:tcPr>
          <w:p w:rsidR="005A19FC" w:rsidRDefault="002C36D7">
            <w:pPr>
              <w:jc w:val="left"/>
            </w:pPr>
            <w:r>
              <w:rPr>
                <w:rFonts w:eastAsiaTheme="minorEastAsia"/>
                <w:color w:val="000000" w:themeColor="text1"/>
                <w:szCs w:val="21"/>
              </w:rPr>
              <w:t>过去三个月</w:t>
            </w:r>
          </w:p>
        </w:tc>
        <w:tc>
          <w:tcPr>
            <w:tcW w:w="1291" w:type="dxa"/>
            <w:vAlign w:val="center"/>
          </w:tcPr>
          <w:p w:rsidR="005A19FC" w:rsidRDefault="002C36D7">
            <w:pPr>
              <w:jc w:val="right"/>
            </w:pPr>
            <w:r>
              <w:rPr>
                <w:rFonts w:eastAsiaTheme="minorEastAsia"/>
                <w:color w:val="000000" w:themeColor="text1"/>
                <w:szCs w:val="21"/>
              </w:rPr>
              <w:t>1.89%</w:t>
            </w:r>
          </w:p>
        </w:tc>
        <w:tc>
          <w:tcPr>
            <w:tcW w:w="1291" w:type="dxa"/>
            <w:vAlign w:val="center"/>
          </w:tcPr>
          <w:p w:rsidR="005A19FC" w:rsidRDefault="002C36D7">
            <w:pPr>
              <w:jc w:val="right"/>
            </w:pPr>
            <w:r>
              <w:rPr>
                <w:rFonts w:eastAsiaTheme="minorEastAsia"/>
                <w:color w:val="000000" w:themeColor="text1"/>
                <w:szCs w:val="21"/>
              </w:rPr>
              <w:t>0.10%</w:t>
            </w:r>
          </w:p>
        </w:tc>
        <w:tc>
          <w:tcPr>
            <w:tcW w:w="1291" w:type="dxa"/>
            <w:vAlign w:val="center"/>
          </w:tcPr>
          <w:p w:rsidR="005A19FC" w:rsidRDefault="002C36D7">
            <w:pPr>
              <w:jc w:val="right"/>
            </w:pPr>
            <w:r>
              <w:rPr>
                <w:rFonts w:eastAsiaTheme="minorEastAsia"/>
                <w:color w:val="000000" w:themeColor="text1"/>
                <w:szCs w:val="21"/>
              </w:rPr>
              <w:t>2.71%</w:t>
            </w:r>
          </w:p>
        </w:tc>
        <w:tc>
          <w:tcPr>
            <w:tcW w:w="1291" w:type="dxa"/>
            <w:vAlign w:val="center"/>
          </w:tcPr>
          <w:p w:rsidR="005A19FC" w:rsidRDefault="002C36D7">
            <w:pPr>
              <w:jc w:val="right"/>
            </w:pPr>
            <w:r>
              <w:rPr>
                <w:rFonts w:eastAsiaTheme="minorEastAsia"/>
                <w:color w:val="000000" w:themeColor="text1"/>
                <w:szCs w:val="21"/>
              </w:rPr>
              <w:t>0.10%</w:t>
            </w:r>
          </w:p>
        </w:tc>
        <w:tc>
          <w:tcPr>
            <w:tcW w:w="1291" w:type="dxa"/>
            <w:vAlign w:val="center"/>
          </w:tcPr>
          <w:p w:rsidR="005A19FC" w:rsidRDefault="002C36D7">
            <w:pPr>
              <w:jc w:val="right"/>
            </w:pPr>
            <w:r>
              <w:rPr>
                <w:rFonts w:eastAsiaTheme="minorEastAsia"/>
                <w:color w:val="000000" w:themeColor="text1"/>
                <w:szCs w:val="21"/>
              </w:rPr>
              <w:t>-0.82%</w:t>
            </w:r>
          </w:p>
        </w:tc>
        <w:tc>
          <w:tcPr>
            <w:tcW w:w="1291" w:type="dxa"/>
            <w:vAlign w:val="center"/>
          </w:tcPr>
          <w:p w:rsidR="005A19FC" w:rsidRDefault="002C36D7">
            <w:pPr>
              <w:jc w:val="right"/>
            </w:pPr>
            <w:r>
              <w:rPr>
                <w:rFonts w:eastAsiaTheme="minorEastAsia"/>
                <w:color w:val="000000" w:themeColor="text1"/>
                <w:szCs w:val="21"/>
              </w:rPr>
              <w:t>0.00%</w:t>
            </w:r>
          </w:p>
        </w:tc>
      </w:tr>
      <w:tr w:rsidR="005A19FC">
        <w:tc>
          <w:tcPr>
            <w:tcW w:w="1290" w:type="dxa"/>
            <w:vAlign w:val="center"/>
          </w:tcPr>
          <w:p w:rsidR="005A19FC" w:rsidRDefault="002C36D7">
            <w:pPr>
              <w:jc w:val="left"/>
            </w:pPr>
            <w:r>
              <w:rPr>
                <w:rFonts w:eastAsiaTheme="minorEastAsia"/>
                <w:color w:val="000000" w:themeColor="text1"/>
                <w:szCs w:val="21"/>
              </w:rPr>
              <w:t>过去六个月</w:t>
            </w:r>
          </w:p>
        </w:tc>
        <w:tc>
          <w:tcPr>
            <w:tcW w:w="1291" w:type="dxa"/>
            <w:vAlign w:val="center"/>
          </w:tcPr>
          <w:p w:rsidR="005A19FC" w:rsidRDefault="002C36D7">
            <w:pPr>
              <w:jc w:val="right"/>
            </w:pPr>
            <w:r>
              <w:rPr>
                <w:rFonts w:eastAsiaTheme="minorEastAsia"/>
                <w:color w:val="000000" w:themeColor="text1"/>
                <w:szCs w:val="21"/>
              </w:rPr>
              <w:t>2.58%</w:t>
            </w:r>
          </w:p>
        </w:tc>
        <w:tc>
          <w:tcPr>
            <w:tcW w:w="1291" w:type="dxa"/>
            <w:vAlign w:val="center"/>
          </w:tcPr>
          <w:p w:rsidR="005A19FC" w:rsidRDefault="002C36D7">
            <w:pPr>
              <w:jc w:val="right"/>
            </w:pPr>
            <w:r>
              <w:rPr>
                <w:rFonts w:eastAsiaTheme="minorEastAsia"/>
                <w:color w:val="000000" w:themeColor="text1"/>
                <w:szCs w:val="21"/>
              </w:rPr>
              <w:t>0.11%</w:t>
            </w:r>
          </w:p>
        </w:tc>
        <w:tc>
          <w:tcPr>
            <w:tcW w:w="1291" w:type="dxa"/>
            <w:vAlign w:val="center"/>
          </w:tcPr>
          <w:p w:rsidR="005A19FC" w:rsidRDefault="002C36D7">
            <w:pPr>
              <w:jc w:val="right"/>
            </w:pPr>
            <w:r>
              <w:rPr>
                <w:rFonts w:eastAsiaTheme="minorEastAsia"/>
                <w:color w:val="000000" w:themeColor="text1"/>
                <w:szCs w:val="21"/>
              </w:rPr>
              <w:t>3.87%</w:t>
            </w:r>
          </w:p>
        </w:tc>
        <w:tc>
          <w:tcPr>
            <w:tcW w:w="1291" w:type="dxa"/>
            <w:vAlign w:val="center"/>
          </w:tcPr>
          <w:p w:rsidR="005A19FC" w:rsidRDefault="002C36D7">
            <w:pPr>
              <w:jc w:val="right"/>
            </w:pPr>
            <w:r>
              <w:rPr>
                <w:rFonts w:eastAsiaTheme="minorEastAsia"/>
                <w:color w:val="000000" w:themeColor="text1"/>
                <w:szCs w:val="21"/>
              </w:rPr>
              <w:t>0.11%</w:t>
            </w:r>
          </w:p>
        </w:tc>
        <w:tc>
          <w:tcPr>
            <w:tcW w:w="1291" w:type="dxa"/>
            <w:vAlign w:val="center"/>
          </w:tcPr>
          <w:p w:rsidR="005A19FC" w:rsidRDefault="002C36D7">
            <w:pPr>
              <w:jc w:val="right"/>
            </w:pPr>
            <w:r>
              <w:rPr>
                <w:rFonts w:eastAsiaTheme="minorEastAsia"/>
                <w:color w:val="000000" w:themeColor="text1"/>
                <w:szCs w:val="21"/>
              </w:rPr>
              <w:t>-1.29%</w:t>
            </w:r>
          </w:p>
        </w:tc>
        <w:tc>
          <w:tcPr>
            <w:tcW w:w="1291" w:type="dxa"/>
            <w:vAlign w:val="center"/>
          </w:tcPr>
          <w:p w:rsidR="005A19FC" w:rsidRDefault="002C36D7">
            <w:pPr>
              <w:jc w:val="right"/>
            </w:pPr>
            <w:r>
              <w:rPr>
                <w:rFonts w:eastAsiaTheme="minorEastAsia"/>
                <w:color w:val="000000" w:themeColor="text1"/>
                <w:szCs w:val="21"/>
              </w:rPr>
              <w:t>0.00%</w:t>
            </w:r>
          </w:p>
        </w:tc>
      </w:tr>
      <w:tr w:rsidR="005A19FC">
        <w:tc>
          <w:tcPr>
            <w:tcW w:w="1290" w:type="dxa"/>
            <w:vAlign w:val="center"/>
          </w:tcPr>
          <w:p w:rsidR="005A19FC" w:rsidRDefault="002C36D7">
            <w:pPr>
              <w:jc w:val="left"/>
            </w:pPr>
            <w:r>
              <w:rPr>
                <w:rFonts w:eastAsiaTheme="minorEastAsia"/>
                <w:color w:val="000000" w:themeColor="text1"/>
                <w:szCs w:val="21"/>
              </w:rPr>
              <w:t>过去一年</w:t>
            </w:r>
          </w:p>
        </w:tc>
        <w:tc>
          <w:tcPr>
            <w:tcW w:w="1291" w:type="dxa"/>
            <w:vAlign w:val="center"/>
          </w:tcPr>
          <w:p w:rsidR="005A19FC" w:rsidRDefault="002C36D7">
            <w:pPr>
              <w:jc w:val="right"/>
            </w:pPr>
            <w:r>
              <w:rPr>
                <w:rFonts w:eastAsiaTheme="minorEastAsia"/>
                <w:color w:val="000000" w:themeColor="text1"/>
                <w:szCs w:val="21"/>
              </w:rPr>
              <w:t>-</w:t>
            </w:r>
          </w:p>
        </w:tc>
        <w:tc>
          <w:tcPr>
            <w:tcW w:w="1291" w:type="dxa"/>
            <w:vAlign w:val="center"/>
          </w:tcPr>
          <w:p w:rsidR="005A19FC" w:rsidRDefault="002C36D7">
            <w:pPr>
              <w:jc w:val="right"/>
            </w:pPr>
            <w:r>
              <w:rPr>
                <w:rFonts w:eastAsiaTheme="minorEastAsia"/>
                <w:color w:val="000000" w:themeColor="text1"/>
                <w:szCs w:val="21"/>
              </w:rPr>
              <w:t>-</w:t>
            </w:r>
          </w:p>
        </w:tc>
        <w:tc>
          <w:tcPr>
            <w:tcW w:w="1291" w:type="dxa"/>
            <w:vAlign w:val="center"/>
          </w:tcPr>
          <w:p w:rsidR="005A19FC" w:rsidRDefault="002C36D7">
            <w:pPr>
              <w:jc w:val="right"/>
            </w:pPr>
            <w:r>
              <w:rPr>
                <w:rFonts w:eastAsiaTheme="minorEastAsia"/>
                <w:color w:val="000000" w:themeColor="text1"/>
                <w:szCs w:val="21"/>
              </w:rPr>
              <w:t>-</w:t>
            </w:r>
          </w:p>
        </w:tc>
        <w:tc>
          <w:tcPr>
            <w:tcW w:w="1291" w:type="dxa"/>
            <w:vAlign w:val="center"/>
          </w:tcPr>
          <w:p w:rsidR="005A19FC" w:rsidRDefault="002C36D7">
            <w:pPr>
              <w:jc w:val="right"/>
            </w:pPr>
            <w:r>
              <w:rPr>
                <w:rFonts w:eastAsiaTheme="minorEastAsia"/>
                <w:color w:val="000000" w:themeColor="text1"/>
                <w:szCs w:val="21"/>
              </w:rPr>
              <w:t>-</w:t>
            </w:r>
          </w:p>
        </w:tc>
        <w:tc>
          <w:tcPr>
            <w:tcW w:w="1291" w:type="dxa"/>
            <w:vAlign w:val="center"/>
          </w:tcPr>
          <w:p w:rsidR="005A19FC" w:rsidRDefault="002C36D7">
            <w:pPr>
              <w:jc w:val="right"/>
            </w:pPr>
            <w:r>
              <w:rPr>
                <w:rFonts w:eastAsiaTheme="minorEastAsia"/>
                <w:color w:val="000000" w:themeColor="text1"/>
                <w:szCs w:val="21"/>
              </w:rPr>
              <w:t>-</w:t>
            </w:r>
          </w:p>
        </w:tc>
        <w:tc>
          <w:tcPr>
            <w:tcW w:w="1291" w:type="dxa"/>
            <w:vAlign w:val="center"/>
          </w:tcPr>
          <w:p w:rsidR="005A19FC" w:rsidRDefault="002C36D7">
            <w:pPr>
              <w:jc w:val="right"/>
            </w:pPr>
            <w:r>
              <w:rPr>
                <w:rFonts w:eastAsiaTheme="minorEastAsia"/>
                <w:color w:val="000000" w:themeColor="text1"/>
                <w:szCs w:val="21"/>
              </w:rPr>
              <w:t>-</w:t>
            </w:r>
          </w:p>
        </w:tc>
      </w:tr>
      <w:tr w:rsidR="005A19FC">
        <w:tc>
          <w:tcPr>
            <w:tcW w:w="1290" w:type="dxa"/>
            <w:vAlign w:val="center"/>
          </w:tcPr>
          <w:p w:rsidR="005A19FC" w:rsidRDefault="002C36D7">
            <w:pPr>
              <w:jc w:val="left"/>
            </w:pPr>
            <w:r>
              <w:rPr>
                <w:rFonts w:eastAsiaTheme="minorEastAsia"/>
                <w:color w:val="000000" w:themeColor="text1"/>
                <w:szCs w:val="21"/>
              </w:rPr>
              <w:t>过去三年</w:t>
            </w:r>
          </w:p>
        </w:tc>
        <w:tc>
          <w:tcPr>
            <w:tcW w:w="1291" w:type="dxa"/>
            <w:vAlign w:val="center"/>
          </w:tcPr>
          <w:p w:rsidR="005A19FC" w:rsidRDefault="002C36D7">
            <w:pPr>
              <w:jc w:val="right"/>
            </w:pPr>
            <w:r>
              <w:rPr>
                <w:rFonts w:eastAsiaTheme="minorEastAsia"/>
                <w:color w:val="000000" w:themeColor="text1"/>
                <w:szCs w:val="21"/>
              </w:rPr>
              <w:t>-</w:t>
            </w:r>
          </w:p>
        </w:tc>
        <w:tc>
          <w:tcPr>
            <w:tcW w:w="1291" w:type="dxa"/>
            <w:vAlign w:val="center"/>
          </w:tcPr>
          <w:p w:rsidR="005A19FC" w:rsidRDefault="002C36D7">
            <w:pPr>
              <w:jc w:val="right"/>
            </w:pPr>
            <w:r>
              <w:rPr>
                <w:rFonts w:eastAsiaTheme="minorEastAsia"/>
                <w:color w:val="000000" w:themeColor="text1"/>
                <w:szCs w:val="21"/>
              </w:rPr>
              <w:t>-</w:t>
            </w:r>
          </w:p>
        </w:tc>
        <w:tc>
          <w:tcPr>
            <w:tcW w:w="1291" w:type="dxa"/>
            <w:vAlign w:val="center"/>
          </w:tcPr>
          <w:p w:rsidR="005A19FC" w:rsidRDefault="002C36D7">
            <w:pPr>
              <w:jc w:val="right"/>
            </w:pPr>
            <w:r>
              <w:rPr>
                <w:rFonts w:eastAsiaTheme="minorEastAsia"/>
                <w:color w:val="000000" w:themeColor="text1"/>
                <w:szCs w:val="21"/>
              </w:rPr>
              <w:t>-</w:t>
            </w:r>
          </w:p>
        </w:tc>
        <w:tc>
          <w:tcPr>
            <w:tcW w:w="1291" w:type="dxa"/>
            <w:vAlign w:val="center"/>
          </w:tcPr>
          <w:p w:rsidR="005A19FC" w:rsidRDefault="002C36D7">
            <w:pPr>
              <w:jc w:val="right"/>
            </w:pPr>
            <w:r>
              <w:rPr>
                <w:rFonts w:eastAsiaTheme="minorEastAsia"/>
                <w:color w:val="000000" w:themeColor="text1"/>
                <w:szCs w:val="21"/>
              </w:rPr>
              <w:t>-</w:t>
            </w:r>
          </w:p>
        </w:tc>
        <w:tc>
          <w:tcPr>
            <w:tcW w:w="1291" w:type="dxa"/>
            <w:vAlign w:val="center"/>
          </w:tcPr>
          <w:p w:rsidR="005A19FC" w:rsidRDefault="002C36D7">
            <w:pPr>
              <w:jc w:val="right"/>
            </w:pPr>
            <w:r>
              <w:rPr>
                <w:rFonts w:eastAsiaTheme="minorEastAsia"/>
                <w:color w:val="000000" w:themeColor="text1"/>
                <w:szCs w:val="21"/>
              </w:rPr>
              <w:t>-</w:t>
            </w:r>
          </w:p>
        </w:tc>
        <w:tc>
          <w:tcPr>
            <w:tcW w:w="1291" w:type="dxa"/>
            <w:vAlign w:val="center"/>
          </w:tcPr>
          <w:p w:rsidR="005A19FC" w:rsidRDefault="002C36D7">
            <w:pPr>
              <w:jc w:val="right"/>
            </w:pPr>
            <w:r>
              <w:rPr>
                <w:rFonts w:eastAsiaTheme="minorEastAsia"/>
                <w:color w:val="000000" w:themeColor="text1"/>
                <w:szCs w:val="21"/>
              </w:rPr>
              <w:t>-</w:t>
            </w:r>
          </w:p>
        </w:tc>
      </w:tr>
      <w:tr w:rsidR="005A19FC">
        <w:tc>
          <w:tcPr>
            <w:tcW w:w="1290" w:type="dxa"/>
            <w:vAlign w:val="center"/>
          </w:tcPr>
          <w:p w:rsidR="005A19FC" w:rsidRDefault="002C36D7">
            <w:pPr>
              <w:jc w:val="left"/>
            </w:pPr>
            <w:r>
              <w:rPr>
                <w:rFonts w:eastAsiaTheme="minorEastAsia"/>
                <w:color w:val="000000" w:themeColor="text1"/>
                <w:szCs w:val="21"/>
              </w:rPr>
              <w:t>过去五年</w:t>
            </w:r>
          </w:p>
        </w:tc>
        <w:tc>
          <w:tcPr>
            <w:tcW w:w="1291" w:type="dxa"/>
            <w:vAlign w:val="center"/>
          </w:tcPr>
          <w:p w:rsidR="005A19FC" w:rsidRDefault="002C36D7">
            <w:pPr>
              <w:jc w:val="right"/>
            </w:pPr>
            <w:r>
              <w:rPr>
                <w:rFonts w:eastAsiaTheme="minorEastAsia"/>
                <w:color w:val="000000" w:themeColor="text1"/>
                <w:szCs w:val="21"/>
              </w:rPr>
              <w:t>-</w:t>
            </w:r>
          </w:p>
        </w:tc>
        <w:tc>
          <w:tcPr>
            <w:tcW w:w="1291" w:type="dxa"/>
            <w:vAlign w:val="center"/>
          </w:tcPr>
          <w:p w:rsidR="005A19FC" w:rsidRDefault="002C36D7">
            <w:pPr>
              <w:jc w:val="right"/>
            </w:pPr>
            <w:r>
              <w:rPr>
                <w:rFonts w:eastAsiaTheme="minorEastAsia"/>
                <w:color w:val="000000" w:themeColor="text1"/>
                <w:szCs w:val="21"/>
              </w:rPr>
              <w:t>-</w:t>
            </w:r>
          </w:p>
        </w:tc>
        <w:tc>
          <w:tcPr>
            <w:tcW w:w="1291" w:type="dxa"/>
            <w:vAlign w:val="center"/>
          </w:tcPr>
          <w:p w:rsidR="005A19FC" w:rsidRDefault="002C36D7">
            <w:pPr>
              <w:jc w:val="right"/>
            </w:pPr>
            <w:r>
              <w:rPr>
                <w:rFonts w:eastAsiaTheme="minorEastAsia"/>
                <w:color w:val="000000" w:themeColor="text1"/>
                <w:szCs w:val="21"/>
              </w:rPr>
              <w:t>-</w:t>
            </w:r>
          </w:p>
        </w:tc>
        <w:tc>
          <w:tcPr>
            <w:tcW w:w="1291" w:type="dxa"/>
            <w:vAlign w:val="center"/>
          </w:tcPr>
          <w:p w:rsidR="005A19FC" w:rsidRDefault="002C36D7">
            <w:pPr>
              <w:jc w:val="right"/>
            </w:pPr>
            <w:r>
              <w:rPr>
                <w:rFonts w:eastAsiaTheme="minorEastAsia"/>
                <w:color w:val="000000" w:themeColor="text1"/>
                <w:szCs w:val="21"/>
              </w:rPr>
              <w:t>-</w:t>
            </w:r>
          </w:p>
        </w:tc>
        <w:tc>
          <w:tcPr>
            <w:tcW w:w="1291" w:type="dxa"/>
            <w:vAlign w:val="center"/>
          </w:tcPr>
          <w:p w:rsidR="005A19FC" w:rsidRDefault="002C36D7">
            <w:pPr>
              <w:jc w:val="right"/>
            </w:pPr>
            <w:r>
              <w:rPr>
                <w:rFonts w:eastAsiaTheme="minorEastAsia"/>
                <w:color w:val="000000" w:themeColor="text1"/>
                <w:szCs w:val="21"/>
              </w:rPr>
              <w:t>-</w:t>
            </w:r>
          </w:p>
        </w:tc>
        <w:tc>
          <w:tcPr>
            <w:tcW w:w="1291" w:type="dxa"/>
            <w:vAlign w:val="center"/>
          </w:tcPr>
          <w:p w:rsidR="005A19FC" w:rsidRDefault="002C36D7">
            <w:pPr>
              <w:jc w:val="right"/>
            </w:pPr>
            <w:r>
              <w:rPr>
                <w:rFonts w:eastAsiaTheme="minorEastAsia"/>
                <w:color w:val="000000" w:themeColor="text1"/>
                <w:szCs w:val="21"/>
              </w:rPr>
              <w:t>-</w:t>
            </w:r>
          </w:p>
        </w:tc>
      </w:tr>
      <w:tr w:rsidR="005A19FC">
        <w:tc>
          <w:tcPr>
            <w:tcW w:w="1290" w:type="dxa"/>
            <w:vAlign w:val="center"/>
          </w:tcPr>
          <w:p w:rsidR="005A19FC" w:rsidRDefault="002C36D7">
            <w:pPr>
              <w:jc w:val="left"/>
            </w:pPr>
            <w:r>
              <w:rPr>
                <w:rFonts w:eastAsiaTheme="minorEastAsia"/>
                <w:color w:val="000000" w:themeColor="text1"/>
                <w:szCs w:val="21"/>
              </w:rPr>
              <w:t>自基金合同生效起至今</w:t>
            </w:r>
          </w:p>
        </w:tc>
        <w:tc>
          <w:tcPr>
            <w:tcW w:w="1291" w:type="dxa"/>
            <w:vAlign w:val="center"/>
          </w:tcPr>
          <w:p w:rsidR="005A19FC" w:rsidRDefault="002C36D7">
            <w:pPr>
              <w:jc w:val="right"/>
            </w:pPr>
            <w:r>
              <w:rPr>
                <w:rFonts w:eastAsiaTheme="minorEastAsia"/>
                <w:color w:val="000000" w:themeColor="text1"/>
                <w:szCs w:val="21"/>
              </w:rPr>
              <w:t>3.27%</w:t>
            </w:r>
          </w:p>
        </w:tc>
        <w:tc>
          <w:tcPr>
            <w:tcW w:w="1291" w:type="dxa"/>
            <w:vAlign w:val="center"/>
          </w:tcPr>
          <w:p w:rsidR="005A19FC" w:rsidRDefault="002C36D7">
            <w:pPr>
              <w:jc w:val="right"/>
            </w:pPr>
            <w:r>
              <w:rPr>
                <w:rFonts w:eastAsiaTheme="minorEastAsia"/>
                <w:color w:val="000000" w:themeColor="text1"/>
                <w:szCs w:val="21"/>
              </w:rPr>
              <w:t>0.10%</w:t>
            </w:r>
          </w:p>
        </w:tc>
        <w:tc>
          <w:tcPr>
            <w:tcW w:w="1291" w:type="dxa"/>
            <w:vAlign w:val="center"/>
          </w:tcPr>
          <w:p w:rsidR="005A19FC" w:rsidRDefault="002C36D7">
            <w:pPr>
              <w:jc w:val="right"/>
            </w:pPr>
            <w:r>
              <w:rPr>
                <w:rFonts w:eastAsiaTheme="minorEastAsia"/>
                <w:color w:val="000000" w:themeColor="text1"/>
                <w:szCs w:val="21"/>
              </w:rPr>
              <w:t>5.06%</w:t>
            </w:r>
          </w:p>
        </w:tc>
        <w:tc>
          <w:tcPr>
            <w:tcW w:w="1291" w:type="dxa"/>
            <w:vAlign w:val="center"/>
          </w:tcPr>
          <w:p w:rsidR="005A19FC" w:rsidRDefault="002C36D7">
            <w:pPr>
              <w:jc w:val="right"/>
            </w:pPr>
            <w:r>
              <w:rPr>
                <w:rFonts w:eastAsiaTheme="minorEastAsia"/>
                <w:color w:val="000000" w:themeColor="text1"/>
                <w:szCs w:val="21"/>
              </w:rPr>
              <w:t>0.10%</w:t>
            </w:r>
          </w:p>
        </w:tc>
        <w:tc>
          <w:tcPr>
            <w:tcW w:w="1291" w:type="dxa"/>
            <w:vAlign w:val="center"/>
          </w:tcPr>
          <w:p w:rsidR="005A19FC" w:rsidRDefault="002C36D7">
            <w:pPr>
              <w:jc w:val="right"/>
            </w:pPr>
            <w:r>
              <w:rPr>
                <w:rFonts w:eastAsiaTheme="minorEastAsia"/>
                <w:color w:val="000000" w:themeColor="text1"/>
                <w:szCs w:val="21"/>
              </w:rPr>
              <w:t>-1.79%</w:t>
            </w:r>
          </w:p>
        </w:tc>
        <w:tc>
          <w:tcPr>
            <w:tcW w:w="1291" w:type="dxa"/>
            <w:vAlign w:val="center"/>
          </w:tcPr>
          <w:p w:rsidR="005A19FC" w:rsidRDefault="002C36D7">
            <w:pPr>
              <w:jc w:val="right"/>
            </w:pPr>
            <w:r>
              <w:rPr>
                <w:rFonts w:eastAsiaTheme="minorEastAsia"/>
                <w:color w:val="000000" w:themeColor="text1"/>
                <w:szCs w:val="21"/>
              </w:rPr>
              <w:t>0.00%</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摩根丰瑞债券型证券投资基金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(2017</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11</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27</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12</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31</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．摩根丰瑞债券</w:t>
      </w:r>
      <w:r w:rsidRPr="0073597F">
        <w:rPr>
          <w:rFonts w:eastAsiaTheme="minorEastAsia"/>
          <w:color w:val="000000" w:themeColor="text1"/>
          <w:szCs w:val="21"/>
        </w:rPr>
        <w:t>A</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．摩根丰瑞债券</w:t>
      </w:r>
      <w:r w:rsidRPr="0073597F">
        <w:rPr>
          <w:rFonts w:eastAsiaTheme="minorEastAsia"/>
          <w:color w:val="000000" w:themeColor="text1"/>
          <w:szCs w:val="21"/>
        </w:rPr>
        <w:t>C</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r w:rsidR="006F1F9D">
        <w:rPr>
          <w:rFonts w:eastAsiaTheme="minorEastAsia"/>
          <w:color w:val="000000" w:themeColor="text1"/>
          <w:szCs w:val="21"/>
        </w:rPr>
        <w:t>摩根丰瑞债券</w:t>
      </w:r>
      <w:r w:rsidR="006F1F9D">
        <w:rPr>
          <w:rFonts w:eastAsiaTheme="minorEastAsia"/>
          <w:color w:val="000000" w:themeColor="text1"/>
          <w:szCs w:val="21"/>
        </w:rPr>
        <w:t>D</w:t>
      </w:r>
      <w:r w:rsidRPr="0073597F">
        <w:rPr>
          <w:rFonts w:eastAsiaTheme="minorEastAsia"/>
          <w:color w:val="000000" w:themeColor="text1"/>
          <w:szCs w:val="21"/>
        </w:rPr>
        <w:t>：</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lastRenderedPageBreak/>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5A19FC" w:rsidRDefault="002C36D7">
      <w:pPr>
        <w:spacing w:line="360" w:lineRule="auto"/>
        <w:ind w:firstLine="36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A19FC" w:rsidRDefault="002C36D7">
      <w:pPr>
        <w:spacing w:line="360" w:lineRule="auto"/>
        <w:ind w:firstLine="36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日起增加</w:t>
      </w:r>
      <w:r>
        <w:rPr>
          <w:rFonts w:eastAsiaTheme="minorEastAsia"/>
          <w:color w:val="000000" w:themeColor="text1"/>
          <w:szCs w:val="21"/>
        </w:rPr>
        <w:t>D</w:t>
      </w:r>
      <w:r>
        <w:rPr>
          <w:rFonts w:eastAsiaTheme="minorEastAsia"/>
          <w:color w:val="000000" w:themeColor="text1"/>
          <w:szCs w:val="21"/>
        </w:rPr>
        <w:t>类份额，相关数据按实际存续期计算。</w:t>
      </w:r>
    </w:p>
    <w:p w:rsidR="005E6DF3" w:rsidRPr="0073597F" w:rsidRDefault="005C671B" w:rsidP="0015161C">
      <w:pPr>
        <w:spacing w:line="360" w:lineRule="auto"/>
        <w:ind w:firstLine="36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 xml:space="preserve"> 6 </w:t>
      </w:r>
      <w:r w:rsidRPr="0073597F">
        <w:rPr>
          <w:rFonts w:eastAsiaTheme="minorEastAsia"/>
          <w:color w:val="000000" w:themeColor="text1"/>
          <w:szCs w:val="21"/>
        </w:rPr>
        <w:t>个月，建仓期结束时资产配置比例符合本基金基金合同规定。</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A19FC">
        <w:tc>
          <w:tcPr>
            <w:tcW w:w="952" w:type="dxa"/>
            <w:vAlign w:val="center"/>
          </w:tcPr>
          <w:p w:rsidR="005A19FC" w:rsidRDefault="002C36D7">
            <w:pPr>
              <w:jc w:val="center"/>
            </w:pPr>
            <w:r>
              <w:rPr>
                <w:rFonts w:eastAsiaTheme="minorEastAsia"/>
                <w:color w:val="000000" w:themeColor="text1"/>
                <w:szCs w:val="21"/>
              </w:rPr>
              <w:t>雷杨娟</w:t>
            </w:r>
          </w:p>
        </w:tc>
        <w:tc>
          <w:tcPr>
            <w:tcW w:w="930" w:type="dxa"/>
            <w:vAlign w:val="center"/>
          </w:tcPr>
          <w:p w:rsidR="005A19FC" w:rsidRDefault="002C36D7">
            <w:pPr>
              <w:jc w:val="center"/>
            </w:pPr>
            <w:r>
              <w:rPr>
                <w:rFonts w:eastAsiaTheme="minorEastAsia"/>
                <w:color w:val="000000" w:themeColor="text1"/>
                <w:szCs w:val="21"/>
              </w:rPr>
              <w:t>本基金基金经理</w:t>
            </w:r>
          </w:p>
        </w:tc>
        <w:tc>
          <w:tcPr>
            <w:tcW w:w="1210" w:type="dxa"/>
            <w:vAlign w:val="center"/>
          </w:tcPr>
          <w:p w:rsidR="005A19FC" w:rsidRDefault="002C36D7">
            <w:pPr>
              <w:jc w:val="center"/>
            </w:pPr>
            <w:r>
              <w:rPr>
                <w:rFonts w:eastAsiaTheme="minorEastAsia"/>
                <w:color w:val="000000" w:themeColor="text1"/>
                <w:szCs w:val="21"/>
              </w:rPr>
              <w:t>2020-07-31</w:t>
            </w:r>
          </w:p>
        </w:tc>
        <w:tc>
          <w:tcPr>
            <w:tcW w:w="1309" w:type="dxa"/>
            <w:vAlign w:val="center"/>
          </w:tcPr>
          <w:p w:rsidR="005A19FC" w:rsidRDefault="002C36D7">
            <w:pPr>
              <w:jc w:val="center"/>
            </w:pPr>
            <w:r>
              <w:rPr>
                <w:rFonts w:eastAsiaTheme="minorEastAsia"/>
                <w:color w:val="000000" w:themeColor="text1"/>
                <w:szCs w:val="21"/>
              </w:rPr>
              <w:t>-</w:t>
            </w:r>
          </w:p>
        </w:tc>
        <w:tc>
          <w:tcPr>
            <w:tcW w:w="1254" w:type="dxa"/>
            <w:vAlign w:val="center"/>
          </w:tcPr>
          <w:p w:rsidR="005A19FC" w:rsidRDefault="002C36D7">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rsidR="005A19FC" w:rsidRDefault="002C36D7">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bl>
    <w:p w:rsidR="005A19FC" w:rsidRDefault="002C36D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证券从业的含义遵从行业协会《证券业从业人员资格管理办法》的相关规定。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5A19FC" w:rsidRDefault="002C36D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w:t>
      </w:r>
      <w:r>
        <w:rPr>
          <w:rFonts w:eastAsiaTheme="minorEastAsia"/>
          <w:color w:val="000000" w:themeColor="text1"/>
          <w:szCs w:val="21"/>
        </w:rPr>
        <w:t>行交易执行和监控分析，以确保本公司管理的不同投资组合在授权、研究分析、投资决策、交易执行、业绩评估等投资管理活动相关的环节均得到公平对待。</w:t>
      </w:r>
    </w:p>
    <w:p w:rsidR="005A19FC" w:rsidRDefault="002C36D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5A19FC" w:rsidRDefault="002C36D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5A19FC" w:rsidRDefault="002C36D7">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年第四季度，宏观经济数据回升斜率有所放缓，体现出前期宏观政策初现成效的同时，</w:t>
      </w:r>
      <w:r>
        <w:rPr>
          <w:rFonts w:eastAsiaTheme="minorEastAsia"/>
          <w:color w:val="000000" w:themeColor="text1"/>
          <w:szCs w:val="21"/>
        </w:rPr>
        <w:lastRenderedPageBreak/>
        <w:t>经济数据出现板块间分化、连续好转仍有待观察的特点。</w:t>
      </w:r>
      <w:r>
        <w:rPr>
          <w:rFonts w:eastAsiaTheme="minorEastAsia"/>
          <w:color w:val="000000" w:themeColor="text1"/>
          <w:szCs w:val="21"/>
        </w:rPr>
        <w:t>11</w:t>
      </w:r>
      <w:r>
        <w:rPr>
          <w:rFonts w:eastAsiaTheme="minorEastAsia"/>
          <w:color w:val="000000" w:themeColor="text1"/>
          <w:szCs w:val="21"/>
        </w:rPr>
        <w:t>月，工业增加值同比增速</w:t>
      </w:r>
      <w:r>
        <w:rPr>
          <w:rFonts w:eastAsiaTheme="minorEastAsia"/>
          <w:color w:val="000000" w:themeColor="text1"/>
          <w:szCs w:val="21"/>
        </w:rPr>
        <w:t>5.4%</w:t>
      </w:r>
      <w:r>
        <w:rPr>
          <w:rFonts w:eastAsiaTheme="minorEastAsia"/>
          <w:color w:val="000000" w:themeColor="text1"/>
          <w:szCs w:val="21"/>
        </w:rPr>
        <w:t>，略高于市场预期</w:t>
      </w:r>
      <w:r>
        <w:rPr>
          <w:rFonts w:eastAsiaTheme="minorEastAsia"/>
          <w:color w:val="000000" w:themeColor="text1"/>
          <w:szCs w:val="21"/>
        </w:rPr>
        <w:t>5.2%</w:t>
      </w:r>
      <w:r>
        <w:rPr>
          <w:rFonts w:eastAsiaTheme="minorEastAsia"/>
          <w:color w:val="000000" w:themeColor="text1"/>
          <w:szCs w:val="21"/>
        </w:rPr>
        <w:t>和前值</w:t>
      </w:r>
      <w:r>
        <w:rPr>
          <w:rFonts w:eastAsiaTheme="minorEastAsia"/>
          <w:color w:val="000000" w:themeColor="text1"/>
          <w:szCs w:val="21"/>
        </w:rPr>
        <w:t>5.3%</w:t>
      </w:r>
      <w:r>
        <w:rPr>
          <w:rFonts w:eastAsiaTheme="minorEastAsia"/>
          <w:color w:val="000000" w:themeColor="text1"/>
          <w:szCs w:val="21"/>
        </w:rPr>
        <w:t>；</w:t>
      </w:r>
      <w:r>
        <w:rPr>
          <w:rFonts w:eastAsiaTheme="minorEastAsia"/>
          <w:color w:val="000000" w:themeColor="text1"/>
          <w:szCs w:val="21"/>
        </w:rPr>
        <w:t>1-11</w:t>
      </w:r>
      <w:r>
        <w:rPr>
          <w:rFonts w:eastAsiaTheme="minorEastAsia"/>
          <w:color w:val="000000" w:themeColor="text1"/>
          <w:szCs w:val="21"/>
        </w:rPr>
        <w:t>月固定资产投资累计同比增速</w:t>
      </w:r>
      <w:r>
        <w:rPr>
          <w:rFonts w:eastAsiaTheme="minorEastAsia"/>
          <w:color w:val="000000" w:themeColor="text1"/>
          <w:szCs w:val="21"/>
        </w:rPr>
        <w:t>3.3%</w:t>
      </w:r>
      <w:r>
        <w:rPr>
          <w:rFonts w:eastAsiaTheme="minorEastAsia"/>
          <w:color w:val="000000" w:themeColor="text1"/>
          <w:szCs w:val="21"/>
        </w:rPr>
        <w:t>，略低于预期</w:t>
      </w:r>
      <w:r>
        <w:rPr>
          <w:rFonts w:eastAsiaTheme="minorEastAsia"/>
          <w:color w:val="000000" w:themeColor="text1"/>
          <w:szCs w:val="21"/>
        </w:rPr>
        <w:t>3.4%</w:t>
      </w:r>
      <w:r>
        <w:rPr>
          <w:rFonts w:eastAsiaTheme="minorEastAsia"/>
          <w:color w:val="000000" w:themeColor="text1"/>
          <w:szCs w:val="21"/>
        </w:rPr>
        <w:t>和前值</w:t>
      </w:r>
      <w:r>
        <w:rPr>
          <w:rFonts w:eastAsiaTheme="minorEastAsia"/>
          <w:color w:val="000000" w:themeColor="text1"/>
          <w:szCs w:val="21"/>
        </w:rPr>
        <w:t>3.4%</w:t>
      </w:r>
      <w:r>
        <w:rPr>
          <w:rFonts w:eastAsiaTheme="minorEastAsia"/>
          <w:color w:val="000000" w:themeColor="text1"/>
          <w:szCs w:val="21"/>
        </w:rPr>
        <w:t>，主要受制于制造业投资和地产投资的约束，制造业盈利增速回升缓慢仍是制约制造业投资增速的主要因素之一；</w:t>
      </w:r>
      <w:r>
        <w:rPr>
          <w:rFonts w:eastAsiaTheme="minorEastAsia"/>
          <w:color w:val="000000" w:themeColor="text1"/>
          <w:szCs w:val="21"/>
        </w:rPr>
        <w:t>11</w:t>
      </w:r>
      <w:r>
        <w:rPr>
          <w:rFonts w:eastAsiaTheme="minorEastAsia"/>
          <w:color w:val="000000" w:themeColor="text1"/>
          <w:szCs w:val="21"/>
        </w:rPr>
        <w:t>月社会消费品零售总额同比增速</w:t>
      </w:r>
      <w:r>
        <w:rPr>
          <w:rFonts w:eastAsiaTheme="minorEastAsia"/>
          <w:color w:val="000000" w:themeColor="text1"/>
          <w:szCs w:val="21"/>
        </w:rPr>
        <w:t>3%</w:t>
      </w:r>
      <w:r>
        <w:rPr>
          <w:rFonts w:eastAsiaTheme="minorEastAsia"/>
          <w:color w:val="000000" w:themeColor="text1"/>
          <w:szCs w:val="21"/>
        </w:rPr>
        <w:t>，大幅低于预期</w:t>
      </w:r>
      <w:r>
        <w:rPr>
          <w:rFonts w:eastAsiaTheme="minorEastAsia"/>
          <w:color w:val="000000" w:themeColor="text1"/>
          <w:szCs w:val="21"/>
        </w:rPr>
        <w:t>5.3%</w:t>
      </w:r>
      <w:r>
        <w:rPr>
          <w:rFonts w:eastAsiaTheme="minorEastAsia"/>
          <w:color w:val="000000" w:themeColor="text1"/>
          <w:szCs w:val="21"/>
        </w:rPr>
        <w:t>和前值</w:t>
      </w:r>
      <w:r>
        <w:rPr>
          <w:rFonts w:eastAsiaTheme="minorEastAsia"/>
          <w:color w:val="000000" w:themeColor="text1"/>
          <w:szCs w:val="21"/>
        </w:rPr>
        <w:t>4.8%</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双十一</w:t>
      </w:r>
      <w:r>
        <w:rPr>
          <w:rFonts w:eastAsiaTheme="minorEastAsia"/>
          <w:color w:val="000000" w:themeColor="text1"/>
          <w:szCs w:val="21"/>
        </w:rPr>
        <w:t>”</w:t>
      </w:r>
      <w:r>
        <w:rPr>
          <w:rFonts w:eastAsiaTheme="minorEastAsia"/>
          <w:color w:val="000000" w:themeColor="text1"/>
          <w:szCs w:val="21"/>
        </w:rPr>
        <w:t>网购分流、去年同期基数偏高等因素应是主要拖累</w:t>
      </w:r>
      <w:r>
        <w:rPr>
          <w:rFonts w:eastAsiaTheme="minorEastAsia"/>
          <w:color w:val="000000" w:themeColor="text1"/>
          <w:szCs w:val="21"/>
        </w:rPr>
        <w:t>，而</w:t>
      </w:r>
      <w:r>
        <w:rPr>
          <w:rFonts w:eastAsiaTheme="minorEastAsia"/>
          <w:color w:val="000000" w:themeColor="text1"/>
          <w:szCs w:val="21"/>
        </w:rPr>
        <w:t>“</w:t>
      </w:r>
      <w:r>
        <w:rPr>
          <w:rFonts w:eastAsiaTheme="minorEastAsia"/>
          <w:color w:val="000000" w:themeColor="text1"/>
          <w:szCs w:val="21"/>
        </w:rPr>
        <w:t>以旧换新</w:t>
      </w:r>
      <w:r>
        <w:rPr>
          <w:rFonts w:eastAsiaTheme="minorEastAsia"/>
          <w:color w:val="000000" w:themeColor="text1"/>
          <w:szCs w:val="21"/>
        </w:rPr>
        <w:t>”</w:t>
      </w:r>
      <w:r>
        <w:rPr>
          <w:rFonts w:eastAsiaTheme="minorEastAsia"/>
          <w:color w:val="000000" w:themeColor="text1"/>
          <w:szCs w:val="21"/>
        </w:rPr>
        <w:t>、地产链、餐饮相关消费等构成了消费数据的结构性亮点。</w:t>
      </w:r>
    </w:p>
    <w:p w:rsidR="005A19FC" w:rsidRDefault="002C36D7">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货币政策方面，</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日中央政治局会议及</w:t>
      </w:r>
      <w:r>
        <w:rPr>
          <w:rFonts w:eastAsiaTheme="minorEastAsia"/>
          <w:color w:val="000000" w:themeColor="text1"/>
          <w:szCs w:val="21"/>
        </w:rPr>
        <w:t>11-12</w:t>
      </w:r>
      <w:r>
        <w:rPr>
          <w:rFonts w:eastAsiaTheme="minorEastAsia"/>
          <w:color w:val="000000" w:themeColor="text1"/>
          <w:szCs w:val="21"/>
        </w:rPr>
        <w:t>日召开中央经济工作会议提出将实施</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的货币政策，这是自</w:t>
      </w:r>
      <w:r>
        <w:rPr>
          <w:rFonts w:eastAsiaTheme="minorEastAsia"/>
          <w:color w:val="000000" w:themeColor="text1"/>
          <w:szCs w:val="21"/>
        </w:rPr>
        <w:t>2011</w:t>
      </w:r>
      <w:r>
        <w:rPr>
          <w:rFonts w:eastAsiaTheme="minorEastAsia"/>
          <w:color w:val="000000" w:themeColor="text1"/>
          <w:szCs w:val="21"/>
        </w:rPr>
        <w:t>年以来首次定调</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，市场对进一步降准降息预期上升，但上述政策并未在第四季度落地。第四季度，央行在</w:t>
      </w:r>
      <w:r>
        <w:rPr>
          <w:rFonts w:eastAsiaTheme="minorEastAsia"/>
          <w:color w:val="000000" w:themeColor="text1"/>
          <w:szCs w:val="21"/>
        </w:rPr>
        <w:t>10</w:t>
      </w:r>
      <w:r>
        <w:rPr>
          <w:rFonts w:eastAsiaTheme="minorEastAsia"/>
          <w:color w:val="000000" w:themeColor="text1"/>
          <w:szCs w:val="21"/>
        </w:rPr>
        <w:t>月下调</w:t>
      </w:r>
      <w:r>
        <w:rPr>
          <w:rFonts w:eastAsiaTheme="minorEastAsia"/>
          <w:color w:val="000000" w:themeColor="text1"/>
          <w:szCs w:val="21"/>
        </w:rPr>
        <w:t>LPR25bp</w:t>
      </w:r>
      <w:r>
        <w:rPr>
          <w:rFonts w:eastAsiaTheme="minorEastAsia"/>
          <w:color w:val="000000" w:themeColor="text1"/>
          <w:szCs w:val="21"/>
        </w:rPr>
        <w:t>，并启用公开市场买断式逆回购操作工具，增加了</w:t>
      </w:r>
      <w:r>
        <w:rPr>
          <w:rFonts w:eastAsiaTheme="minorEastAsia"/>
          <w:color w:val="000000" w:themeColor="text1"/>
          <w:szCs w:val="21"/>
        </w:rPr>
        <w:t>1</w:t>
      </w:r>
      <w:r>
        <w:rPr>
          <w:rFonts w:eastAsiaTheme="minorEastAsia"/>
          <w:color w:val="000000" w:themeColor="text1"/>
          <w:szCs w:val="21"/>
        </w:rPr>
        <w:t>个月到</w:t>
      </w:r>
      <w:r>
        <w:rPr>
          <w:rFonts w:eastAsiaTheme="minorEastAsia"/>
          <w:color w:val="000000" w:themeColor="text1"/>
          <w:szCs w:val="21"/>
        </w:rPr>
        <w:t>1</w:t>
      </w:r>
      <w:r>
        <w:rPr>
          <w:rFonts w:eastAsiaTheme="minorEastAsia"/>
          <w:color w:val="000000" w:themeColor="text1"/>
          <w:szCs w:val="21"/>
        </w:rPr>
        <w:t>年的中短期流动性投放工具，进一步丰富了货币政策工具箱。年末前，央行还进一步加大了购买国债的力度，</w:t>
      </w:r>
      <w:r>
        <w:rPr>
          <w:rFonts w:eastAsiaTheme="minorEastAsia"/>
          <w:color w:val="000000" w:themeColor="text1"/>
          <w:szCs w:val="21"/>
        </w:rPr>
        <w:t>12</w:t>
      </w:r>
      <w:r>
        <w:rPr>
          <w:rFonts w:eastAsiaTheme="minorEastAsia"/>
          <w:color w:val="000000" w:themeColor="text1"/>
          <w:szCs w:val="21"/>
        </w:rPr>
        <w:t>月全月净买入</w:t>
      </w:r>
      <w:r>
        <w:rPr>
          <w:rFonts w:eastAsiaTheme="minorEastAsia"/>
          <w:color w:val="000000" w:themeColor="text1"/>
          <w:szCs w:val="21"/>
        </w:rPr>
        <w:t>3000</w:t>
      </w:r>
      <w:r>
        <w:rPr>
          <w:rFonts w:eastAsiaTheme="minorEastAsia"/>
          <w:color w:val="000000" w:themeColor="text1"/>
          <w:szCs w:val="21"/>
        </w:rPr>
        <w:t>万元，</w:t>
      </w:r>
      <w:r>
        <w:rPr>
          <w:rFonts w:eastAsiaTheme="minorEastAsia"/>
          <w:color w:val="000000" w:themeColor="text1"/>
          <w:szCs w:val="21"/>
        </w:rPr>
        <w:t xml:space="preserve"> </w:t>
      </w:r>
      <w:r>
        <w:rPr>
          <w:rFonts w:eastAsiaTheme="minorEastAsia"/>
          <w:color w:val="000000" w:themeColor="text1"/>
          <w:szCs w:val="21"/>
        </w:rPr>
        <w:t>而</w:t>
      </w:r>
      <w:r>
        <w:rPr>
          <w:rFonts w:eastAsiaTheme="minorEastAsia"/>
          <w:color w:val="000000" w:themeColor="text1"/>
          <w:szCs w:val="21"/>
        </w:rPr>
        <w:t>9-11</w:t>
      </w:r>
      <w:r>
        <w:rPr>
          <w:rFonts w:eastAsiaTheme="minorEastAsia"/>
          <w:color w:val="000000" w:themeColor="text1"/>
          <w:szCs w:val="21"/>
        </w:rPr>
        <w:t>月期间央行每月净买入国债约</w:t>
      </w:r>
      <w:r>
        <w:rPr>
          <w:rFonts w:eastAsiaTheme="minorEastAsia"/>
          <w:color w:val="000000" w:themeColor="text1"/>
          <w:szCs w:val="21"/>
        </w:rPr>
        <w:t>2000</w:t>
      </w:r>
      <w:r>
        <w:rPr>
          <w:rFonts w:eastAsiaTheme="minorEastAsia"/>
          <w:color w:val="000000" w:themeColor="text1"/>
          <w:szCs w:val="21"/>
        </w:rPr>
        <w:t>亿元，释放流动性的同时引导国债价格趋向合理区间。银行间市场资金利率较第三季度下行，</w:t>
      </w:r>
      <w:r>
        <w:rPr>
          <w:rFonts w:eastAsiaTheme="minorEastAsia"/>
          <w:color w:val="000000" w:themeColor="text1"/>
          <w:szCs w:val="21"/>
        </w:rPr>
        <w:t>R001</w:t>
      </w:r>
      <w:r>
        <w:rPr>
          <w:rFonts w:eastAsiaTheme="minorEastAsia"/>
          <w:color w:val="000000" w:themeColor="text1"/>
          <w:szCs w:val="21"/>
        </w:rPr>
        <w:t>（银行间质押式隔夜回购利率）和</w:t>
      </w:r>
      <w:r>
        <w:rPr>
          <w:rFonts w:eastAsiaTheme="minorEastAsia"/>
          <w:color w:val="000000" w:themeColor="text1"/>
          <w:szCs w:val="21"/>
        </w:rPr>
        <w:t>R007</w:t>
      </w:r>
      <w:r>
        <w:rPr>
          <w:rFonts w:eastAsiaTheme="minorEastAsia"/>
          <w:color w:val="000000" w:themeColor="text1"/>
          <w:szCs w:val="21"/>
        </w:rPr>
        <w:t>（银行间质押式</w:t>
      </w:r>
      <w:r>
        <w:rPr>
          <w:rFonts w:eastAsiaTheme="minorEastAsia"/>
          <w:color w:val="000000" w:themeColor="text1"/>
          <w:szCs w:val="21"/>
        </w:rPr>
        <w:t>7</w:t>
      </w:r>
      <w:r>
        <w:rPr>
          <w:rFonts w:eastAsiaTheme="minorEastAsia"/>
          <w:color w:val="000000" w:themeColor="text1"/>
          <w:szCs w:val="21"/>
        </w:rPr>
        <w:t>天回购利率）分别较前一季度下行</w:t>
      </w:r>
      <w:r>
        <w:rPr>
          <w:rFonts w:eastAsiaTheme="minorEastAsia"/>
          <w:color w:val="000000" w:themeColor="text1"/>
          <w:szCs w:val="21"/>
        </w:rPr>
        <w:t>20bp</w:t>
      </w:r>
      <w:r>
        <w:rPr>
          <w:rFonts w:eastAsiaTheme="minorEastAsia"/>
          <w:color w:val="000000" w:themeColor="text1"/>
          <w:szCs w:val="21"/>
        </w:rPr>
        <w:t>和</w:t>
      </w:r>
      <w:r>
        <w:rPr>
          <w:rFonts w:eastAsiaTheme="minorEastAsia"/>
          <w:color w:val="000000" w:themeColor="text1"/>
          <w:szCs w:val="21"/>
        </w:rPr>
        <w:t>3bp</w:t>
      </w:r>
      <w:r>
        <w:rPr>
          <w:rFonts w:eastAsiaTheme="minorEastAsia"/>
          <w:color w:val="000000" w:themeColor="text1"/>
          <w:szCs w:val="21"/>
        </w:rPr>
        <w:t>，至</w:t>
      </w:r>
      <w:r>
        <w:rPr>
          <w:rFonts w:eastAsiaTheme="minorEastAsia"/>
          <w:color w:val="000000" w:themeColor="text1"/>
          <w:szCs w:val="21"/>
        </w:rPr>
        <w:t>1.59%</w:t>
      </w:r>
      <w:r>
        <w:rPr>
          <w:rFonts w:eastAsiaTheme="minorEastAsia"/>
          <w:color w:val="000000" w:themeColor="text1"/>
          <w:szCs w:val="21"/>
        </w:rPr>
        <w:t>和</w:t>
      </w:r>
      <w:r>
        <w:rPr>
          <w:rFonts w:eastAsiaTheme="minorEastAsia"/>
          <w:color w:val="000000" w:themeColor="text1"/>
          <w:szCs w:val="21"/>
        </w:rPr>
        <w:t>1.87%</w:t>
      </w:r>
      <w:r>
        <w:rPr>
          <w:rFonts w:eastAsiaTheme="minorEastAsia"/>
          <w:color w:val="000000" w:themeColor="text1"/>
          <w:szCs w:val="21"/>
        </w:rPr>
        <w:t>。</w:t>
      </w:r>
    </w:p>
    <w:p w:rsidR="005A19FC" w:rsidRDefault="002C36D7">
      <w:pPr>
        <w:spacing w:line="360" w:lineRule="auto"/>
        <w:ind w:firstLineChars="200" w:firstLine="420"/>
        <w:rPr>
          <w:rFonts w:eastAsiaTheme="minorEastAsia"/>
          <w:color w:val="000000" w:themeColor="text1"/>
          <w:szCs w:val="21"/>
        </w:rPr>
      </w:pPr>
      <w:r>
        <w:rPr>
          <w:rFonts w:eastAsiaTheme="minorEastAsia"/>
          <w:color w:val="000000" w:themeColor="text1"/>
          <w:szCs w:val="21"/>
        </w:rPr>
        <w:t>国际经济方面，美国总统大选在第四季度尘埃落定，特朗普胜选。四季度美国国债收益率曲线显著陡峭化上行，截至</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月末，</w:t>
      </w:r>
      <w:r>
        <w:rPr>
          <w:rFonts w:eastAsiaTheme="minorEastAsia"/>
          <w:color w:val="000000" w:themeColor="text1"/>
          <w:szCs w:val="21"/>
        </w:rPr>
        <w:t>2</w:t>
      </w:r>
      <w:r>
        <w:rPr>
          <w:rFonts w:eastAsiaTheme="minorEastAsia"/>
          <w:color w:val="000000" w:themeColor="text1"/>
          <w:szCs w:val="21"/>
        </w:rPr>
        <w:t>年期和</w:t>
      </w:r>
      <w:r>
        <w:rPr>
          <w:rFonts w:eastAsiaTheme="minorEastAsia"/>
          <w:color w:val="000000" w:themeColor="text1"/>
          <w:szCs w:val="21"/>
        </w:rPr>
        <w:t>10</w:t>
      </w:r>
      <w:r>
        <w:rPr>
          <w:rFonts w:eastAsiaTheme="minorEastAsia"/>
          <w:color w:val="000000" w:themeColor="text1"/>
          <w:szCs w:val="21"/>
        </w:rPr>
        <w:t>年期美国国债收益率分别上行</w:t>
      </w:r>
      <w:r>
        <w:rPr>
          <w:rFonts w:eastAsiaTheme="minorEastAsia"/>
          <w:color w:val="000000" w:themeColor="text1"/>
          <w:szCs w:val="21"/>
        </w:rPr>
        <w:t>59bp</w:t>
      </w:r>
      <w:r>
        <w:rPr>
          <w:rFonts w:eastAsiaTheme="minorEastAsia"/>
          <w:color w:val="000000" w:themeColor="text1"/>
          <w:szCs w:val="21"/>
        </w:rPr>
        <w:t>和</w:t>
      </w:r>
      <w:r>
        <w:rPr>
          <w:rFonts w:eastAsiaTheme="minorEastAsia"/>
          <w:color w:val="000000" w:themeColor="text1"/>
          <w:szCs w:val="21"/>
        </w:rPr>
        <w:t>77bp</w:t>
      </w:r>
      <w:r>
        <w:rPr>
          <w:rFonts w:eastAsiaTheme="minorEastAsia"/>
          <w:color w:val="000000" w:themeColor="text1"/>
          <w:szCs w:val="21"/>
        </w:rPr>
        <w:t>至</w:t>
      </w:r>
      <w:r>
        <w:rPr>
          <w:rFonts w:eastAsiaTheme="minorEastAsia"/>
          <w:color w:val="000000" w:themeColor="text1"/>
          <w:szCs w:val="21"/>
        </w:rPr>
        <w:t>4.25%</w:t>
      </w:r>
      <w:r>
        <w:rPr>
          <w:rFonts w:eastAsiaTheme="minorEastAsia"/>
          <w:color w:val="000000" w:themeColor="text1"/>
          <w:szCs w:val="21"/>
        </w:rPr>
        <w:t>和</w:t>
      </w:r>
      <w:r>
        <w:rPr>
          <w:rFonts w:eastAsiaTheme="minorEastAsia"/>
          <w:color w:val="000000" w:themeColor="text1"/>
          <w:szCs w:val="21"/>
        </w:rPr>
        <w:t>4.58%</w:t>
      </w:r>
      <w:r>
        <w:rPr>
          <w:rFonts w:eastAsiaTheme="minorEastAsia"/>
          <w:color w:val="000000" w:themeColor="text1"/>
          <w:szCs w:val="21"/>
        </w:rPr>
        <w:t>。</w:t>
      </w:r>
      <w:r>
        <w:rPr>
          <w:rFonts w:eastAsiaTheme="minorEastAsia"/>
          <w:color w:val="000000" w:themeColor="text1"/>
          <w:szCs w:val="21"/>
        </w:rPr>
        <w:t>12</w:t>
      </w:r>
      <w:r>
        <w:rPr>
          <w:rFonts w:eastAsiaTheme="minorEastAsia"/>
          <w:color w:val="000000" w:themeColor="text1"/>
          <w:szCs w:val="21"/>
        </w:rPr>
        <w:t>月末，美元人民币即期收于</w:t>
      </w:r>
      <w:r>
        <w:rPr>
          <w:rFonts w:eastAsiaTheme="minorEastAsia"/>
          <w:color w:val="000000" w:themeColor="text1"/>
          <w:szCs w:val="21"/>
        </w:rPr>
        <w:t>7.2994</w:t>
      </w:r>
      <w:r>
        <w:rPr>
          <w:rFonts w:eastAsiaTheme="minorEastAsia"/>
          <w:color w:val="000000" w:themeColor="text1"/>
          <w:szCs w:val="21"/>
        </w:rPr>
        <w:t>，较第</w:t>
      </w:r>
      <w:r>
        <w:rPr>
          <w:rFonts w:eastAsiaTheme="minorEastAsia"/>
          <w:color w:val="000000" w:themeColor="text1"/>
          <w:szCs w:val="21"/>
        </w:rPr>
        <w:t>三季度末上升约</w:t>
      </w:r>
      <w:r>
        <w:rPr>
          <w:rFonts w:eastAsiaTheme="minorEastAsia"/>
          <w:color w:val="000000" w:themeColor="text1"/>
          <w:szCs w:val="21"/>
        </w:rPr>
        <w:t>4.09%</w:t>
      </w:r>
      <w:r>
        <w:rPr>
          <w:rFonts w:eastAsiaTheme="minorEastAsia"/>
          <w:color w:val="000000" w:themeColor="text1"/>
          <w:szCs w:val="21"/>
        </w:rPr>
        <w:t>，与中间价的价差在第四季度迅速走阔，重新回到年内较高水平。</w:t>
      </w:r>
    </w:p>
    <w:p w:rsidR="005A19FC" w:rsidRDefault="002C36D7">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债券市场方面，受流动性宽松预期进一步增强的影响，债券收益率在第四季度加速下行，并不断创造历史新低。截至第四季度末，中国</w:t>
      </w:r>
      <w:r>
        <w:rPr>
          <w:rFonts w:eastAsiaTheme="minorEastAsia"/>
          <w:color w:val="000000" w:themeColor="text1"/>
          <w:szCs w:val="21"/>
        </w:rPr>
        <w:t>10</w:t>
      </w:r>
      <w:r>
        <w:rPr>
          <w:rFonts w:eastAsiaTheme="minorEastAsia"/>
          <w:color w:val="000000" w:themeColor="text1"/>
          <w:szCs w:val="21"/>
        </w:rPr>
        <w:t>年期国债和国开债收益率分别下行</w:t>
      </w:r>
      <w:r>
        <w:rPr>
          <w:rFonts w:eastAsiaTheme="minorEastAsia"/>
          <w:color w:val="000000" w:themeColor="text1"/>
          <w:szCs w:val="21"/>
        </w:rPr>
        <w:t>48bp</w:t>
      </w:r>
      <w:r>
        <w:rPr>
          <w:rFonts w:eastAsiaTheme="minorEastAsia"/>
          <w:color w:val="000000" w:themeColor="text1"/>
          <w:szCs w:val="21"/>
        </w:rPr>
        <w:t>和</w:t>
      </w:r>
      <w:r>
        <w:rPr>
          <w:rFonts w:eastAsiaTheme="minorEastAsia"/>
          <w:color w:val="000000" w:themeColor="text1"/>
          <w:szCs w:val="21"/>
        </w:rPr>
        <w:t>52bp</w:t>
      </w:r>
      <w:r>
        <w:rPr>
          <w:rFonts w:eastAsiaTheme="minorEastAsia"/>
          <w:color w:val="000000" w:themeColor="text1"/>
          <w:szCs w:val="21"/>
        </w:rPr>
        <w:t>至</w:t>
      </w:r>
      <w:r>
        <w:rPr>
          <w:rFonts w:eastAsiaTheme="minorEastAsia"/>
          <w:color w:val="000000" w:themeColor="text1"/>
          <w:szCs w:val="21"/>
        </w:rPr>
        <w:t>1.68%</w:t>
      </w:r>
      <w:r>
        <w:rPr>
          <w:rFonts w:eastAsiaTheme="minorEastAsia"/>
          <w:color w:val="000000" w:themeColor="text1"/>
          <w:szCs w:val="21"/>
        </w:rPr>
        <w:t>和</w:t>
      </w:r>
      <w:r>
        <w:rPr>
          <w:rFonts w:eastAsiaTheme="minorEastAsia"/>
          <w:color w:val="000000" w:themeColor="text1"/>
          <w:szCs w:val="21"/>
        </w:rPr>
        <w:t>1.73%</w:t>
      </w:r>
      <w:r>
        <w:rPr>
          <w:rFonts w:eastAsiaTheme="minorEastAsia"/>
          <w:color w:val="000000" w:themeColor="text1"/>
          <w:szCs w:val="21"/>
        </w:rPr>
        <w:t>。</w:t>
      </w:r>
    </w:p>
    <w:p w:rsidR="005A19FC" w:rsidRDefault="002C36D7">
      <w:pPr>
        <w:spacing w:line="360" w:lineRule="auto"/>
        <w:ind w:firstLineChars="200" w:firstLine="420"/>
        <w:rPr>
          <w:rFonts w:eastAsiaTheme="minorEastAsia"/>
          <w:color w:val="000000" w:themeColor="text1"/>
          <w:szCs w:val="21"/>
        </w:rPr>
      </w:pPr>
      <w:r>
        <w:rPr>
          <w:rFonts w:eastAsiaTheme="minorEastAsia"/>
          <w:color w:val="000000" w:themeColor="text1"/>
          <w:szCs w:val="21"/>
        </w:rPr>
        <w:t>第四季度，基金小幅提升了杠杆水平并显著提升了久期水平。</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展望</w:t>
      </w:r>
      <w:r w:rsidRPr="0073597F">
        <w:rPr>
          <w:rFonts w:eastAsiaTheme="minorEastAsia"/>
          <w:color w:val="000000" w:themeColor="text1"/>
          <w:szCs w:val="21"/>
        </w:rPr>
        <w:t>2025</w:t>
      </w:r>
      <w:r w:rsidRPr="0073597F">
        <w:rPr>
          <w:rFonts w:eastAsiaTheme="minorEastAsia"/>
          <w:color w:val="000000" w:themeColor="text1"/>
          <w:szCs w:val="21"/>
        </w:rPr>
        <w:t>年，特朗普上台后美国政策的走向让国际经济环境充满了不确定性，预计国内方面的经济托底政策将持续出台，保持小步快走，但经济的筑底回升仍需时日。债券收益率进入新的</w:t>
      </w:r>
      <w:r w:rsidRPr="0073597F">
        <w:rPr>
          <w:rFonts w:eastAsiaTheme="minorEastAsia"/>
          <w:color w:val="000000" w:themeColor="text1"/>
          <w:szCs w:val="21"/>
        </w:rPr>
        <w:t>“</w:t>
      </w:r>
      <w:r w:rsidRPr="0073597F">
        <w:rPr>
          <w:rFonts w:eastAsiaTheme="minorEastAsia"/>
          <w:color w:val="000000" w:themeColor="text1"/>
          <w:szCs w:val="21"/>
        </w:rPr>
        <w:t>无人区</w:t>
      </w:r>
      <w:r w:rsidRPr="0073597F">
        <w:rPr>
          <w:rFonts w:eastAsiaTheme="minorEastAsia"/>
          <w:color w:val="000000" w:themeColor="text1"/>
          <w:szCs w:val="21"/>
        </w:rPr>
        <w:t>”</w:t>
      </w:r>
      <w:r w:rsidRPr="0073597F">
        <w:rPr>
          <w:rFonts w:eastAsiaTheme="minorEastAsia"/>
          <w:color w:val="000000" w:themeColor="text1"/>
          <w:szCs w:val="21"/>
        </w:rPr>
        <w:t>之后可能会进入震荡调整的时期，逐渐夯实底部，收益率的进一步快速下行可能需要更多利多债市的因素出现，</w:t>
      </w:r>
      <w:r w:rsidRPr="0073597F">
        <w:rPr>
          <w:rFonts w:eastAsiaTheme="minorEastAsia"/>
          <w:color w:val="000000" w:themeColor="text1"/>
          <w:szCs w:val="21"/>
        </w:rPr>
        <w:t>2025</w:t>
      </w:r>
      <w:r w:rsidRPr="0073597F">
        <w:rPr>
          <w:rFonts w:eastAsiaTheme="minorEastAsia"/>
          <w:color w:val="000000" w:themeColor="text1"/>
          <w:szCs w:val="21"/>
        </w:rPr>
        <w:t>年一季度的债券供给可能会带来一定压力，但债券市场行情并未结束，调整可能带来更好的入场机会。</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5A19FC" w:rsidRDefault="002C36D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本报告期摩根丰瑞</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:2.32%</w:t>
      </w:r>
      <w:r>
        <w:rPr>
          <w:rFonts w:eastAsiaTheme="minorEastAsia"/>
          <w:color w:val="000000" w:themeColor="text1"/>
          <w:szCs w:val="21"/>
        </w:rPr>
        <w:t>，同期业绩比较基准收益率为</w:t>
      </w:r>
      <w:r>
        <w:rPr>
          <w:rFonts w:eastAsiaTheme="minorEastAsia"/>
          <w:color w:val="000000" w:themeColor="text1"/>
          <w:szCs w:val="21"/>
        </w:rPr>
        <w:t>:2.71%</w:t>
      </w:r>
    </w:p>
    <w:p w:rsidR="005A19FC" w:rsidRDefault="002C36D7">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摩根丰瑞</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:2.29%</w:t>
      </w:r>
      <w:r>
        <w:rPr>
          <w:rFonts w:eastAsiaTheme="minorEastAsia"/>
          <w:color w:val="000000" w:themeColor="text1"/>
          <w:szCs w:val="21"/>
        </w:rPr>
        <w:t>，同期业绩比较基准收益率为</w:t>
      </w:r>
      <w:r>
        <w:rPr>
          <w:rFonts w:eastAsiaTheme="minorEastAsia"/>
          <w:color w:val="000000" w:themeColor="text1"/>
          <w:szCs w:val="21"/>
        </w:rPr>
        <w:t>:2.71%</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lastRenderedPageBreak/>
        <w:t>摩根丰瑞</w:t>
      </w:r>
      <w:r w:rsidRPr="0073597F">
        <w:rPr>
          <w:rFonts w:eastAsiaTheme="minorEastAsia"/>
          <w:color w:val="000000" w:themeColor="text1"/>
          <w:szCs w:val="21"/>
        </w:rPr>
        <w:t>D</w:t>
      </w:r>
      <w:r w:rsidRPr="0073597F">
        <w:rPr>
          <w:rFonts w:eastAsiaTheme="minorEastAsia"/>
          <w:color w:val="000000" w:themeColor="text1"/>
          <w:szCs w:val="21"/>
        </w:rPr>
        <w:t>份额净值增长率为</w:t>
      </w:r>
      <w:r w:rsidRPr="0073597F">
        <w:rPr>
          <w:rFonts w:eastAsiaTheme="minorEastAsia"/>
          <w:color w:val="000000" w:themeColor="text1"/>
          <w:szCs w:val="21"/>
        </w:rPr>
        <w:t>:1.89%</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:2.71%</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658,040,723.93</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99.85</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658,040,723.93</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99.85</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991,453.23</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0.15</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318.19</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0.00</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659,032,495.35</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本基金本报告期末未持有股票。</w:t>
      </w:r>
    </w:p>
    <w:p w:rsidR="00B27A29" w:rsidRPr="0073597F" w:rsidRDefault="00B27A29" w:rsidP="00B27A29">
      <w:pPr>
        <w:spacing w:line="360" w:lineRule="auto"/>
        <w:rPr>
          <w:rFonts w:eastAsiaTheme="minorEastAsia"/>
          <w:color w:val="000000" w:themeColor="text1"/>
          <w:szCs w:val="21"/>
        </w:rPr>
      </w:pPr>
      <w:bookmarkStart w:id="2"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p w:rsidR="00B27A29" w:rsidRPr="0073597F" w:rsidRDefault="00B27A29" w:rsidP="00B27A29">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本基金本报告期末未持有股票。</w:t>
      </w:r>
    </w:p>
    <w:bookmarkEnd w:id="2"/>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lastRenderedPageBreak/>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74,232,628.62</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11.62</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583,808,095.31</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91.41</w:t>
            </w:r>
          </w:p>
        </w:tc>
      </w:tr>
      <w:tr w:rsidR="0073597F" w:rsidRPr="0073597F">
        <w:tc>
          <w:tcPr>
            <w:tcW w:w="817"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337,030,647.63</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52.77</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658,040,723.93</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103.04</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5A19FC">
        <w:tc>
          <w:tcPr>
            <w:tcW w:w="1504" w:type="dxa"/>
            <w:vAlign w:val="center"/>
          </w:tcPr>
          <w:p w:rsidR="005A19FC" w:rsidRDefault="002C36D7">
            <w:pPr>
              <w:jc w:val="center"/>
            </w:pPr>
            <w:r>
              <w:rPr>
                <w:rFonts w:eastAsiaTheme="minorEastAsia"/>
                <w:color w:val="000000" w:themeColor="text1"/>
                <w:szCs w:val="21"/>
              </w:rPr>
              <w:t>1</w:t>
            </w:r>
          </w:p>
        </w:tc>
        <w:tc>
          <w:tcPr>
            <w:tcW w:w="1504" w:type="dxa"/>
            <w:vAlign w:val="center"/>
          </w:tcPr>
          <w:p w:rsidR="005A19FC" w:rsidRDefault="002C36D7">
            <w:pPr>
              <w:jc w:val="center"/>
            </w:pPr>
            <w:r>
              <w:rPr>
                <w:rFonts w:eastAsiaTheme="minorEastAsia"/>
                <w:color w:val="000000" w:themeColor="text1"/>
                <w:szCs w:val="21"/>
              </w:rPr>
              <w:t>230208</w:t>
            </w:r>
          </w:p>
        </w:tc>
        <w:tc>
          <w:tcPr>
            <w:tcW w:w="1504" w:type="dxa"/>
            <w:vAlign w:val="center"/>
          </w:tcPr>
          <w:p w:rsidR="005A19FC" w:rsidRDefault="002C36D7">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rsidR="005A19FC" w:rsidRDefault="002C36D7">
            <w:pPr>
              <w:jc w:val="right"/>
            </w:pPr>
            <w:r>
              <w:rPr>
                <w:rFonts w:eastAsiaTheme="minorEastAsia"/>
                <w:color w:val="000000" w:themeColor="text1"/>
                <w:szCs w:val="21"/>
              </w:rPr>
              <w:t>1,000,000</w:t>
            </w:r>
          </w:p>
        </w:tc>
        <w:tc>
          <w:tcPr>
            <w:tcW w:w="1503" w:type="dxa"/>
            <w:vAlign w:val="center"/>
          </w:tcPr>
          <w:p w:rsidR="005A19FC" w:rsidRDefault="002C36D7">
            <w:pPr>
              <w:jc w:val="right"/>
            </w:pPr>
            <w:r>
              <w:rPr>
                <w:rFonts w:eastAsiaTheme="minorEastAsia"/>
                <w:color w:val="000000" w:themeColor="text1"/>
                <w:szCs w:val="21"/>
              </w:rPr>
              <w:t>105,145,808.22</w:t>
            </w:r>
          </w:p>
        </w:tc>
        <w:tc>
          <w:tcPr>
            <w:tcW w:w="1503" w:type="dxa"/>
            <w:vAlign w:val="center"/>
          </w:tcPr>
          <w:p w:rsidR="005A19FC" w:rsidRDefault="002C36D7">
            <w:pPr>
              <w:jc w:val="right"/>
            </w:pPr>
            <w:r>
              <w:rPr>
                <w:rFonts w:eastAsiaTheme="minorEastAsia"/>
                <w:color w:val="000000" w:themeColor="text1"/>
                <w:szCs w:val="21"/>
              </w:rPr>
              <w:t>16.46</w:t>
            </w:r>
          </w:p>
        </w:tc>
      </w:tr>
      <w:tr w:rsidR="005A19FC">
        <w:tc>
          <w:tcPr>
            <w:tcW w:w="1504" w:type="dxa"/>
            <w:vAlign w:val="center"/>
          </w:tcPr>
          <w:p w:rsidR="005A19FC" w:rsidRDefault="002C36D7">
            <w:pPr>
              <w:jc w:val="center"/>
            </w:pPr>
            <w:r>
              <w:rPr>
                <w:rFonts w:eastAsiaTheme="minorEastAsia"/>
                <w:color w:val="000000" w:themeColor="text1"/>
                <w:szCs w:val="21"/>
              </w:rPr>
              <w:t>2</w:t>
            </w:r>
          </w:p>
        </w:tc>
        <w:tc>
          <w:tcPr>
            <w:tcW w:w="1504" w:type="dxa"/>
            <w:vAlign w:val="center"/>
          </w:tcPr>
          <w:p w:rsidR="005A19FC" w:rsidRDefault="002C36D7">
            <w:pPr>
              <w:jc w:val="center"/>
            </w:pPr>
            <w:r>
              <w:rPr>
                <w:rFonts w:eastAsiaTheme="minorEastAsia"/>
                <w:color w:val="000000" w:themeColor="text1"/>
                <w:szCs w:val="21"/>
              </w:rPr>
              <w:t>240215</w:t>
            </w:r>
          </w:p>
        </w:tc>
        <w:tc>
          <w:tcPr>
            <w:tcW w:w="1504" w:type="dxa"/>
            <w:vAlign w:val="center"/>
          </w:tcPr>
          <w:p w:rsidR="005A19FC" w:rsidRDefault="002C36D7">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15</w:t>
            </w:r>
          </w:p>
        </w:tc>
        <w:tc>
          <w:tcPr>
            <w:tcW w:w="1503" w:type="dxa"/>
            <w:vAlign w:val="center"/>
          </w:tcPr>
          <w:p w:rsidR="005A19FC" w:rsidRDefault="002C36D7">
            <w:pPr>
              <w:jc w:val="right"/>
            </w:pPr>
            <w:r>
              <w:rPr>
                <w:rFonts w:eastAsiaTheme="minorEastAsia"/>
                <w:color w:val="000000" w:themeColor="text1"/>
                <w:szCs w:val="21"/>
              </w:rPr>
              <w:t>700,000</w:t>
            </w:r>
          </w:p>
        </w:tc>
        <w:tc>
          <w:tcPr>
            <w:tcW w:w="1503" w:type="dxa"/>
            <w:vAlign w:val="center"/>
          </w:tcPr>
          <w:p w:rsidR="005A19FC" w:rsidRDefault="002C36D7">
            <w:pPr>
              <w:jc w:val="right"/>
            </w:pPr>
            <w:r>
              <w:rPr>
                <w:rFonts w:eastAsiaTheme="minorEastAsia"/>
                <w:color w:val="000000" w:themeColor="text1"/>
                <w:szCs w:val="21"/>
              </w:rPr>
              <w:t>73,953,484.93</w:t>
            </w:r>
          </w:p>
        </w:tc>
        <w:tc>
          <w:tcPr>
            <w:tcW w:w="1503" w:type="dxa"/>
            <w:vAlign w:val="center"/>
          </w:tcPr>
          <w:p w:rsidR="005A19FC" w:rsidRDefault="002C36D7">
            <w:pPr>
              <w:jc w:val="right"/>
            </w:pPr>
            <w:r>
              <w:rPr>
                <w:rFonts w:eastAsiaTheme="minorEastAsia"/>
                <w:color w:val="000000" w:themeColor="text1"/>
                <w:szCs w:val="21"/>
              </w:rPr>
              <w:t>11.58</w:t>
            </w:r>
          </w:p>
        </w:tc>
      </w:tr>
      <w:tr w:rsidR="005A19FC">
        <w:tc>
          <w:tcPr>
            <w:tcW w:w="1504" w:type="dxa"/>
            <w:vAlign w:val="center"/>
          </w:tcPr>
          <w:p w:rsidR="005A19FC" w:rsidRDefault="002C36D7">
            <w:pPr>
              <w:jc w:val="center"/>
            </w:pPr>
            <w:r>
              <w:rPr>
                <w:rFonts w:eastAsiaTheme="minorEastAsia"/>
                <w:color w:val="000000" w:themeColor="text1"/>
                <w:szCs w:val="21"/>
              </w:rPr>
              <w:t>3</w:t>
            </w:r>
          </w:p>
        </w:tc>
        <w:tc>
          <w:tcPr>
            <w:tcW w:w="1504" w:type="dxa"/>
            <w:vAlign w:val="center"/>
          </w:tcPr>
          <w:p w:rsidR="005A19FC" w:rsidRDefault="002C36D7">
            <w:pPr>
              <w:jc w:val="center"/>
            </w:pPr>
            <w:r>
              <w:rPr>
                <w:rFonts w:eastAsiaTheme="minorEastAsia"/>
                <w:color w:val="000000" w:themeColor="text1"/>
                <w:szCs w:val="21"/>
              </w:rPr>
              <w:t>240203</w:t>
            </w:r>
          </w:p>
        </w:tc>
        <w:tc>
          <w:tcPr>
            <w:tcW w:w="1504" w:type="dxa"/>
            <w:vAlign w:val="center"/>
          </w:tcPr>
          <w:p w:rsidR="005A19FC" w:rsidRDefault="002C36D7">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03</w:t>
            </w:r>
          </w:p>
        </w:tc>
        <w:tc>
          <w:tcPr>
            <w:tcW w:w="1503" w:type="dxa"/>
            <w:vAlign w:val="center"/>
          </w:tcPr>
          <w:p w:rsidR="005A19FC" w:rsidRDefault="002C36D7">
            <w:pPr>
              <w:jc w:val="right"/>
            </w:pPr>
            <w:r>
              <w:rPr>
                <w:rFonts w:eastAsiaTheme="minorEastAsia"/>
                <w:color w:val="000000" w:themeColor="text1"/>
                <w:szCs w:val="21"/>
              </w:rPr>
              <w:t>500,000</w:t>
            </w:r>
          </w:p>
        </w:tc>
        <w:tc>
          <w:tcPr>
            <w:tcW w:w="1503" w:type="dxa"/>
            <w:vAlign w:val="center"/>
          </w:tcPr>
          <w:p w:rsidR="005A19FC" w:rsidRDefault="002C36D7">
            <w:pPr>
              <w:jc w:val="right"/>
            </w:pPr>
            <w:r>
              <w:rPr>
                <w:rFonts w:eastAsiaTheme="minorEastAsia"/>
                <w:color w:val="000000" w:themeColor="text1"/>
                <w:szCs w:val="21"/>
              </w:rPr>
              <w:t>52,661,612.02</w:t>
            </w:r>
          </w:p>
        </w:tc>
        <w:tc>
          <w:tcPr>
            <w:tcW w:w="1503" w:type="dxa"/>
            <w:vAlign w:val="center"/>
          </w:tcPr>
          <w:p w:rsidR="005A19FC" w:rsidRDefault="002C36D7">
            <w:pPr>
              <w:jc w:val="right"/>
            </w:pPr>
            <w:r>
              <w:rPr>
                <w:rFonts w:eastAsiaTheme="minorEastAsia"/>
                <w:color w:val="000000" w:themeColor="text1"/>
                <w:szCs w:val="21"/>
              </w:rPr>
              <w:t>8.25</w:t>
            </w:r>
          </w:p>
        </w:tc>
      </w:tr>
      <w:tr w:rsidR="005A19FC">
        <w:tc>
          <w:tcPr>
            <w:tcW w:w="1504" w:type="dxa"/>
            <w:vAlign w:val="center"/>
          </w:tcPr>
          <w:p w:rsidR="005A19FC" w:rsidRDefault="002C36D7">
            <w:pPr>
              <w:jc w:val="center"/>
            </w:pPr>
            <w:r>
              <w:rPr>
                <w:rFonts w:eastAsiaTheme="minorEastAsia"/>
                <w:color w:val="000000" w:themeColor="text1"/>
                <w:szCs w:val="21"/>
              </w:rPr>
              <w:t>4</w:t>
            </w:r>
          </w:p>
        </w:tc>
        <w:tc>
          <w:tcPr>
            <w:tcW w:w="1504" w:type="dxa"/>
            <w:vAlign w:val="center"/>
          </w:tcPr>
          <w:p w:rsidR="005A19FC" w:rsidRDefault="002C36D7">
            <w:pPr>
              <w:jc w:val="center"/>
            </w:pPr>
            <w:r>
              <w:rPr>
                <w:rFonts w:eastAsiaTheme="minorEastAsia"/>
                <w:color w:val="000000" w:themeColor="text1"/>
                <w:szCs w:val="21"/>
              </w:rPr>
              <w:t>230210</w:t>
            </w:r>
          </w:p>
        </w:tc>
        <w:tc>
          <w:tcPr>
            <w:tcW w:w="1504" w:type="dxa"/>
            <w:vAlign w:val="center"/>
          </w:tcPr>
          <w:p w:rsidR="005A19FC" w:rsidRDefault="002C36D7">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rsidR="005A19FC" w:rsidRDefault="002C36D7">
            <w:pPr>
              <w:jc w:val="right"/>
            </w:pPr>
            <w:r>
              <w:rPr>
                <w:rFonts w:eastAsiaTheme="minorEastAsia"/>
                <w:color w:val="000000" w:themeColor="text1"/>
                <w:szCs w:val="21"/>
              </w:rPr>
              <w:t>400,000</w:t>
            </w:r>
          </w:p>
        </w:tc>
        <w:tc>
          <w:tcPr>
            <w:tcW w:w="1503" w:type="dxa"/>
            <w:vAlign w:val="center"/>
          </w:tcPr>
          <w:p w:rsidR="005A19FC" w:rsidRDefault="002C36D7">
            <w:pPr>
              <w:jc w:val="right"/>
            </w:pPr>
            <w:r>
              <w:rPr>
                <w:rFonts w:eastAsiaTheme="minorEastAsia"/>
                <w:color w:val="000000" w:themeColor="text1"/>
                <w:szCs w:val="21"/>
              </w:rPr>
              <w:t>43,944,252.05</w:t>
            </w:r>
          </w:p>
        </w:tc>
        <w:tc>
          <w:tcPr>
            <w:tcW w:w="1503" w:type="dxa"/>
            <w:vAlign w:val="center"/>
          </w:tcPr>
          <w:p w:rsidR="005A19FC" w:rsidRDefault="002C36D7">
            <w:pPr>
              <w:jc w:val="right"/>
            </w:pPr>
            <w:r>
              <w:rPr>
                <w:rFonts w:eastAsiaTheme="minorEastAsia"/>
                <w:color w:val="000000" w:themeColor="text1"/>
                <w:szCs w:val="21"/>
              </w:rPr>
              <w:t>6.88</w:t>
            </w:r>
          </w:p>
        </w:tc>
      </w:tr>
      <w:tr w:rsidR="005A19FC">
        <w:tc>
          <w:tcPr>
            <w:tcW w:w="1504" w:type="dxa"/>
            <w:vAlign w:val="center"/>
          </w:tcPr>
          <w:p w:rsidR="005A19FC" w:rsidRDefault="002C36D7">
            <w:pPr>
              <w:jc w:val="center"/>
            </w:pPr>
            <w:r>
              <w:rPr>
                <w:rFonts w:eastAsiaTheme="minorEastAsia"/>
                <w:color w:val="000000" w:themeColor="text1"/>
                <w:szCs w:val="21"/>
              </w:rPr>
              <w:t>5</w:t>
            </w:r>
          </w:p>
        </w:tc>
        <w:tc>
          <w:tcPr>
            <w:tcW w:w="1504" w:type="dxa"/>
            <w:vAlign w:val="center"/>
          </w:tcPr>
          <w:p w:rsidR="005A19FC" w:rsidRDefault="002C36D7">
            <w:pPr>
              <w:jc w:val="center"/>
            </w:pPr>
            <w:r>
              <w:rPr>
                <w:rFonts w:eastAsiaTheme="minorEastAsia"/>
                <w:color w:val="000000" w:themeColor="text1"/>
                <w:szCs w:val="21"/>
              </w:rPr>
              <w:t>2400006</w:t>
            </w:r>
          </w:p>
        </w:tc>
        <w:tc>
          <w:tcPr>
            <w:tcW w:w="1504" w:type="dxa"/>
            <w:vAlign w:val="center"/>
          </w:tcPr>
          <w:p w:rsidR="005A19FC" w:rsidRDefault="002C36D7">
            <w:pPr>
              <w:jc w:val="center"/>
            </w:pPr>
            <w:r>
              <w:rPr>
                <w:rFonts w:eastAsiaTheme="minorEastAsia"/>
                <w:color w:val="000000" w:themeColor="text1"/>
                <w:szCs w:val="21"/>
              </w:rPr>
              <w:t>24</w:t>
            </w:r>
            <w:r>
              <w:rPr>
                <w:rFonts w:eastAsiaTheme="minorEastAsia"/>
                <w:color w:val="000000" w:themeColor="text1"/>
                <w:szCs w:val="21"/>
              </w:rPr>
              <w:t>特别国债</w:t>
            </w:r>
            <w:r>
              <w:rPr>
                <w:rFonts w:eastAsiaTheme="minorEastAsia"/>
                <w:color w:val="000000" w:themeColor="text1"/>
                <w:szCs w:val="21"/>
              </w:rPr>
              <w:t>06</w:t>
            </w:r>
          </w:p>
        </w:tc>
        <w:tc>
          <w:tcPr>
            <w:tcW w:w="1503" w:type="dxa"/>
            <w:vAlign w:val="center"/>
          </w:tcPr>
          <w:p w:rsidR="005A19FC" w:rsidRDefault="002C36D7">
            <w:pPr>
              <w:jc w:val="right"/>
            </w:pPr>
            <w:r>
              <w:rPr>
                <w:rFonts w:eastAsiaTheme="minorEastAsia"/>
                <w:color w:val="000000" w:themeColor="text1"/>
                <w:szCs w:val="21"/>
              </w:rPr>
              <w:t>400,000</w:t>
            </w:r>
          </w:p>
        </w:tc>
        <w:tc>
          <w:tcPr>
            <w:tcW w:w="1503" w:type="dxa"/>
            <w:vAlign w:val="center"/>
          </w:tcPr>
          <w:p w:rsidR="005A19FC" w:rsidRDefault="002C36D7">
            <w:pPr>
              <w:jc w:val="right"/>
            </w:pPr>
            <w:r>
              <w:rPr>
                <w:rFonts w:eastAsiaTheme="minorEastAsia"/>
                <w:color w:val="000000" w:themeColor="text1"/>
                <w:szCs w:val="21"/>
              </w:rPr>
              <w:t>42,749,149.17</w:t>
            </w:r>
          </w:p>
        </w:tc>
        <w:tc>
          <w:tcPr>
            <w:tcW w:w="1503" w:type="dxa"/>
            <w:vAlign w:val="center"/>
          </w:tcPr>
          <w:p w:rsidR="005A19FC" w:rsidRDefault="002C36D7">
            <w:pPr>
              <w:jc w:val="right"/>
            </w:pPr>
            <w:r>
              <w:rPr>
                <w:rFonts w:eastAsiaTheme="minorEastAsia"/>
                <w:color w:val="000000" w:themeColor="text1"/>
                <w:szCs w:val="21"/>
              </w:rPr>
              <w:t>6.69</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lastRenderedPageBreak/>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本基金投资的前十名证券的发行主体中，中国光大银行股份有限公司报告编制日前一年内曾受到国家金融监督管理总局的处罚，浙商银行股份有限公司报告编制日前一年内曾受到国家金融监督管理总局浙江监管局的处罚，国家开发银行报告编制日前一年内曾受到国家金融监督管理总局北京监管局的处罚。</w:t>
      </w:r>
    </w:p>
    <w:p w:rsidR="005A19FC" w:rsidRDefault="002C36D7">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308.19</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10.00</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318.19</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lastRenderedPageBreak/>
        <w:t>5.11.4</w:t>
      </w:r>
      <w:r w:rsidRPr="0073597F">
        <w:rPr>
          <w:rFonts w:eastAsiaTheme="minorEastAsia"/>
          <w:b/>
          <w:color w:val="000000" w:themeColor="text1"/>
          <w:kern w:val="0"/>
          <w:szCs w:val="21"/>
        </w:rPr>
        <w:t>报告期末持有的处于转股期的可转换债券明细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本基金本报告期末未持有处于转股期的可转换债券。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C</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593,587,073.93</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18,572,689.06</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20,435.64</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166,167.82</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24,523.86</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18,453.41</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18,626,532.27</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18,549,847.12</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38,833.19</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575,126,709.48</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47,365.80</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55.86</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8363" w:type="dxa"/>
        <w:tblInd w:w="108" w:type="dxa"/>
        <w:tblLayout w:type="fixed"/>
        <w:tblLook w:val="0000" w:firstRow="0" w:lastRow="0" w:firstColumn="0" w:lastColumn="0" w:noHBand="0" w:noVBand="0"/>
      </w:tblPr>
      <w:tblGrid>
        <w:gridCol w:w="1701"/>
        <w:gridCol w:w="2127"/>
        <w:gridCol w:w="2268"/>
        <w:gridCol w:w="2267"/>
      </w:tblGrid>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kern w:val="0"/>
                <w:szCs w:val="21"/>
              </w:rPr>
            </w:pPr>
            <w:bookmarkStart w:id="3" w:name="_Hlk91512286"/>
            <w:r w:rsidRPr="0073597F">
              <w:rPr>
                <w:rFonts w:eastAsiaTheme="minorEastAsia"/>
                <w:color w:val="000000" w:themeColor="text1"/>
                <w:kern w:val="0"/>
                <w:szCs w:val="21"/>
              </w:rPr>
              <w:t>项目</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A</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C</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rPr>
                <w:rFonts w:eastAsia="方正仿宋简体"/>
                <w:color w:val="000000" w:themeColor="text1"/>
                <w:szCs w:val="21"/>
              </w:rPr>
            </w:pPr>
            <w:r w:rsidRPr="0073597F">
              <w:rPr>
                <w:color w:val="000000" w:themeColor="text1"/>
                <w:szCs w:val="21"/>
              </w:rPr>
              <w:t>报告期期初管理人持有的本基金份额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82,262.98</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lastRenderedPageBreak/>
              <w:t>报告期期间</w:t>
            </w:r>
            <w:r w:rsidRPr="0073597F">
              <w:rPr>
                <w:color w:val="000000" w:themeColor="text1"/>
                <w:szCs w:val="21"/>
              </w:rPr>
              <w:t>买入</w:t>
            </w:r>
            <w:r w:rsidRPr="0073597F">
              <w:rPr>
                <w:color w:val="000000" w:themeColor="text1"/>
                <w:szCs w:val="21"/>
              </w:rPr>
              <w:t>/</w:t>
            </w:r>
            <w:r w:rsidRPr="0073597F">
              <w:rPr>
                <w:color w:val="000000" w:themeColor="text1"/>
                <w:szCs w:val="21"/>
              </w:rPr>
              <w:t>申购总份额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卖出</w:t>
            </w:r>
            <w:r w:rsidRPr="0073597F">
              <w:rPr>
                <w:color w:val="000000" w:themeColor="text1"/>
                <w:szCs w:val="21"/>
              </w:rPr>
              <w:t>/</w:t>
            </w:r>
            <w:r w:rsidRPr="0073597F">
              <w:rPr>
                <w:color w:val="000000" w:themeColor="text1"/>
                <w:szCs w:val="21"/>
              </w:rPr>
              <w:t>赎回总份额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82,262.98</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报告期期末持有的本基金份额占基金总份额比例（</w:t>
            </w:r>
            <w:r w:rsidRPr="0073597F">
              <w:rPr>
                <w:color w:val="000000" w:themeColor="text1"/>
                <w:szCs w:val="21"/>
              </w:rPr>
              <w:t>%</w:t>
            </w:r>
            <w:r w:rsidRPr="0073597F">
              <w:rPr>
                <w:color w:val="000000" w:themeColor="text1"/>
                <w:szCs w:val="21"/>
              </w:rPr>
              <w:t>）</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0.01</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bl>
    <w:bookmarkEnd w:id="3"/>
    <w:p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基金管理人运用固有资金投资本基金交易明细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影响投资者决策的其他重要信息</w:t>
      </w:r>
    </w:p>
    <w:p w:rsidR="005E6DF3" w:rsidRPr="0073597F" w:rsidRDefault="005C671B">
      <w:pPr>
        <w:autoSpaceDE w:val="0"/>
        <w:autoSpaceDN w:val="0"/>
        <w:adjustRightInd w:val="0"/>
        <w:spacing w:line="360" w:lineRule="auto"/>
        <w:jc w:val="left"/>
        <w:rPr>
          <w:b/>
          <w:bCs/>
          <w:color w:val="000000" w:themeColor="text1"/>
          <w:kern w:val="0"/>
          <w:szCs w:val="21"/>
        </w:rPr>
      </w:pPr>
      <w:r w:rsidRPr="0073597F">
        <w:rPr>
          <w:b/>
          <w:bCs/>
          <w:color w:val="000000" w:themeColor="text1"/>
          <w:kern w:val="0"/>
          <w:szCs w:val="21"/>
        </w:rPr>
        <w:t xml:space="preserve">8.1 </w:t>
      </w:r>
      <w:r w:rsidRPr="0073597F">
        <w:rPr>
          <w:b/>
          <w:bCs/>
          <w:color w:val="000000" w:themeColor="text1"/>
          <w:kern w:val="0"/>
          <w:szCs w:val="21"/>
        </w:rPr>
        <w:t>报告期内单一投资者持有基金份额比例达到或超过</w:t>
      </w:r>
      <w:r w:rsidRPr="0073597F">
        <w:rPr>
          <w:b/>
          <w:bCs/>
          <w:color w:val="000000" w:themeColor="text1"/>
          <w:kern w:val="0"/>
          <w:szCs w:val="21"/>
        </w:rPr>
        <w:t>20%</w:t>
      </w:r>
      <w:r w:rsidRPr="0073597F">
        <w:rPr>
          <w:b/>
          <w:bCs/>
          <w:color w:val="000000" w:themeColor="text1"/>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73597F" w:rsidRPr="0073597F">
        <w:tc>
          <w:tcPr>
            <w:tcW w:w="993" w:type="dxa"/>
            <w:vMerge w:val="restart"/>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投资者类别</w:t>
            </w:r>
            <w:r w:rsidRPr="0073597F">
              <w:rPr>
                <w:color w:val="000000" w:themeColor="text1"/>
                <w:kern w:val="0"/>
                <w:szCs w:val="21"/>
              </w:rPr>
              <w:t xml:space="preserve">  </w:t>
            </w:r>
          </w:p>
        </w:tc>
        <w:tc>
          <w:tcPr>
            <w:tcW w:w="5670" w:type="dxa"/>
            <w:gridSpan w:val="5"/>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报告期内持有基金份额变化情况</w:t>
            </w:r>
          </w:p>
        </w:tc>
        <w:tc>
          <w:tcPr>
            <w:tcW w:w="2549" w:type="dxa"/>
            <w:gridSpan w:val="2"/>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报告期末持有基金情况</w:t>
            </w:r>
          </w:p>
        </w:tc>
      </w:tr>
      <w:tr w:rsidR="0073597F" w:rsidRPr="0073597F">
        <w:tc>
          <w:tcPr>
            <w:tcW w:w="993" w:type="dxa"/>
            <w:vMerge/>
            <w:vAlign w:val="center"/>
          </w:tcPr>
          <w:p w:rsidR="005E6DF3" w:rsidRPr="0073597F" w:rsidRDefault="005E6DF3">
            <w:pPr>
              <w:autoSpaceDE w:val="0"/>
              <w:autoSpaceDN w:val="0"/>
              <w:adjustRightInd w:val="0"/>
              <w:jc w:val="center"/>
              <w:rPr>
                <w:b/>
                <w:bCs/>
                <w:color w:val="000000" w:themeColor="text1"/>
                <w:kern w:val="0"/>
                <w:szCs w:val="21"/>
              </w:rPr>
            </w:pPr>
          </w:p>
        </w:tc>
        <w:tc>
          <w:tcPr>
            <w:tcW w:w="992" w:type="dxa"/>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序号</w:t>
            </w:r>
          </w:p>
        </w:tc>
        <w:tc>
          <w:tcPr>
            <w:tcW w:w="1843" w:type="dxa"/>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持有基金份额比例达到或者超过</w:t>
            </w:r>
            <w:r w:rsidRPr="0073597F">
              <w:rPr>
                <w:color w:val="000000" w:themeColor="text1"/>
                <w:kern w:val="0"/>
                <w:szCs w:val="21"/>
              </w:rPr>
              <w:t>20%</w:t>
            </w:r>
            <w:r w:rsidRPr="0073597F">
              <w:rPr>
                <w:color w:val="000000" w:themeColor="text1"/>
                <w:kern w:val="0"/>
                <w:szCs w:val="21"/>
              </w:rPr>
              <w:t>的时间区间</w:t>
            </w:r>
          </w:p>
        </w:tc>
        <w:tc>
          <w:tcPr>
            <w:tcW w:w="851" w:type="dxa"/>
            <w:vAlign w:val="center"/>
          </w:tcPr>
          <w:p w:rsidR="005E6DF3" w:rsidRPr="0073597F" w:rsidRDefault="005C671B">
            <w:pPr>
              <w:widowControl/>
              <w:jc w:val="center"/>
              <w:rPr>
                <w:b/>
                <w:bCs/>
                <w:color w:val="000000" w:themeColor="text1"/>
                <w:kern w:val="0"/>
                <w:szCs w:val="21"/>
              </w:rPr>
            </w:pPr>
            <w:r w:rsidRPr="0073597F">
              <w:rPr>
                <w:color w:val="000000" w:themeColor="text1"/>
                <w:kern w:val="0"/>
                <w:szCs w:val="21"/>
              </w:rPr>
              <w:t>期初份额</w:t>
            </w:r>
          </w:p>
        </w:tc>
        <w:tc>
          <w:tcPr>
            <w:tcW w:w="850" w:type="dxa"/>
            <w:vAlign w:val="center"/>
          </w:tcPr>
          <w:p w:rsidR="005E6DF3" w:rsidRPr="0073597F" w:rsidRDefault="005C671B">
            <w:pPr>
              <w:widowControl/>
              <w:jc w:val="center"/>
              <w:rPr>
                <w:b/>
                <w:bCs/>
                <w:color w:val="000000" w:themeColor="text1"/>
                <w:kern w:val="0"/>
                <w:szCs w:val="21"/>
              </w:rPr>
            </w:pPr>
            <w:r w:rsidRPr="0073597F">
              <w:rPr>
                <w:color w:val="000000" w:themeColor="text1"/>
                <w:kern w:val="0"/>
                <w:szCs w:val="21"/>
              </w:rPr>
              <w:t>申购份额</w:t>
            </w:r>
          </w:p>
        </w:tc>
        <w:tc>
          <w:tcPr>
            <w:tcW w:w="1134" w:type="dxa"/>
            <w:vAlign w:val="center"/>
          </w:tcPr>
          <w:p w:rsidR="005E6DF3" w:rsidRPr="0073597F" w:rsidRDefault="005C671B">
            <w:pPr>
              <w:widowControl/>
              <w:jc w:val="center"/>
              <w:rPr>
                <w:b/>
                <w:bCs/>
                <w:color w:val="000000" w:themeColor="text1"/>
                <w:kern w:val="0"/>
                <w:szCs w:val="21"/>
              </w:rPr>
            </w:pPr>
            <w:r w:rsidRPr="0073597F">
              <w:rPr>
                <w:color w:val="000000" w:themeColor="text1"/>
                <w:kern w:val="0"/>
                <w:szCs w:val="21"/>
              </w:rPr>
              <w:t>赎回份额</w:t>
            </w:r>
          </w:p>
        </w:tc>
        <w:tc>
          <w:tcPr>
            <w:tcW w:w="1419" w:type="dxa"/>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持有份额</w:t>
            </w:r>
          </w:p>
        </w:tc>
        <w:tc>
          <w:tcPr>
            <w:tcW w:w="1130" w:type="dxa"/>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份额占比</w:t>
            </w:r>
          </w:p>
        </w:tc>
      </w:tr>
      <w:tr w:rsidR="005A19FC">
        <w:tc>
          <w:tcPr>
            <w:tcW w:w="993" w:type="dxa"/>
            <w:vMerge w:val="restart"/>
            <w:vAlign w:val="center"/>
          </w:tcPr>
          <w:p w:rsidR="005A19FC" w:rsidRDefault="002C36D7">
            <w:r>
              <w:rPr>
                <w:bCs/>
                <w:color w:val="000000" w:themeColor="text1"/>
                <w:kern w:val="0"/>
                <w:szCs w:val="21"/>
              </w:rPr>
              <w:t>机构</w:t>
            </w:r>
          </w:p>
        </w:tc>
        <w:tc>
          <w:tcPr>
            <w:tcW w:w="992" w:type="dxa"/>
            <w:vAlign w:val="center"/>
          </w:tcPr>
          <w:p w:rsidR="005A19FC" w:rsidRDefault="002C36D7">
            <w:pPr>
              <w:jc w:val="center"/>
            </w:pPr>
            <w:r>
              <w:rPr>
                <w:color w:val="000000" w:themeColor="text1"/>
                <w:kern w:val="0"/>
                <w:szCs w:val="21"/>
              </w:rPr>
              <w:t>1</w:t>
            </w:r>
          </w:p>
        </w:tc>
        <w:tc>
          <w:tcPr>
            <w:tcW w:w="1843" w:type="dxa"/>
            <w:vAlign w:val="center"/>
          </w:tcPr>
          <w:p w:rsidR="005A19FC" w:rsidRDefault="002C36D7">
            <w:pPr>
              <w:jc w:val="center"/>
            </w:pPr>
            <w:r>
              <w:rPr>
                <w:color w:val="000000" w:themeColor="text1"/>
                <w:kern w:val="0"/>
                <w:szCs w:val="21"/>
              </w:rPr>
              <w:t>20241001-20241231</w:t>
            </w:r>
          </w:p>
        </w:tc>
        <w:tc>
          <w:tcPr>
            <w:tcW w:w="851" w:type="dxa"/>
            <w:vAlign w:val="center"/>
          </w:tcPr>
          <w:p w:rsidR="005A19FC" w:rsidRDefault="002C36D7">
            <w:pPr>
              <w:jc w:val="center"/>
            </w:pPr>
            <w:r>
              <w:rPr>
                <w:color w:val="000000" w:themeColor="text1"/>
                <w:kern w:val="0"/>
                <w:szCs w:val="21"/>
              </w:rPr>
              <w:t>447,993,162.82</w:t>
            </w:r>
          </w:p>
        </w:tc>
        <w:tc>
          <w:tcPr>
            <w:tcW w:w="850" w:type="dxa"/>
            <w:vAlign w:val="center"/>
          </w:tcPr>
          <w:p w:rsidR="005A19FC" w:rsidRDefault="002C36D7">
            <w:pPr>
              <w:jc w:val="center"/>
            </w:pPr>
            <w:r>
              <w:rPr>
                <w:color w:val="000000" w:themeColor="text1"/>
                <w:kern w:val="0"/>
                <w:szCs w:val="21"/>
              </w:rPr>
              <w:t>0.00</w:t>
            </w:r>
          </w:p>
        </w:tc>
        <w:tc>
          <w:tcPr>
            <w:tcW w:w="1134" w:type="dxa"/>
            <w:vAlign w:val="center"/>
          </w:tcPr>
          <w:p w:rsidR="005A19FC" w:rsidRDefault="002C36D7">
            <w:pPr>
              <w:jc w:val="center"/>
            </w:pPr>
            <w:r>
              <w:rPr>
                <w:color w:val="000000" w:themeColor="text1"/>
                <w:kern w:val="0"/>
                <w:szCs w:val="21"/>
              </w:rPr>
              <w:t>0.00</w:t>
            </w:r>
          </w:p>
        </w:tc>
        <w:tc>
          <w:tcPr>
            <w:tcW w:w="1419" w:type="dxa"/>
            <w:vAlign w:val="center"/>
          </w:tcPr>
          <w:p w:rsidR="005A19FC" w:rsidRDefault="002C36D7">
            <w:pPr>
              <w:jc w:val="center"/>
            </w:pPr>
            <w:r>
              <w:rPr>
                <w:color w:val="000000" w:themeColor="text1"/>
                <w:kern w:val="0"/>
                <w:szCs w:val="21"/>
              </w:rPr>
              <w:t>447,993,162.82</w:t>
            </w:r>
          </w:p>
        </w:tc>
        <w:tc>
          <w:tcPr>
            <w:tcW w:w="1130" w:type="dxa"/>
            <w:vAlign w:val="center"/>
          </w:tcPr>
          <w:p w:rsidR="005A19FC" w:rsidRDefault="002C36D7">
            <w:pPr>
              <w:jc w:val="center"/>
            </w:pPr>
            <w:r>
              <w:rPr>
                <w:color w:val="000000" w:themeColor="text1"/>
                <w:kern w:val="0"/>
                <w:szCs w:val="21"/>
              </w:rPr>
              <w:t>77.89%</w:t>
            </w:r>
          </w:p>
        </w:tc>
      </w:tr>
      <w:tr w:rsidR="0073597F" w:rsidRPr="0073597F">
        <w:tc>
          <w:tcPr>
            <w:tcW w:w="9212" w:type="dxa"/>
            <w:gridSpan w:val="8"/>
            <w:vAlign w:val="center"/>
          </w:tcPr>
          <w:p w:rsidR="005E6DF3" w:rsidRPr="0073597F" w:rsidRDefault="005C671B">
            <w:pPr>
              <w:autoSpaceDE w:val="0"/>
              <w:autoSpaceDN w:val="0"/>
              <w:adjustRightInd w:val="0"/>
              <w:jc w:val="center"/>
              <w:rPr>
                <w:color w:val="000000" w:themeColor="text1"/>
                <w:kern w:val="0"/>
                <w:szCs w:val="21"/>
              </w:rPr>
            </w:pPr>
            <w:r w:rsidRPr="0073597F">
              <w:rPr>
                <w:color w:val="000000" w:themeColor="text1"/>
                <w:kern w:val="0"/>
                <w:szCs w:val="21"/>
              </w:rPr>
              <w:t>产品特有风险</w:t>
            </w:r>
          </w:p>
        </w:tc>
      </w:tr>
      <w:tr w:rsidR="0073597F" w:rsidRPr="0073597F">
        <w:tc>
          <w:tcPr>
            <w:tcW w:w="9212" w:type="dxa"/>
            <w:gridSpan w:val="8"/>
            <w:vAlign w:val="center"/>
          </w:tcPr>
          <w:p w:rsidR="005E6DF3" w:rsidRPr="0073597F" w:rsidRDefault="005C671B">
            <w:pPr>
              <w:autoSpaceDE w:val="0"/>
              <w:autoSpaceDN w:val="0"/>
              <w:adjustRightInd w:val="0"/>
              <w:jc w:val="left"/>
              <w:rPr>
                <w:color w:val="000000" w:themeColor="text1"/>
                <w:kern w:val="0"/>
                <w:szCs w:val="21"/>
              </w:rPr>
            </w:pPr>
            <w:r w:rsidRPr="0073597F">
              <w:rPr>
                <w:color w:val="000000" w:themeColor="text1"/>
                <w:kern w:val="0"/>
                <w:szCs w:val="21"/>
              </w:rPr>
              <w:t>本基金的集中度风险主要体现在有单一投资者持有基金份额比例达到或者超过</w:t>
            </w:r>
            <w:r w:rsidRPr="0073597F">
              <w:rPr>
                <w:color w:val="000000" w:themeColor="text1"/>
                <w:kern w:val="0"/>
                <w:szCs w:val="21"/>
              </w:rPr>
              <w:t>20%</w:t>
            </w:r>
            <w:r w:rsidRPr="0073597F">
              <w:rPr>
                <w:color w:val="000000" w:themeColor="text1"/>
                <w:kern w:val="0"/>
                <w:szCs w:val="21"/>
              </w:rPr>
              <w:t>，如果投资者发生大额赎回，可能出现基金可变现资产无法满足投资者赎回需要以及因为资产变现成本过高导致投资者的利益受到损害的风险。</w:t>
            </w:r>
          </w:p>
        </w:tc>
      </w:tr>
    </w:tbl>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§9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9.1</w:t>
      </w:r>
      <w:r w:rsidRPr="0073597F">
        <w:rPr>
          <w:rFonts w:eastAsiaTheme="minorEastAsia"/>
          <w:b/>
          <w:bCs/>
          <w:color w:val="000000" w:themeColor="text1"/>
          <w:kern w:val="0"/>
          <w:szCs w:val="21"/>
        </w:rPr>
        <w:t>备查文件目录</w:t>
      </w:r>
    </w:p>
    <w:p w:rsidR="005A19FC" w:rsidRDefault="002C36D7">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5A19FC" w:rsidRDefault="002C36D7">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《摩根丰瑞债券型证券投资基金基金合同》；</w:t>
      </w:r>
    </w:p>
    <w:p w:rsidR="005A19FC" w:rsidRDefault="002C36D7">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《摩根丰瑞债券型证券投资基金托管协议》；</w:t>
      </w:r>
    </w:p>
    <w:p w:rsidR="005A19FC" w:rsidRDefault="002C36D7">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5A19FC" w:rsidRDefault="002C36D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5.</w:t>
      </w:r>
      <w:r>
        <w:rPr>
          <w:rFonts w:eastAsiaTheme="minorEastAsia"/>
          <w:color w:val="000000" w:themeColor="text1"/>
          <w:szCs w:val="21"/>
        </w:rPr>
        <w:t>基金管理人业务资格批件、营业执照；</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6.</w:t>
      </w:r>
      <w:r w:rsidRPr="0073597F">
        <w:rPr>
          <w:rFonts w:eastAsiaTheme="minorEastAsia"/>
          <w:color w:val="000000" w:themeColor="text1"/>
          <w:szCs w:val="21"/>
        </w:rPr>
        <w:t>基金托管人业务资格批件和营业执照。</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基金管理人或基金托管人住所。</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二〇二五年一月二十二日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DF" w:rsidRDefault="008730DF">
      <w:r>
        <w:separator/>
      </w:r>
    </w:p>
  </w:endnote>
  <w:endnote w:type="continuationSeparator" w:id="0">
    <w:p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C36D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C36D7">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C36D7">
      <w:rPr>
        <w:rStyle w:val="af6"/>
        <w:noProof/>
      </w:rPr>
      <w:t>2</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DF" w:rsidRDefault="008730DF">
      <w:r>
        <w:separator/>
      </w:r>
    </w:p>
  </w:footnote>
  <w:footnote w:type="continuationSeparator" w:id="0">
    <w:p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摩根丰瑞债券型证券投资基金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36D7"/>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19FC"/>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04FFA7-486B-411B-87C7-EAE8588C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187</TotalTime>
  <Pages>15</Pages>
  <Words>1257</Words>
  <Characters>7165</Characters>
  <Application>Microsoft Office Word</Application>
  <DocSecurity>0</DocSecurity>
  <Lines>59</Lines>
  <Paragraphs>16</Paragraphs>
  <ScaleCrop>false</ScaleCrop>
  <Company>TRT. Ltd. Co.</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237</cp:revision>
  <cp:lastPrinted>2007-07-19T00:46:00Z</cp:lastPrinted>
  <dcterms:created xsi:type="dcterms:W3CDTF">2013-06-21T06:56:00Z</dcterms:created>
  <dcterms:modified xsi:type="dcterms:W3CDTF">2025-01-21T07:15:00Z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