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上投摩根创新商业模式灵活配置混合型证券投资基金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报告送出日期：二〇二二年十月二十六日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上投摩根创新商业模式混合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005593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117,885,624.52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在严格的风险控制的前提下，通过自下而上的选股方式挖掘市场上具有创新商业模式且未来成长空间巨大的公司，力争实现基金资产的长期增值。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）创新商业模式的界定</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）行业配置策略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）个股精选策略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w:t>
            </w:r>
            <w:r>
              <w:rPr>
                <w:rFonts w:eastAsiaTheme="minorEastAsia"/>
                <w:color w:val="000000" w:themeColor="text1"/>
                <w:kern w:val="0"/>
                <w:szCs w:val="21"/>
              </w:rPr>
              <w:t>A</w:t>
            </w:r>
            <w:r>
              <w:rPr>
                <w:rFonts w:eastAsiaTheme="minorEastAsia"/>
                <w:color w:val="000000" w:themeColor="text1"/>
                <w:kern w:val="0"/>
                <w:szCs w:val="21"/>
              </w:rPr>
              <w:t>股投资策略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）港股投资策略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本基金将仅通过内地与香港股票市场交易互联互通机制投资于香港股票市场，不使用合格境内机构投资者（</w:t>
            </w:r>
            <w:r>
              <w:rPr>
                <w:rFonts w:eastAsiaTheme="minorEastAsia"/>
                <w:color w:val="000000" w:themeColor="text1"/>
                <w:kern w:val="0"/>
                <w:szCs w:val="21"/>
              </w:rPr>
              <w:t>QDII</w:t>
            </w:r>
            <w:r>
              <w:rPr>
                <w:rFonts w:eastAsiaTheme="minorEastAsia"/>
                <w:color w:val="000000" w:themeColor="text1"/>
                <w:kern w:val="0"/>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恒生综合指数收益率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本基金属于混合型基金产品，预期风险和预期收益水平高于债券型基金和货币市场基金，低于股票型基金，属于中等风险收益水平的基金产品。</w:t>
            </w:r>
          </w:p>
          <w:p w:rsidR="000D2117" w:rsidRDefault="0046587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本基金除了投资</w:t>
            </w:r>
            <w:r>
              <w:rPr>
                <w:rFonts w:eastAsiaTheme="minorEastAsia"/>
                <w:color w:val="000000" w:themeColor="text1"/>
                <w:kern w:val="0"/>
                <w:szCs w:val="21"/>
              </w:rPr>
              <w:t>A</w:t>
            </w:r>
            <w:r>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w:t>
            </w:r>
            <w:r>
              <w:rPr>
                <w:rFonts w:eastAsiaTheme="minorEastAsia"/>
                <w:color w:val="000000" w:themeColor="text1"/>
                <w:kern w:val="0"/>
                <w:szCs w:val="21"/>
              </w:rPr>
              <w:lastRenderedPageBreak/>
              <w:t>临汇率风险、香港市场风险等境外证券市场投资所面临的特别投资风险。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005593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016418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117,885,053.84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570.68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1,067,132.72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-46,935,661.31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rsidP="00465879">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w:t>
            </w:r>
            <w:r w:rsidR="00465879">
              <w:rPr>
                <w:rFonts w:eastAsiaTheme="minorEastAsia"/>
                <w:color w:val="000000" w:themeColor="text1"/>
                <w:szCs w:val="21"/>
              </w:rPr>
              <w:t>4332</w:t>
            </w:r>
          </w:p>
        </w:tc>
        <w:tc>
          <w:tcPr>
            <w:tcW w:w="2481" w:type="dxa"/>
            <w:vAlign w:val="center"/>
          </w:tcPr>
          <w:p w:rsidR="005E6DF3" w:rsidRPr="00B27A29" w:rsidRDefault="005C671B" w:rsidP="00465879">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w:t>
            </w:r>
            <w:r w:rsidR="00465879">
              <w:rPr>
                <w:rFonts w:eastAsiaTheme="minorEastAsia"/>
                <w:color w:val="000000" w:themeColor="text1"/>
                <w:szCs w:val="21"/>
              </w:rPr>
              <w:t>4022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172,156,423.10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832.94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1.4596</w:t>
            </w:r>
          </w:p>
        </w:tc>
      </w:tr>
    </w:tbl>
    <w:p w:rsidR="000D2117" w:rsidRDefault="004658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lastRenderedPageBreak/>
        <w:t>扣除相关费用后的余额，本期利润为本期已实现收益加上本期公允价值变动收益。</w:t>
      </w:r>
      <w:r>
        <w:rPr>
          <w:rFonts w:eastAsiaTheme="minorEastAsia"/>
          <w:color w:val="000000" w:themeColor="text1"/>
          <w:szCs w:val="21"/>
        </w:rPr>
        <w:t xml:space="preserve"> </w:t>
      </w:r>
    </w:p>
    <w:p w:rsidR="000D2117" w:rsidRDefault="004658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 xml:space="preserve"> 8</w:t>
      </w:r>
      <w:r w:rsidRPr="00B27A29">
        <w:rPr>
          <w:rFonts w:eastAsiaTheme="minorEastAsia"/>
          <w:color w:val="000000" w:themeColor="text1"/>
          <w:szCs w:val="21"/>
        </w:rPr>
        <w:t>月</w:t>
      </w:r>
      <w:r w:rsidRPr="00B27A29">
        <w:rPr>
          <w:rFonts w:eastAsiaTheme="minorEastAsia"/>
          <w:color w:val="000000" w:themeColor="text1"/>
          <w:szCs w:val="21"/>
        </w:rPr>
        <w:t>19</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上投摩根创新商业模式混合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95CE4">
        <w:tc>
          <w:tcPr>
            <w:tcW w:w="1290" w:type="dxa"/>
            <w:vAlign w:val="center"/>
          </w:tcPr>
          <w:p w:rsidR="00A95CE4" w:rsidRDefault="00A95CE4" w:rsidP="00A95CE4">
            <w:pPr>
              <w:jc w:val="left"/>
            </w:pPr>
            <w:r>
              <w:rPr>
                <w:rFonts w:eastAsiaTheme="minorEastAsia"/>
                <w:color w:val="000000" w:themeColor="text1"/>
                <w:szCs w:val="21"/>
              </w:rPr>
              <w:t>过去三个月</w:t>
            </w:r>
          </w:p>
        </w:tc>
        <w:tc>
          <w:tcPr>
            <w:tcW w:w="1291" w:type="dxa"/>
            <w:vAlign w:val="center"/>
          </w:tcPr>
          <w:p w:rsidR="00A95CE4" w:rsidRDefault="00A95CE4" w:rsidP="00A95CE4">
            <w:pPr>
              <w:jc w:val="right"/>
            </w:pPr>
            <w:r>
              <w:rPr>
                <w:rFonts w:eastAsiaTheme="minorEastAsia"/>
                <w:color w:val="000000" w:themeColor="text1"/>
                <w:szCs w:val="21"/>
              </w:rPr>
              <w:t>-22.95%</w:t>
            </w:r>
          </w:p>
        </w:tc>
        <w:tc>
          <w:tcPr>
            <w:tcW w:w="1291" w:type="dxa"/>
            <w:vAlign w:val="center"/>
          </w:tcPr>
          <w:p w:rsidR="00A95CE4" w:rsidRDefault="00A95CE4" w:rsidP="00A95CE4">
            <w:pPr>
              <w:jc w:val="right"/>
            </w:pPr>
            <w:r>
              <w:rPr>
                <w:rFonts w:eastAsiaTheme="minorEastAsia"/>
                <w:color w:val="000000" w:themeColor="text1"/>
                <w:szCs w:val="21"/>
              </w:rPr>
              <w:t>1.86%</w:t>
            </w:r>
          </w:p>
        </w:tc>
        <w:tc>
          <w:tcPr>
            <w:tcW w:w="1291" w:type="dxa"/>
            <w:vAlign w:val="center"/>
          </w:tcPr>
          <w:p w:rsidR="00A95CE4" w:rsidRDefault="00A95CE4" w:rsidP="00A95CE4">
            <w:pPr>
              <w:jc w:val="right"/>
            </w:pPr>
            <w:r>
              <w:rPr>
                <w:rFonts w:eastAsiaTheme="minorEastAsia"/>
                <w:color w:val="000000" w:themeColor="text1"/>
                <w:szCs w:val="21"/>
              </w:rPr>
              <w:t>-8.62%</w:t>
            </w:r>
          </w:p>
        </w:tc>
        <w:tc>
          <w:tcPr>
            <w:tcW w:w="1291" w:type="dxa"/>
            <w:vAlign w:val="center"/>
          </w:tcPr>
          <w:p w:rsidR="00A95CE4" w:rsidRDefault="00A95CE4" w:rsidP="00A95CE4">
            <w:pPr>
              <w:jc w:val="right"/>
            </w:pPr>
            <w:r>
              <w:rPr>
                <w:rFonts w:eastAsiaTheme="minorEastAsia"/>
                <w:color w:val="000000" w:themeColor="text1"/>
                <w:szCs w:val="21"/>
              </w:rPr>
              <w:t>0.55%</w:t>
            </w:r>
          </w:p>
        </w:tc>
        <w:tc>
          <w:tcPr>
            <w:tcW w:w="1291" w:type="dxa"/>
            <w:vAlign w:val="center"/>
          </w:tcPr>
          <w:p w:rsidR="00A95CE4" w:rsidRDefault="00A95CE4" w:rsidP="00A95CE4">
            <w:pPr>
              <w:jc w:val="right"/>
            </w:pPr>
            <w:r>
              <w:rPr>
                <w:rFonts w:eastAsiaTheme="minorEastAsia"/>
                <w:color w:val="000000" w:themeColor="text1"/>
                <w:szCs w:val="21"/>
              </w:rPr>
              <w:t>-14.33%</w:t>
            </w:r>
          </w:p>
        </w:tc>
        <w:tc>
          <w:tcPr>
            <w:tcW w:w="1291" w:type="dxa"/>
            <w:vAlign w:val="center"/>
          </w:tcPr>
          <w:p w:rsidR="00A95CE4" w:rsidRDefault="00A95CE4" w:rsidP="00A95CE4">
            <w:pPr>
              <w:jc w:val="right"/>
            </w:pPr>
            <w:r>
              <w:rPr>
                <w:rFonts w:eastAsiaTheme="minorEastAsia"/>
                <w:color w:val="000000" w:themeColor="text1"/>
                <w:szCs w:val="21"/>
              </w:rPr>
              <w:t>1.31%</w:t>
            </w:r>
          </w:p>
        </w:tc>
      </w:tr>
      <w:tr w:rsidR="00A95CE4">
        <w:tc>
          <w:tcPr>
            <w:tcW w:w="1290" w:type="dxa"/>
            <w:vAlign w:val="center"/>
          </w:tcPr>
          <w:p w:rsidR="00A95CE4" w:rsidRDefault="00A95CE4" w:rsidP="00A95CE4">
            <w:pPr>
              <w:jc w:val="left"/>
            </w:pPr>
            <w:r>
              <w:rPr>
                <w:rFonts w:eastAsiaTheme="minorEastAsia"/>
                <w:color w:val="000000" w:themeColor="text1"/>
                <w:szCs w:val="21"/>
              </w:rPr>
              <w:t>过去六个月</w:t>
            </w:r>
          </w:p>
        </w:tc>
        <w:tc>
          <w:tcPr>
            <w:tcW w:w="1291" w:type="dxa"/>
            <w:vAlign w:val="center"/>
          </w:tcPr>
          <w:p w:rsidR="00A95CE4" w:rsidRDefault="00A95CE4" w:rsidP="00A95CE4">
            <w:pPr>
              <w:jc w:val="right"/>
            </w:pPr>
            <w:r>
              <w:rPr>
                <w:rFonts w:eastAsiaTheme="minorEastAsia"/>
                <w:color w:val="000000" w:themeColor="text1"/>
                <w:szCs w:val="21"/>
              </w:rPr>
              <w:t>-12.58%</w:t>
            </w:r>
          </w:p>
        </w:tc>
        <w:tc>
          <w:tcPr>
            <w:tcW w:w="1291" w:type="dxa"/>
            <w:vAlign w:val="center"/>
          </w:tcPr>
          <w:p w:rsidR="00A95CE4" w:rsidRDefault="00A95CE4" w:rsidP="00A95CE4">
            <w:pPr>
              <w:jc w:val="right"/>
            </w:pPr>
            <w:r>
              <w:rPr>
                <w:rFonts w:eastAsiaTheme="minorEastAsia"/>
                <w:color w:val="000000" w:themeColor="text1"/>
                <w:szCs w:val="21"/>
              </w:rPr>
              <w:t>2.03%</w:t>
            </w:r>
          </w:p>
        </w:tc>
        <w:tc>
          <w:tcPr>
            <w:tcW w:w="1291" w:type="dxa"/>
            <w:vAlign w:val="center"/>
          </w:tcPr>
          <w:p w:rsidR="00A95CE4" w:rsidRDefault="00A95CE4" w:rsidP="00A95CE4">
            <w:pPr>
              <w:jc w:val="right"/>
            </w:pPr>
            <w:r>
              <w:rPr>
                <w:rFonts w:eastAsiaTheme="minorEastAsia"/>
                <w:color w:val="000000" w:themeColor="text1"/>
                <w:szCs w:val="21"/>
              </w:rPr>
              <w:t>-5.96%</w:t>
            </w:r>
          </w:p>
        </w:tc>
        <w:tc>
          <w:tcPr>
            <w:tcW w:w="1291" w:type="dxa"/>
            <w:vAlign w:val="center"/>
          </w:tcPr>
          <w:p w:rsidR="00A95CE4" w:rsidRDefault="00A95CE4" w:rsidP="00A95CE4">
            <w:pPr>
              <w:jc w:val="right"/>
            </w:pPr>
            <w:r>
              <w:rPr>
                <w:rFonts w:eastAsiaTheme="minorEastAsia"/>
                <w:color w:val="000000" w:themeColor="text1"/>
                <w:szCs w:val="21"/>
              </w:rPr>
              <w:t>0.72%</w:t>
            </w:r>
          </w:p>
        </w:tc>
        <w:tc>
          <w:tcPr>
            <w:tcW w:w="1291" w:type="dxa"/>
            <w:vAlign w:val="center"/>
          </w:tcPr>
          <w:p w:rsidR="00A95CE4" w:rsidRDefault="00A95CE4" w:rsidP="00A95CE4">
            <w:pPr>
              <w:jc w:val="right"/>
            </w:pPr>
            <w:r>
              <w:rPr>
                <w:rFonts w:eastAsiaTheme="minorEastAsia"/>
                <w:color w:val="000000" w:themeColor="text1"/>
                <w:szCs w:val="21"/>
              </w:rPr>
              <w:t>-6.62%</w:t>
            </w:r>
          </w:p>
        </w:tc>
        <w:tc>
          <w:tcPr>
            <w:tcW w:w="1291" w:type="dxa"/>
            <w:vAlign w:val="center"/>
          </w:tcPr>
          <w:p w:rsidR="00A95CE4" w:rsidRDefault="00A95CE4" w:rsidP="00A95CE4">
            <w:pPr>
              <w:jc w:val="right"/>
            </w:pPr>
            <w:r>
              <w:rPr>
                <w:rFonts w:eastAsiaTheme="minorEastAsia"/>
                <w:color w:val="000000" w:themeColor="text1"/>
                <w:szCs w:val="21"/>
              </w:rPr>
              <w:t>1.31%</w:t>
            </w:r>
          </w:p>
        </w:tc>
      </w:tr>
      <w:tr w:rsidR="00A95CE4">
        <w:tc>
          <w:tcPr>
            <w:tcW w:w="1290" w:type="dxa"/>
            <w:vAlign w:val="center"/>
          </w:tcPr>
          <w:p w:rsidR="00A95CE4" w:rsidRDefault="00A95CE4" w:rsidP="00A95CE4">
            <w:pPr>
              <w:jc w:val="left"/>
            </w:pPr>
            <w:r>
              <w:rPr>
                <w:rFonts w:eastAsiaTheme="minorEastAsia"/>
                <w:color w:val="000000" w:themeColor="text1"/>
                <w:szCs w:val="21"/>
              </w:rPr>
              <w:t>过去一年</w:t>
            </w:r>
          </w:p>
        </w:tc>
        <w:tc>
          <w:tcPr>
            <w:tcW w:w="1291" w:type="dxa"/>
            <w:vAlign w:val="center"/>
          </w:tcPr>
          <w:p w:rsidR="00A95CE4" w:rsidRDefault="00A95CE4" w:rsidP="00A95CE4">
            <w:pPr>
              <w:jc w:val="right"/>
            </w:pPr>
            <w:r>
              <w:rPr>
                <w:rFonts w:eastAsiaTheme="minorEastAsia"/>
                <w:color w:val="000000" w:themeColor="text1"/>
                <w:szCs w:val="21"/>
              </w:rPr>
              <w:t>-30.55%</w:t>
            </w:r>
          </w:p>
        </w:tc>
        <w:tc>
          <w:tcPr>
            <w:tcW w:w="1291" w:type="dxa"/>
            <w:vAlign w:val="center"/>
          </w:tcPr>
          <w:p w:rsidR="00A95CE4" w:rsidRDefault="00A95CE4" w:rsidP="00A95CE4">
            <w:pPr>
              <w:jc w:val="right"/>
            </w:pPr>
            <w:r>
              <w:rPr>
                <w:rFonts w:eastAsiaTheme="minorEastAsia"/>
                <w:color w:val="000000" w:themeColor="text1"/>
                <w:szCs w:val="21"/>
              </w:rPr>
              <w:t>1.83%</w:t>
            </w:r>
          </w:p>
        </w:tc>
        <w:tc>
          <w:tcPr>
            <w:tcW w:w="1291" w:type="dxa"/>
            <w:vAlign w:val="center"/>
          </w:tcPr>
          <w:p w:rsidR="00A95CE4" w:rsidRDefault="00A95CE4" w:rsidP="00A95CE4">
            <w:pPr>
              <w:jc w:val="right"/>
            </w:pPr>
            <w:r>
              <w:rPr>
                <w:rFonts w:eastAsiaTheme="minorEastAsia"/>
                <w:color w:val="000000" w:themeColor="text1"/>
                <w:szCs w:val="21"/>
              </w:rPr>
              <w:t>-12.82%</w:t>
            </w:r>
          </w:p>
        </w:tc>
        <w:tc>
          <w:tcPr>
            <w:tcW w:w="1291" w:type="dxa"/>
            <w:vAlign w:val="center"/>
          </w:tcPr>
          <w:p w:rsidR="00A95CE4" w:rsidRDefault="00A95CE4" w:rsidP="00A95CE4">
            <w:pPr>
              <w:jc w:val="right"/>
            </w:pPr>
            <w:r>
              <w:rPr>
                <w:rFonts w:eastAsiaTheme="minorEastAsia"/>
                <w:color w:val="000000" w:themeColor="text1"/>
                <w:szCs w:val="21"/>
              </w:rPr>
              <w:t>0.72%</w:t>
            </w:r>
          </w:p>
        </w:tc>
        <w:tc>
          <w:tcPr>
            <w:tcW w:w="1291" w:type="dxa"/>
            <w:vAlign w:val="center"/>
          </w:tcPr>
          <w:p w:rsidR="00A95CE4" w:rsidRDefault="00A95CE4" w:rsidP="00A95CE4">
            <w:pPr>
              <w:jc w:val="right"/>
            </w:pPr>
            <w:r>
              <w:rPr>
                <w:rFonts w:eastAsiaTheme="minorEastAsia"/>
                <w:color w:val="000000" w:themeColor="text1"/>
                <w:szCs w:val="21"/>
              </w:rPr>
              <w:t>-17.73%</w:t>
            </w:r>
          </w:p>
        </w:tc>
        <w:tc>
          <w:tcPr>
            <w:tcW w:w="1291" w:type="dxa"/>
            <w:vAlign w:val="center"/>
          </w:tcPr>
          <w:p w:rsidR="00A95CE4" w:rsidRDefault="00A95CE4" w:rsidP="00A95CE4">
            <w:pPr>
              <w:jc w:val="right"/>
            </w:pPr>
            <w:r>
              <w:rPr>
                <w:rFonts w:eastAsiaTheme="minorEastAsia"/>
                <w:color w:val="000000" w:themeColor="text1"/>
                <w:szCs w:val="21"/>
              </w:rPr>
              <w:t>1.11%</w:t>
            </w:r>
          </w:p>
        </w:tc>
      </w:tr>
      <w:tr w:rsidR="00A95CE4">
        <w:tc>
          <w:tcPr>
            <w:tcW w:w="1290" w:type="dxa"/>
            <w:vAlign w:val="center"/>
          </w:tcPr>
          <w:p w:rsidR="00A95CE4" w:rsidRDefault="00A95CE4" w:rsidP="00A95CE4">
            <w:pPr>
              <w:jc w:val="left"/>
            </w:pPr>
            <w:r>
              <w:rPr>
                <w:rFonts w:eastAsiaTheme="minorEastAsia"/>
                <w:color w:val="000000" w:themeColor="text1"/>
                <w:szCs w:val="21"/>
              </w:rPr>
              <w:t>过去三年</w:t>
            </w:r>
          </w:p>
        </w:tc>
        <w:tc>
          <w:tcPr>
            <w:tcW w:w="1291" w:type="dxa"/>
            <w:vAlign w:val="center"/>
          </w:tcPr>
          <w:p w:rsidR="00A95CE4" w:rsidRDefault="00A95CE4" w:rsidP="00A95CE4">
            <w:pPr>
              <w:jc w:val="right"/>
            </w:pPr>
            <w:r>
              <w:rPr>
                <w:rFonts w:eastAsiaTheme="minorEastAsia"/>
                <w:color w:val="000000" w:themeColor="text1"/>
                <w:szCs w:val="21"/>
              </w:rPr>
              <w:t>41.33%</w:t>
            </w:r>
          </w:p>
        </w:tc>
        <w:tc>
          <w:tcPr>
            <w:tcW w:w="1291" w:type="dxa"/>
            <w:vAlign w:val="center"/>
          </w:tcPr>
          <w:p w:rsidR="00A95CE4" w:rsidRDefault="00A95CE4" w:rsidP="00A95CE4">
            <w:pPr>
              <w:jc w:val="right"/>
            </w:pPr>
            <w:r>
              <w:rPr>
                <w:rFonts w:eastAsiaTheme="minorEastAsia"/>
                <w:color w:val="000000" w:themeColor="text1"/>
                <w:szCs w:val="21"/>
              </w:rPr>
              <w:t>1.88%</w:t>
            </w:r>
          </w:p>
        </w:tc>
        <w:tc>
          <w:tcPr>
            <w:tcW w:w="1291" w:type="dxa"/>
            <w:vAlign w:val="center"/>
          </w:tcPr>
          <w:p w:rsidR="00A95CE4" w:rsidRDefault="00A95CE4" w:rsidP="00A95CE4">
            <w:pPr>
              <w:jc w:val="right"/>
            </w:pPr>
            <w:r>
              <w:rPr>
                <w:rFonts w:eastAsiaTheme="minorEastAsia"/>
                <w:color w:val="000000" w:themeColor="text1"/>
                <w:szCs w:val="21"/>
              </w:rPr>
              <w:t>0.39%</w:t>
            </w:r>
          </w:p>
        </w:tc>
        <w:tc>
          <w:tcPr>
            <w:tcW w:w="1291" w:type="dxa"/>
            <w:vAlign w:val="center"/>
          </w:tcPr>
          <w:p w:rsidR="00A95CE4" w:rsidRDefault="00A95CE4" w:rsidP="00A95CE4">
            <w:pPr>
              <w:jc w:val="right"/>
            </w:pPr>
            <w:r>
              <w:rPr>
                <w:rFonts w:eastAsiaTheme="minorEastAsia"/>
                <w:color w:val="000000" w:themeColor="text1"/>
                <w:szCs w:val="21"/>
              </w:rPr>
              <w:t>0.73%</w:t>
            </w:r>
          </w:p>
        </w:tc>
        <w:tc>
          <w:tcPr>
            <w:tcW w:w="1291" w:type="dxa"/>
            <w:vAlign w:val="center"/>
          </w:tcPr>
          <w:p w:rsidR="00A95CE4" w:rsidRDefault="00A95CE4" w:rsidP="00A95CE4">
            <w:pPr>
              <w:jc w:val="right"/>
            </w:pPr>
            <w:r>
              <w:rPr>
                <w:rFonts w:eastAsiaTheme="minorEastAsia"/>
                <w:color w:val="000000" w:themeColor="text1"/>
                <w:szCs w:val="21"/>
              </w:rPr>
              <w:t>40.94%</w:t>
            </w:r>
          </w:p>
        </w:tc>
        <w:tc>
          <w:tcPr>
            <w:tcW w:w="1291" w:type="dxa"/>
            <w:vAlign w:val="center"/>
          </w:tcPr>
          <w:p w:rsidR="00A95CE4" w:rsidRDefault="00A95CE4" w:rsidP="00A95CE4">
            <w:pPr>
              <w:jc w:val="right"/>
            </w:pPr>
            <w:r>
              <w:rPr>
                <w:rFonts w:eastAsiaTheme="minorEastAsia"/>
                <w:color w:val="000000" w:themeColor="text1"/>
                <w:szCs w:val="21"/>
              </w:rPr>
              <w:t>1.15%</w:t>
            </w:r>
          </w:p>
        </w:tc>
      </w:tr>
      <w:tr w:rsidR="00A95CE4">
        <w:tc>
          <w:tcPr>
            <w:tcW w:w="1290" w:type="dxa"/>
            <w:vAlign w:val="center"/>
          </w:tcPr>
          <w:p w:rsidR="00A95CE4" w:rsidRDefault="00A95CE4" w:rsidP="00A95CE4">
            <w:pPr>
              <w:jc w:val="left"/>
            </w:pPr>
            <w:r>
              <w:rPr>
                <w:rFonts w:eastAsiaTheme="minorEastAsia"/>
                <w:color w:val="000000" w:themeColor="text1"/>
                <w:szCs w:val="21"/>
              </w:rPr>
              <w:t>过去五年</w:t>
            </w:r>
          </w:p>
        </w:tc>
        <w:tc>
          <w:tcPr>
            <w:tcW w:w="1291" w:type="dxa"/>
            <w:vAlign w:val="center"/>
          </w:tcPr>
          <w:p w:rsidR="00A95CE4" w:rsidRDefault="00A95CE4" w:rsidP="00A95CE4">
            <w:pPr>
              <w:jc w:val="right"/>
            </w:pPr>
            <w:r>
              <w:rPr>
                <w:rFonts w:eastAsiaTheme="minorEastAsia"/>
                <w:color w:val="000000" w:themeColor="text1"/>
                <w:szCs w:val="21"/>
              </w:rPr>
              <w:t>-</w:t>
            </w:r>
          </w:p>
        </w:tc>
        <w:tc>
          <w:tcPr>
            <w:tcW w:w="1291" w:type="dxa"/>
            <w:vAlign w:val="center"/>
          </w:tcPr>
          <w:p w:rsidR="00A95CE4" w:rsidRDefault="00A95CE4" w:rsidP="00A95CE4">
            <w:pPr>
              <w:jc w:val="right"/>
            </w:pPr>
            <w:r>
              <w:rPr>
                <w:rFonts w:eastAsiaTheme="minorEastAsia"/>
                <w:color w:val="000000" w:themeColor="text1"/>
                <w:szCs w:val="21"/>
              </w:rPr>
              <w:t>-</w:t>
            </w:r>
          </w:p>
        </w:tc>
        <w:tc>
          <w:tcPr>
            <w:tcW w:w="1291" w:type="dxa"/>
            <w:vAlign w:val="center"/>
          </w:tcPr>
          <w:p w:rsidR="00A95CE4" w:rsidRDefault="00A95CE4" w:rsidP="00A95CE4">
            <w:pPr>
              <w:jc w:val="right"/>
            </w:pPr>
            <w:r>
              <w:rPr>
                <w:rFonts w:eastAsiaTheme="minorEastAsia"/>
                <w:color w:val="000000" w:themeColor="text1"/>
                <w:szCs w:val="21"/>
              </w:rPr>
              <w:t>-</w:t>
            </w:r>
          </w:p>
        </w:tc>
        <w:tc>
          <w:tcPr>
            <w:tcW w:w="1291" w:type="dxa"/>
            <w:vAlign w:val="center"/>
          </w:tcPr>
          <w:p w:rsidR="00A95CE4" w:rsidRDefault="00A95CE4" w:rsidP="00A95CE4">
            <w:pPr>
              <w:jc w:val="right"/>
            </w:pPr>
            <w:r>
              <w:rPr>
                <w:rFonts w:eastAsiaTheme="minorEastAsia"/>
                <w:color w:val="000000" w:themeColor="text1"/>
                <w:szCs w:val="21"/>
              </w:rPr>
              <w:t>-</w:t>
            </w:r>
          </w:p>
        </w:tc>
        <w:tc>
          <w:tcPr>
            <w:tcW w:w="1291" w:type="dxa"/>
            <w:vAlign w:val="center"/>
          </w:tcPr>
          <w:p w:rsidR="00A95CE4" w:rsidRDefault="00A95CE4" w:rsidP="00A95CE4">
            <w:pPr>
              <w:jc w:val="right"/>
            </w:pPr>
            <w:r>
              <w:rPr>
                <w:rFonts w:eastAsiaTheme="minorEastAsia"/>
                <w:color w:val="000000" w:themeColor="text1"/>
                <w:szCs w:val="21"/>
              </w:rPr>
              <w:t>-</w:t>
            </w:r>
          </w:p>
        </w:tc>
        <w:tc>
          <w:tcPr>
            <w:tcW w:w="1291" w:type="dxa"/>
            <w:vAlign w:val="center"/>
          </w:tcPr>
          <w:p w:rsidR="00A95CE4" w:rsidRDefault="00A95CE4" w:rsidP="00A95CE4">
            <w:pPr>
              <w:jc w:val="right"/>
            </w:pPr>
            <w:r>
              <w:rPr>
                <w:rFonts w:eastAsiaTheme="minorEastAsia"/>
                <w:color w:val="000000" w:themeColor="text1"/>
                <w:szCs w:val="21"/>
              </w:rPr>
              <w:t>-</w:t>
            </w:r>
          </w:p>
        </w:tc>
      </w:tr>
      <w:tr w:rsidR="00A95CE4">
        <w:tc>
          <w:tcPr>
            <w:tcW w:w="1290" w:type="dxa"/>
            <w:vAlign w:val="center"/>
          </w:tcPr>
          <w:p w:rsidR="00A95CE4" w:rsidRDefault="00A95CE4" w:rsidP="00A95CE4">
            <w:pPr>
              <w:jc w:val="left"/>
            </w:pPr>
            <w:r>
              <w:rPr>
                <w:rFonts w:eastAsiaTheme="minorEastAsia"/>
                <w:color w:val="000000" w:themeColor="text1"/>
                <w:szCs w:val="21"/>
              </w:rPr>
              <w:t>自基金合同生效起至今</w:t>
            </w:r>
          </w:p>
        </w:tc>
        <w:tc>
          <w:tcPr>
            <w:tcW w:w="1291" w:type="dxa"/>
            <w:vAlign w:val="center"/>
          </w:tcPr>
          <w:p w:rsidR="00A95CE4" w:rsidRDefault="00A95CE4" w:rsidP="00A95CE4">
            <w:pPr>
              <w:jc w:val="right"/>
            </w:pPr>
            <w:r>
              <w:rPr>
                <w:rFonts w:eastAsiaTheme="minorEastAsia"/>
                <w:color w:val="000000" w:themeColor="text1"/>
                <w:szCs w:val="21"/>
              </w:rPr>
              <w:t>46.04%</w:t>
            </w:r>
          </w:p>
        </w:tc>
        <w:tc>
          <w:tcPr>
            <w:tcW w:w="1291" w:type="dxa"/>
            <w:vAlign w:val="center"/>
          </w:tcPr>
          <w:p w:rsidR="00A95CE4" w:rsidRDefault="00A95CE4" w:rsidP="00A95CE4">
            <w:pPr>
              <w:jc w:val="right"/>
            </w:pPr>
            <w:r>
              <w:rPr>
                <w:rFonts w:eastAsiaTheme="minorEastAsia"/>
                <w:color w:val="000000" w:themeColor="text1"/>
                <w:szCs w:val="21"/>
              </w:rPr>
              <w:t>1.76%</w:t>
            </w:r>
          </w:p>
        </w:tc>
        <w:tc>
          <w:tcPr>
            <w:tcW w:w="1291" w:type="dxa"/>
            <w:vAlign w:val="center"/>
          </w:tcPr>
          <w:p w:rsidR="00A95CE4" w:rsidRDefault="00A95CE4" w:rsidP="00A95CE4">
            <w:pPr>
              <w:jc w:val="right"/>
            </w:pPr>
            <w:r>
              <w:rPr>
                <w:rFonts w:eastAsiaTheme="minorEastAsia"/>
                <w:color w:val="000000" w:themeColor="text1"/>
                <w:szCs w:val="21"/>
              </w:rPr>
              <w:t>-1.28%</w:t>
            </w:r>
          </w:p>
        </w:tc>
        <w:tc>
          <w:tcPr>
            <w:tcW w:w="1291" w:type="dxa"/>
            <w:vAlign w:val="center"/>
          </w:tcPr>
          <w:p w:rsidR="00A95CE4" w:rsidRDefault="00A95CE4" w:rsidP="00A95CE4">
            <w:pPr>
              <w:jc w:val="right"/>
            </w:pPr>
            <w:r>
              <w:rPr>
                <w:rFonts w:eastAsiaTheme="minorEastAsia"/>
                <w:color w:val="000000" w:themeColor="text1"/>
                <w:szCs w:val="21"/>
              </w:rPr>
              <w:t>0.75%</w:t>
            </w:r>
          </w:p>
        </w:tc>
        <w:tc>
          <w:tcPr>
            <w:tcW w:w="1291" w:type="dxa"/>
            <w:vAlign w:val="center"/>
          </w:tcPr>
          <w:p w:rsidR="00A95CE4" w:rsidRDefault="00A95CE4" w:rsidP="00A95CE4">
            <w:pPr>
              <w:jc w:val="right"/>
            </w:pPr>
            <w:r>
              <w:rPr>
                <w:rFonts w:eastAsiaTheme="minorEastAsia"/>
                <w:color w:val="000000" w:themeColor="text1"/>
                <w:szCs w:val="21"/>
              </w:rPr>
              <w:t>47.32%</w:t>
            </w:r>
          </w:p>
        </w:tc>
        <w:tc>
          <w:tcPr>
            <w:tcW w:w="1291" w:type="dxa"/>
            <w:vAlign w:val="center"/>
          </w:tcPr>
          <w:p w:rsidR="00A95CE4" w:rsidRDefault="00A95CE4" w:rsidP="00A95CE4">
            <w:pPr>
              <w:jc w:val="right"/>
            </w:pPr>
            <w:r>
              <w:rPr>
                <w:rFonts w:eastAsiaTheme="minorEastAsia"/>
                <w:color w:val="000000" w:themeColor="text1"/>
                <w:szCs w:val="21"/>
              </w:rPr>
              <w:t>1.01%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上投摩根创新商业模式混合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D2117">
        <w:tc>
          <w:tcPr>
            <w:tcW w:w="1290" w:type="dxa"/>
            <w:vAlign w:val="center"/>
          </w:tcPr>
          <w:p w:rsidR="000D2117" w:rsidRDefault="00465879">
            <w:pPr>
              <w:jc w:val="left"/>
            </w:pPr>
            <w:r>
              <w:rPr>
                <w:rFonts w:eastAsiaTheme="minorEastAsia"/>
                <w:color w:val="000000" w:themeColor="text1"/>
                <w:szCs w:val="21"/>
              </w:rPr>
              <w:t>过去三个月</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r>
      <w:tr w:rsidR="000D2117">
        <w:tc>
          <w:tcPr>
            <w:tcW w:w="1290" w:type="dxa"/>
            <w:vAlign w:val="center"/>
          </w:tcPr>
          <w:p w:rsidR="000D2117" w:rsidRDefault="00465879">
            <w:pPr>
              <w:jc w:val="left"/>
            </w:pPr>
            <w:r>
              <w:rPr>
                <w:rFonts w:eastAsiaTheme="minorEastAsia"/>
                <w:color w:val="000000" w:themeColor="text1"/>
                <w:szCs w:val="21"/>
              </w:rPr>
              <w:t>过去六个月</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r>
      <w:tr w:rsidR="000D2117">
        <w:tc>
          <w:tcPr>
            <w:tcW w:w="1290" w:type="dxa"/>
            <w:vAlign w:val="center"/>
          </w:tcPr>
          <w:p w:rsidR="000D2117" w:rsidRDefault="00465879">
            <w:pPr>
              <w:jc w:val="left"/>
            </w:pPr>
            <w:r>
              <w:rPr>
                <w:rFonts w:eastAsiaTheme="minorEastAsia"/>
                <w:color w:val="000000" w:themeColor="text1"/>
                <w:szCs w:val="21"/>
              </w:rPr>
              <w:t>过去一年</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r>
      <w:tr w:rsidR="000D2117">
        <w:tc>
          <w:tcPr>
            <w:tcW w:w="1290" w:type="dxa"/>
            <w:vAlign w:val="center"/>
          </w:tcPr>
          <w:p w:rsidR="000D2117" w:rsidRDefault="00465879">
            <w:pPr>
              <w:jc w:val="left"/>
            </w:pPr>
            <w:r>
              <w:rPr>
                <w:rFonts w:eastAsiaTheme="minorEastAsia"/>
                <w:color w:val="000000" w:themeColor="text1"/>
                <w:szCs w:val="21"/>
              </w:rPr>
              <w:t>过去三年</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r>
      <w:tr w:rsidR="000D2117">
        <w:tc>
          <w:tcPr>
            <w:tcW w:w="1290" w:type="dxa"/>
            <w:vAlign w:val="center"/>
          </w:tcPr>
          <w:p w:rsidR="000D2117" w:rsidRDefault="00465879">
            <w:pPr>
              <w:jc w:val="left"/>
            </w:pPr>
            <w:r>
              <w:rPr>
                <w:rFonts w:eastAsiaTheme="minorEastAsia"/>
                <w:color w:val="000000" w:themeColor="text1"/>
                <w:szCs w:val="21"/>
              </w:rPr>
              <w:t>过去五年</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c>
          <w:tcPr>
            <w:tcW w:w="1291" w:type="dxa"/>
            <w:vAlign w:val="center"/>
          </w:tcPr>
          <w:p w:rsidR="000D2117" w:rsidRDefault="00465879">
            <w:pPr>
              <w:jc w:val="right"/>
            </w:pPr>
            <w:r>
              <w:rPr>
                <w:rFonts w:eastAsiaTheme="minorEastAsia"/>
                <w:color w:val="000000" w:themeColor="text1"/>
                <w:szCs w:val="21"/>
              </w:rPr>
              <w:t>-</w:t>
            </w:r>
          </w:p>
        </w:tc>
      </w:tr>
      <w:tr w:rsidR="000D2117">
        <w:tc>
          <w:tcPr>
            <w:tcW w:w="1290" w:type="dxa"/>
            <w:vAlign w:val="center"/>
          </w:tcPr>
          <w:p w:rsidR="000D2117" w:rsidRDefault="00465879">
            <w:pPr>
              <w:jc w:val="left"/>
            </w:pPr>
            <w:r>
              <w:rPr>
                <w:rFonts w:eastAsiaTheme="minorEastAsia"/>
                <w:color w:val="000000" w:themeColor="text1"/>
                <w:szCs w:val="21"/>
              </w:rPr>
              <w:t>自基金合同生效起至今</w:t>
            </w:r>
          </w:p>
        </w:tc>
        <w:tc>
          <w:tcPr>
            <w:tcW w:w="1291" w:type="dxa"/>
            <w:vAlign w:val="center"/>
          </w:tcPr>
          <w:p w:rsidR="000D2117" w:rsidRDefault="00465879">
            <w:pPr>
              <w:jc w:val="right"/>
            </w:pPr>
            <w:r>
              <w:rPr>
                <w:rFonts w:eastAsiaTheme="minorEastAsia"/>
                <w:color w:val="000000" w:themeColor="text1"/>
                <w:szCs w:val="21"/>
              </w:rPr>
              <w:t>-20.41%</w:t>
            </w:r>
          </w:p>
        </w:tc>
        <w:tc>
          <w:tcPr>
            <w:tcW w:w="1291" w:type="dxa"/>
            <w:vAlign w:val="center"/>
          </w:tcPr>
          <w:p w:rsidR="000D2117" w:rsidRDefault="00465879">
            <w:pPr>
              <w:jc w:val="right"/>
            </w:pPr>
            <w:r>
              <w:rPr>
                <w:rFonts w:eastAsiaTheme="minorEastAsia"/>
                <w:color w:val="000000" w:themeColor="text1"/>
                <w:szCs w:val="21"/>
              </w:rPr>
              <w:t>2.15%</w:t>
            </w:r>
          </w:p>
        </w:tc>
        <w:tc>
          <w:tcPr>
            <w:tcW w:w="1291" w:type="dxa"/>
            <w:vAlign w:val="center"/>
          </w:tcPr>
          <w:p w:rsidR="000D2117" w:rsidRDefault="00465879">
            <w:pPr>
              <w:jc w:val="right"/>
            </w:pPr>
            <w:r>
              <w:rPr>
                <w:rFonts w:eastAsiaTheme="minorEastAsia"/>
                <w:color w:val="000000" w:themeColor="text1"/>
                <w:szCs w:val="21"/>
              </w:rPr>
              <w:t>-5.70%</w:t>
            </w:r>
          </w:p>
        </w:tc>
        <w:tc>
          <w:tcPr>
            <w:tcW w:w="1291" w:type="dxa"/>
            <w:vAlign w:val="center"/>
          </w:tcPr>
          <w:p w:rsidR="000D2117" w:rsidRDefault="00465879">
            <w:pPr>
              <w:jc w:val="right"/>
            </w:pPr>
            <w:r>
              <w:rPr>
                <w:rFonts w:eastAsiaTheme="minorEastAsia"/>
                <w:color w:val="000000" w:themeColor="text1"/>
                <w:szCs w:val="21"/>
              </w:rPr>
              <w:t>0.56%</w:t>
            </w:r>
          </w:p>
        </w:tc>
        <w:tc>
          <w:tcPr>
            <w:tcW w:w="1291" w:type="dxa"/>
            <w:vAlign w:val="center"/>
          </w:tcPr>
          <w:p w:rsidR="000D2117" w:rsidRDefault="00465879">
            <w:pPr>
              <w:jc w:val="right"/>
            </w:pPr>
            <w:r>
              <w:rPr>
                <w:rFonts w:eastAsiaTheme="minorEastAsia"/>
                <w:color w:val="000000" w:themeColor="text1"/>
                <w:szCs w:val="21"/>
              </w:rPr>
              <w:t>-14.71%</w:t>
            </w:r>
          </w:p>
        </w:tc>
        <w:tc>
          <w:tcPr>
            <w:tcW w:w="1291" w:type="dxa"/>
            <w:vAlign w:val="center"/>
          </w:tcPr>
          <w:p w:rsidR="000D2117" w:rsidRDefault="00465879">
            <w:pPr>
              <w:jc w:val="right"/>
            </w:pPr>
            <w:r>
              <w:rPr>
                <w:rFonts w:eastAsiaTheme="minorEastAsia"/>
                <w:color w:val="000000" w:themeColor="text1"/>
                <w:szCs w:val="21"/>
              </w:rPr>
              <w:t>1.59%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上投摩根创新商业模式灵活配置混合型证券投资基金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．上投摩根创新商业模式混合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．上投摩根创新商业模式混合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D2117">
        <w:tc>
          <w:tcPr>
            <w:tcW w:w="952" w:type="dxa"/>
            <w:vAlign w:val="center"/>
          </w:tcPr>
          <w:p w:rsidR="000D2117" w:rsidRDefault="00465879">
            <w:pPr>
              <w:jc w:val="center"/>
            </w:pPr>
            <w:r>
              <w:rPr>
                <w:rFonts w:eastAsiaTheme="minorEastAsia"/>
                <w:color w:val="000000" w:themeColor="text1"/>
                <w:szCs w:val="21"/>
              </w:rPr>
              <w:t>郭晨</w:t>
            </w:r>
          </w:p>
        </w:tc>
        <w:tc>
          <w:tcPr>
            <w:tcW w:w="930" w:type="dxa"/>
            <w:vAlign w:val="center"/>
          </w:tcPr>
          <w:p w:rsidR="000D2117" w:rsidRDefault="00465879">
            <w:pPr>
              <w:jc w:val="center"/>
            </w:pPr>
            <w:r>
              <w:rPr>
                <w:rFonts w:eastAsiaTheme="minorEastAsia"/>
                <w:color w:val="000000" w:themeColor="text1"/>
                <w:szCs w:val="21"/>
              </w:rPr>
              <w:t>本基金基金经理</w:t>
            </w:r>
          </w:p>
        </w:tc>
        <w:tc>
          <w:tcPr>
            <w:tcW w:w="1210" w:type="dxa"/>
            <w:vAlign w:val="center"/>
          </w:tcPr>
          <w:p w:rsidR="000D2117" w:rsidRDefault="00465879">
            <w:pPr>
              <w:jc w:val="center"/>
            </w:pPr>
            <w:r>
              <w:rPr>
                <w:rFonts w:eastAsiaTheme="minorEastAsia"/>
                <w:color w:val="000000" w:themeColor="text1"/>
                <w:szCs w:val="21"/>
              </w:rPr>
              <w:t>2019-03-29</w:t>
            </w:r>
          </w:p>
        </w:tc>
        <w:tc>
          <w:tcPr>
            <w:tcW w:w="1309" w:type="dxa"/>
            <w:vAlign w:val="center"/>
          </w:tcPr>
          <w:p w:rsidR="000D2117" w:rsidRDefault="00465879">
            <w:pPr>
              <w:jc w:val="center"/>
            </w:pPr>
            <w:r>
              <w:rPr>
                <w:rFonts w:eastAsiaTheme="minorEastAsia"/>
                <w:color w:val="000000" w:themeColor="text1"/>
                <w:szCs w:val="21"/>
              </w:rPr>
              <w:t>-</w:t>
            </w:r>
          </w:p>
        </w:tc>
        <w:tc>
          <w:tcPr>
            <w:tcW w:w="1254" w:type="dxa"/>
            <w:vAlign w:val="center"/>
          </w:tcPr>
          <w:p w:rsidR="000D2117" w:rsidRDefault="00465879">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0D2117" w:rsidRDefault="00465879">
            <w:r>
              <w:rPr>
                <w:rFonts w:eastAsiaTheme="minorEastAsia"/>
                <w:color w:val="000000" w:themeColor="text1"/>
                <w:szCs w:val="21"/>
              </w:rPr>
              <w:t>郭晨先生，自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月在平安资产管理有限公司担任分析师；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月在东吴基金管理有限公司担任研究员；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月在华富基金管理有限公司先后担任基金经理助理、基金经理。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月起加入上投摩根基金管理有限公司并担任基金经理、国内权益投资部成长组组长兼资深基金经理，自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月起担任上投摩根中小盘混合型证券投资基金基金经理，自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月起同时担任上投摩根智慧互联股票型证券投资基金基金经理，自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月起同时担任上投摩根新兴服务股票型证券投资基金基金经理，自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月起同时担任上投摩根创新商业模式灵活配置混合型证券投资基金基金经理，自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月起同时担任上投摩根优势成长混合型证券投资基金基金经理，自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月起同时担任上投摩根动力精选混合型证券投资基金基金经理。</w:t>
            </w:r>
          </w:p>
        </w:tc>
      </w:tr>
    </w:tbl>
    <w:p w:rsidR="000D2117" w:rsidRDefault="004658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w:t>
      </w:r>
      <w:r w:rsidRPr="00B27A29">
        <w:rPr>
          <w:rFonts w:eastAsiaTheme="minorEastAsia"/>
          <w:color w:val="000000" w:themeColor="text1"/>
          <w:szCs w:val="21"/>
        </w:rPr>
        <w:lastRenderedPageBreak/>
        <w:t>持有人谋求利益。基金管理人遵守了《证券投资基金法》及其他有关法律法规、《上投摩根创新商业模式灵活配置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年三季度沪深</w:t>
      </w:r>
      <w:r>
        <w:rPr>
          <w:rFonts w:eastAsiaTheme="minorEastAsia"/>
          <w:color w:val="000000" w:themeColor="text1"/>
          <w:szCs w:val="21"/>
        </w:rPr>
        <w:t xml:space="preserve"> 300 </w:t>
      </w:r>
      <w:r>
        <w:rPr>
          <w:rFonts w:eastAsiaTheme="minorEastAsia"/>
          <w:color w:val="000000" w:themeColor="text1"/>
          <w:szCs w:val="21"/>
        </w:rPr>
        <w:t>指数下跌</w:t>
      </w:r>
      <w:r>
        <w:rPr>
          <w:rFonts w:eastAsiaTheme="minorEastAsia"/>
          <w:color w:val="000000" w:themeColor="text1"/>
          <w:szCs w:val="21"/>
        </w:rPr>
        <w:t>15.16%</w:t>
      </w:r>
      <w:r>
        <w:rPr>
          <w:rFonts w:eastAsiaTheme="minorEastAsia"/>
          <w:color w:val="000000" w:themeColor="text1"/>
          <w:szCs w:val="21"/>
        </w:rPr>
        <w:t>，跌幅较大，市场处于单边下跌的状态，各行业普跌，仅有煤炭等少数上游能源行业表现尚可。三季度美国通胀压力很大，继续加息，美国国债收益率继续大涨，美元汇率继续强势，全球资本市场表现都不佳，</w:t>
      </w:r>
      <w:r>
        <w:rPr>
          <w:rFonts w:eastAsiaTheme="minorEastAsia"/>
          <w:color w:val="000000" w:themeColor="text1"/>
          <w:szCs w:val="21"/>
        </w:rPr>
        <w:t>A</w:t>
      </w:r>
      <w:r>
        <w:rPr>
          <w:rFonts w:eastAsiaTheme="minorEastAsia"/>
          <w:color w:val="000000" w:themeColor="text1"/>
          <w:szCs w:val="21"/>
        </w:rPr>
        <w:t>股也有较大压力。俄乌冲突没有结束的迹象，继续刺激国际能源价格，欧洲能源成本大幅上涨。国际格局动荡对外需的影响较</w:t>
      </w:r>
      <w:r>
        <w:rPr>
          <w:rFonts w:eastAsiaTheme="minorEastAsia"/>
          <w:color w:val="000000" w:themeColor="text1"/>
          <w:szCs w:val="21"/>
        </w:rPr>
        <w:lastRenderedPageBreak/>
        <w:t>大。国内经济受疫情影响继续疲弱，消费和投资压力很大，房地产行业销售没有出现复苏，地产产业链基本面没有起色。景气度较高的集中在上游能源行业和光伏、储能、新能源汽车等行业。</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预计市场将在较长时间里演绎结构性行情。目前市场基本反映了各种悲观情绪，长期向好的大趋势没有改变。我们始终重点配置在一些高景气度的优质行业上，比如新能源汽车、光伏、储能、医疗服务、食品饮料、家电等。本基金将始终坚持价值投资思路，坚持配置高景气度成长行业，选择高景气行业中相对优秀的龙头公司长期投资。</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我们比较乐观。目前大宗商品价格大多已经见顶回落，俄乌冲突等刺激因素缓解之后，大概率回归供需基本面。美国明年经济走弱的概率较大，通胀有望缓解，美国的加息进程进入后半段。国内房地产政策已经出现了放松的迹象，未来财政货币政策有望出台更多稳增长措施。随着国内关键会议的召开，国内经济政策的确定性逐步增强。从全球来看，中国经济依然稳健，确定性强，中国资产属于非常优质的资产。</w:t>
      </w:r>
      <w:r>
        <w:rPr>
          <w:rFonts w:eastAsiaTheme="minorEastAsia"/>
          <w:color w:val="000000" w:themeColor="text1"/>
          <w:szCs w:val="21"/>
        </w:rPr>
        <w:t>A</w:t>
      </w:r>
      <w:r>
        <w:rPr>
          <w:rFonts w:eastAsiaTheme="minorEastAsia"/>
          <w:color w:val="000000" w:themeColor="text1"/>
          <w:szCs w:val="21"/>
        </w:rPr>
        <w:t>股、港股、海外中概股的调整，使得估值处于很低水平，历史上看，是一个非常难得的底部区间，我们依然最看好高景气度的成长行业，比如新能源汽车、光伏、储能，以及受益于疫情逐渐好转之后的消费复苏行业，比如医疗服务、食品饮料、出行、家电等优质赛道。</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我们看好新能源汽车及其零部件、光伏、储能、医疗服务、食品饮料等细分行业。合理的估值，较高的业绩增速，成长的确定性是本基金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本报告期上投摩根创新商业模式混合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:-22.95%</w:t>
      </w:r>
      <w:r>
        <w:rPr>
          <w:rFonts w:eastAsiaTheme="minorEastAsia"/>
          <w:color w:val="000000" w:themeColor="text1"/>
          <w:szCs w:val="21"/>
        </w:rPr>
        <w:t>，同期业绩比较基准收益率为</w:t>
      </w:r>
      <w:r>
        <w:rPr>
          <w:rFonts w:eastAsiaTheme="minorEastAsia"/>
          <w:color w:val="000000" w:themeColor="text1"/>
          <w:szCs w:val="21"/>
        </w:rPr>
        <w:t>:</w:t>
      </w:r>
      <w:r w:rsidR="00392B5A" w:rsidRPr="00392B5A">
        <w:rPr>
          <w:rFonts w:eastAsiaTheme="minorEastAsia"/>
          <w:color w:val="000000" w:themeColor="text1"/>
          <w:szCs w:val="21"/>
        </w:rPr>
        <w:t xml:space="preserve"> </w:t>
      </w:r>
      <w:r w:rsidR="00392B5A">
        <w:rPr>
          <w:rFonts w:eastAsiaTheme="minorEastAsia"/>
          <w:color w:val="000000" w:themeColor="text1"/>
          <w:szCs w:val="21"/>
        </w:rPr>
        <w:t>-8.62%</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:-20.41%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:-5.70%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161,166,145.09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92.12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161,166,145.09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92.12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13,678,401.81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116,131.73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174,960,678.63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1444230.78</w:t>
      </w:r>
      <w:r w:rsidRPr="00B27A29">
        <w:rPr>
          <w:rFonts w:eastAsiaTheme="minorEastAsia"/>
          <w:color w:val="000000" w:themeColor="text1"/>
          <w:szCs w:val="21"/>
        </w:rPr>
        <w:t>元，占期末净值比例为</w:t>
      </w:r>
      <w:r w:rsidRPr="00B27A29">
        <w:rPr>
          <w:rFonts w:eastAsiaTheme="minorEastAsia"/>
          <w:color w:val="000000" w:themeColor="text1"/>
          <w:szCs w:val="21"/>
        </w:rPr>
        <w:t>0.84%</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4,943,018.00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152,439,575.31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540,216.00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1,799,105.00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159,721,914.31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92.78</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0D2117" w:rsidRDefault="00465879">
            <w:pPr>
              <w:jc w:val="center"/>
            </w:pPr>
            <w:r>
              <w:rPr>
                <w:rFonts w:eastAsiaTheme="minorEastAsia"/>
                <w:color w:val="000000" w:themeColor="text1"/>
                <w:szCs w:val="21"/>
              </w:rPr>
              <w:t>1,439,639.84</w:t>
            </w:r>
          </w:p>
        </w:tc>
        <w:tc>
          <w:tcPr>
            <w:tcW w:w="3118" w:type="dxa"/>
            <w:vAlign w:val="center"/>
          </w:tcPr>
          <w:p w:rsidR="000D2117" w:rsidRDefault="00465879">
            <w:pPr>
              <w:jc w:val="center"/>
            </w:pPr>
            <w:r>
              <w:rPr>
                <w:rFonts w:eastAsiaTheme="minorEastAsia"/>
                <w:color w:val="000000" w:themeColor="text1"/>
                <w:szCs w:val="21"/>
              </w:rPr>
              <w:t>0.84</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0D2117" w:rsidRDefault="00465879">
            <w:pPr>
              <w:jc w:val="center"/>
            </w:pPr>
            <w:r>
              <w:rPr>
                <w:rFonts w:eastAsiaTheme="minorEastAsia"/>
                <w:color w:val="000000" w:themeColor="text1"/>
                <w:szCs w:val="21"/>
              </w:rPr>
              <w:t>4,590.94</w:t>
            </w:r>
          </w:p>
        </w:tc>
        <w:tc>
          <w:tcPr>
            <w:tcW w:w="3118" w:type="dxa"/>
            <w:vAlign w:val="center"/>
          </w:tcPr>
          <w:p w:rsidR="000D2117" w:rsidRDefault="00465879">
            <w:pPr>
              <w:jc w:val="center"/>
            </w:pPr>
            <w:r>
              <w:rPr>
                <w:rFonts w:eastAsiaTheme="minorEastAsia"/>
                <w:color w:val="000000" w:themeColor="text1"/>
                <w:szCs w:val="21"/>
              </w:rPr>
              <w:t>0.00</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0D2117">
        <w:trPr>
          <w:jc w:val="center"/>
        </w:trPr>
        <w:tc>
          <w:tcPr>
            <w:tcW w:w="2397" w:type="dxa"/>
            <w:vAlign w:val="center"/>
          </w:tcPr>
          <w:p w:rsidR="000D2117" w:rsidRDefault="00465879">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0D2117" w:rsidRDefault="00465879">
            <w:pPr>
              <w:jc w:val="center"/>
            </w:pPr>
            <w:r>
              <w:rPr>
                <w:rFonts w:eastAsiaTheme="minorEastAsia"/>
                <w:color w:val="000000" w:themeColor="text1"/>
                <w:szCs w:val="21"/>
              </w:rPr>
              <w:t>-</w:t>
            </w:r>
          </w:p>
        </w:tc>
        <w:tc>
          <w:tcPr>
            <w:tcW w:w="3118" w:type="dxa"/>
            <w:vAlign w:val="center"/>
          </w:tcPr>
          <w:p w:rsidR="000D2117" w:rsidRDefault="00465879">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1,444,230.78</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0.84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D2117">
        <w:tc>
          <w:tcPr>
            <w:tcW w:w="817" w:type="dxa"/>
            <w:vAlign w:val="center"/>
          </w:tcPr>
          <w:p w:rsidR="000D2117" w:rsidRDefault="00465879">
            <w:pPr>
              <w:jc w:val="center"/>
            </w:pPr>
            <w:r>
              <w:rPr>
                <w:rFonts w:eastAsiaTheme="minorEastAsia"/>
                <w:kern w:val="0"/>
                <w:szCs w:val="21"/>
              </w:rPr>
              <w:t>1</w:t>
            </w:r>
          </w:p>
        </w:tc>
        <w:tc>
          <w:tcPr>
            <w:tcW w:w="1276" w:type="dxa"/>
            <w:vAlign w:val="center"/>
          </w:tcPr>
          <w:p w:rsidR="000D2117" w:rsidRDefault="00465879">
            <w:pPr>
              <w:jc w:val="center"/>
            </w:pPr>
            <w:r>
              <w:rPr>
                <w:rFonts w:eastAsiaTheme="minorEastAsia"/>
                <w:kern w:val="0"/>
                <w:szCs w:val="21"/>
              </w:rPr>
              <w:t>603799</w:t>
            </w:r>
          </w:p>
        </w:tc>
        <w:tc>
          <w:tcPr>
            <w:tcW w:w="1701" w:type="dxa"/>
            <w:vAlign w:val="center"/>
          </w:tcPr>
          <w:p w:rsidR="000D2117" w:rsidRDefault="00465879">
            <w:pPr>
              <w:jc w:val="center"/>
            </w:pPr>
            <w:r>
              <w:rPr>
                <w:rFonts w:eastAsiaTheme="minorEastAsia"/>
                <w:kern w:val="0"/>
                <w:szCs w:val="21"/>
              </w:rPr>
              <w:t>华友钴业</w:t>
            </w:r>
          </w:p>
        </w:tc>
        <w:tc>
          <w:tcPr>
            <w:tcW w:w="1276" w:type="dxa"/>
            <w:vAlign w:val="center"/>
          </w:tcPr>
          <w:p w:rsidR="000D2117" w:rsidRDefault="00465879">
            <w:pPr>
              <w:jc w:val="right"/>
            </w:pPr>
            <w:r>
              <w:rPr>
                <w:rFonts w:eastAsiaTheme="minorEastAsia"/>
                <w:kern w:val="0"/>
                <w:szCs w:val="21"/>
              </w:rPr>
              <w:t>176,094.00</w:t>
            </w:r>
          </w:p>
        </w:tc>
        <w:tc>
          <w:tcPr>
            <w:tcW w:w="1842" w:type="dxa"/>
            <w:vAlign w:val="center"/>
          </w:tcPr>
          <w:p w:rsidR="000D2117" w:rsidRDefault="00465879">
            <w:pPr>
              <w:jc w:val="right"/>
            </w:pPr>
            <w:r>
              <w:rPr>
                <w:rFonts w:eastAsiaTheme="minorEastAsia"/>
                <w:kern w:val="0"/>
                <w:szCs w:val="21"/>
              </w:rPr>
              <w:t>11,329,887.96</w:t>
            </w:r>
          </w:p>
        </w:tc>
        <w:tc>
          <w:tcPr>
            <w:tcW w:w="1616" w:type="dxa"/>
            <w:vAlign w:val="center"/>
          </w:tcPr>
          <w:p w:rsidR="000D2117" w:rsidRDefault="00465879">
            <w:pPr>
              <w:jc w:val="right"/>
            </w:pPr>
            <w:r>
              <w:rPr>
                <w:rFonts w:eastAsiaTheme="minorEastAsia"/>
                <w:kern w:val="0"/>
                <w:szCs w:val="21"/>
              </w:rPr>
              <w:t>6.58</w:t>
            </w:r>
          </w:p>
        </w:tc>
      </w:tr>
      <w:tr w:rsidR="000D2117">
        <w:tc>
          <w:tcPr>
            <w:tcW w:w="817" w:type="dxa"/>
            <w:vAlign w:val="center"/>
          </w:tcPr>
          <w:p w:rsidR="000D2117" w:rsidRDefault="00465879">
            <w:pPr>
              <w:jc w:val="center"/>
            </w:pPr>
            <w:r>
              <w:rPr>
                <w:rFonts w:eastAsiaTheme="minorEastAsia"/>
                <w:kern w:val="0"/>
                <w:szCs w:val="21"/>
              </w:rPr>
              <w:lastRenderedPageBreak/>
              <w:t>2</w:t>
            </w:r>
          </w:p>
        </w:tc>
        <w:tc>
          <w:tcPr>
            <w:tcW w:w="1276" w:type="dxa"/>
            <w:vAlign w:val="center"/>
          </w:tcPr>
          <w:p w:rsidR="000D2117" w:rsidRDefault="00465879">
            <w:pPr>
              <w:jc w:val="center"/>
            </w:pPr>
            <w:r>
              <w:rPr>
                <w:rFonts w:eastAsiaTheme="minorEastAsia"/>
                <w:kern w:val="0"/>
                <w:szCs w:val="21"/>
              </w:rPr>
              <w:t>002594</w:t>
            </w:r>
          </w:p>
        </w:tc>
        <w:tc>
          <w:tcPr>
            <w:tcW w:w="1701" w:type="dxa"/>
            <w:vAlign w:val="center"/>
          </w:tcPr>
          <w:p w:rsidR="000D2117" w:rsidRDefault="00465879">
            <w:pPr>
              <w:jc w:val="center"/>
            </w:pPr>
            <w:r>
              <w:rPr>
                <w:rFonts w:eastAsiaTheme="minorEastAsia"/>
                <w:kern w:val="0"/>
                <w:szCs w:val="21"/>
              </w:rPr>
              <w:t>比亚迪</w:t>
            </w:r>
          </w:p>
        </w:tc>
        <w:tc>
          <w:tcPr>
            <w:tcW w:w="1276" w:type="dxa"/>
            <w:vAlign w:val="center"/>
          </w:tcPr>
          <w:p w:rsidR="000D2117" w:rsidRDefault="00465879">
            <w:pPr>
              <w:jc w:val="right"/>
            </w:pPr>
            <w:r>
              <w:rPr>
                <w:rFonts w:eastAsiaTheme="minorEastAsia"/>
                <w:kern w:val="0"/>
                <w:szCs w:val="21"/>
              </w:rPr>
              <w:t>42,542.00</w:t>
            </w:r>
          </w:p>
        </w:tc>
        <w:tc>
          <w:tcPr>
            <w:tcW w:w="1842" w:type="dxa"/>
            <w:vAlign w:val="center"/>
          </w:tcPr>
          <w:p w:rsidR="000D2117" w:rsidRDefault="00465879">
            <w:pPr>
              <w:jc w:val="right"/>
            </w:pPr>
            <w:r>
              <w:rPr>
                <w:rFonts w:eastAsiaTheme="minorEastAsia"/>
                <w:kern w:val="0"/>
                <w:szCs w:val="21"/>
              </w:rPr>
              <w:t>10,721,009.42</w:t>
            </w:r>
          </w:p>
        </w:tc>
        <w:tc>
          <w:tcPr>
            <w:tcW w:w="1616" w:type="dxa"/>
            <w:vAlign w:val="center"/>
          </w:tcPr>
          <w:p w:rsidR="000D2117" w:rsidRDefault="00465879">
            <w:pPr>
              <w:jc w:val="right"/>
            </w:pPr>
            <w:r>
              <w:rPr>
                <w:rFonts w:eastAsiaTheme="minorEastAsia"/>
                <w:kern w:val="0"/>
                <w:szCs w:val="21"/>
              </w:rPr>
              <w:t>6.23</w:t>
            </w:r>
          </w:p>
        </w:tc>
      </w:tr>
      <w:tr w:rsidR="000D2117">
        <w:tc>
          <w:tcPr>
            <w:tcW w:w="817" w:type="dxa"/>
            <w:vAlign w:val="center"/>
          </w:tcPr>
          <w:p w:rsidR="000D2117" w:rsidRDefault="00465879">
            <w:pPr>
              <w:jc w:val="center"/>
            </w:pPr>
            <w:r>
              <w:rPr>
                <w:rFonts w:eastAsiaTheme="minorEastAsia"/>
                <w:kern w:val="0"/>
                <w:szCs w:val="21"/>
              </w:rPr>
              <w:t>3</w:t>
            </w:r>
          </w:p>
        </w:tc>
        <w:tc>
          <w:tcPr>
            <w:tcW w:w="1276" w:type="dxa"/>
            <w:vAlign w:val="center"/>
          </w:tcPr>
          <w:p w:rsidR="000D2117" w:rsidRDefault="00465879">
            <w:pPr>
              <w:jc w:val="center"/>
            </w:pPr>
            <w:r>
              <w:rPr>
                <w:rFonts w:eastAsiaTheme="minorEastAsia"/>
                <w:kern w:val="0"/>
                <w:szCs w:val="21"/>
              </w:rPr>
              <w:t>300750</w:t>
            </w:r>
          </w:p>
        </w:tc>
        <w:tc>
          <w:tcPr>
            <w:tcW w:w="1701" w:type="dxa"/>
            <w:vAlign w:val="center"/>
          </w:tcPr>
          <w:p w:rsidR="000D2117" w:rsidRDefault="00465879">
            <w:pPr>
              <w:jc w:val="center"/>
            </w:pPr>
            <w:r>
              <w:rPr>
                <w:rFonts w:eastAsiaTheme="minorEastAsia"/>
                <w:kern w:val="0"/>
                <w:szCs w:val="21"/>
              </w:rPr>
              <w:t>宁德时代</w:t>
            </w:r>
          </w:p>
        </w:tc>
        <w:tc>
          <w:tcPr>
            <w:tcW w:w="1276" w:type="dxa"/>
            <w:vAlign w:val="center"/>
          </w:tcPr>
          <w:p w:rsidR="000D2117" w:rsidRDefault="00465879">
            <w:pPr>
              <w:jc w:val="right"/>
            </w:pPr>
            <w:r>
              <w:rPr>
                <w:rFonts w:eastAsiaTheme="minorEastAsia"/>
                <w:kern w:val="0"/>
                <w:szCs w:val="21"/>
              </w:rPr>
              <w:t>25,301.00</w:t>
            </w:r>
          </w:p>
        </w:tc>
        <w:tc>
          <w:tcPr>
            <w:tcW w:w="1842" w:type="dxa"/>
            <w:vAlign w:val="center"/>
          </w:tcPr>
          <w:p w:rsidR="000D2117" w:rsidRDefault="00465879">
            <w:pPr>
              <w:jc w:val="right"/>
            </w:pPr>
            <w:r>
              <w:rPr>
                <w:rFonts w:eastAsiaTheme="minorEastAsia"/>
                <w:kern w:val="0"/>
                <w:szCs w:val="21"/>
              </w:rPr>
              <w:t>10,142,917.89</w:t>
            </w:r>
          </w:p>
        </w:tc>
        <w:tc>
          <w:tcPr>
            <w:tcW w:w="1616" w:type="dxa"/>
            <w:vAlign w:val="center"/>
          </w:tcPr>
          <w:p w:rsidR="000D2117" w:rsidRDefault="00465879">
            <w:pPr>
              <w:jc w:val="right"/>
            </w:pPr>
            <w:r>
              <w:rPr>
                <w:rFonts w:eastAsiaTheme="minorEastAsia"/>
                <w:kern w:val="0"/>
                <w:szCs w:val="21"/>
              </w:rPr>
              <w:t>5.89</w:t>
            </w:r>
          </w:p>
        </w:tc>
      </w:tr>
      <w:tr w:rsidR="000D2117">
        <w:tc>
          <w:tcPr>
            <w:tcW w:w="817" w:type="dxa"/>
            <w:vAlign w:val="center"/>
          </w:tcPr>
          <w:p w:rsidR="000D2117" w:rsidRDefault="00465879">
            <w:pPr>
              <w:jc w:val="center"/>
            </w:pPr>
            <w:r>
              <w:rPr>
                <w:rFonts w:eastAsiaTheme="minorEastAsia"/>
                <w:kern w:val="0"/>
                <w:szCs w:val="21"/>
              </w:rPr>
              <w:t>4</w:t>
            </w:r>
          </w:p>
        </w:tc>
        <w:tc>
          <w:tcPr>
            <w:tcW w:w="1276" w:type="dxa"/>
            <w:vAlign w:val="center"/>
          </w:tcPr>
          <w:p w:rsidR="000D2117" w:rsidRDefault="00465879">
            <w:pPr>
              <w:jc w:val="center"/>
            </w:pPr>
            <w:r>
              <w:rPr>
                <w:rFonts w:eastAsiaTheme="minorEastAsia"/>
                <w:kern w:val="0"/>
                <w:szCs w:val="21"/>
              </w:rPr>
              <w:t>600438</w:t>
            </w:r>
          </w:p>
        </w:tc>
        <w:tc>
          <w:tcPr>
            <w:tcW w:w="1701" w:type="dxa"/>
            <w:vAlign w:val="center"/>
          </w:tcPr>
          <w:p w:rsidR="000D2117" w:rsidRDefault="00465879">
            <w:pPr>
              <w:jc w:val="center"/>
            </w:pPr>
            <w:r>
              <w:rPr>
                <w:rFonts w:eastAsiaTheme="minorEastAsia"/>
                <w:kern w:val="0"/>
                <w:szCs w:val="21"/>
              </w:rPr>
              <w:t>通威股份</w:t>
            </w:r>
          </w:p>
        </w:tc>
        <w:tc>
          <w:tcPr>
            <w:tcW w:w="1276" w:type="dxa"/>
            <w:vAlign w:val="center"/>
          </w:tcPr>
          <w:p w:rsidR="000D2117" w:rsidRDefault="00465879">
            <w:pPr>
              <w:jc w:val="right"/>
            </w:pPr>
            <w:r>
              <w:rPr>
                <w:rFonts w:eastAsiaTheme="minorEastAsia"/>
                <w:kern w:val="0"/>
                <w:szCs w:val="21"/>
              </w:rPr>
              <w:t>207,436.00</w:t>
            </w:r>
          </w:p>
        </w:tc>
        <w:tc>
          <w:tcPr>
            <w:tcW w:w="1842" w:type="dxa"/>
            <w:vAlign w:val="center"/>
          </w:tcPr>
          <w:p w:rsidR="000D2117" w:rsidRDefault="00465879">
            <w:pPr>
              <w:jc w:val="right"/>
            </w:pPr>
            <w:r>
              <w:rPr>
                <w:rFonts w:eastAsiaTheme="minorEastAsia"/>
                <w:kern w:val="0"/>
                <w:szCs w:val="21"/>
              </w:rPr>
              <w:t>9,741,194.56</w:t>
            </w:r>
          </w:p>
        </w:tc>
        <w:tc>
          <w:tcPr>
            <w:tcW w:w="1616" w:type="dxa"/>
            <w:vAlign w:val="center"/>
          </w:tcPr>
          <w:p w:rsidR="000D2117" w:rsidRDefault="00465879">
            <w:pPr>
              <w:jc w:val="right"/>
            </w:pPr>
            <w:r>
              <w:rPr>
                <w:rFonts w:eastAsiaTheme="minorEastAsia"/>
                <w:kern w:val="0"/>
                <w:szCs w:val="21"/>
              </w:rPr>
              <w:t>5.66</w:t>
            </w:r>
          </w:p>
        </w:tc>
      </w:tr>
      <w:tr w:rsidR="000D2117">
        <w:tc>
          <w:tcPr>
            <w:tcW w:w="817" w:type="dxa"/>
            <w:vAlign w:val="center"/>
          </w:tcPr>
          <w:p w:rsidR="000D2117" w:rsidRDefault="00465879">
            <w:pPr>
              <w:jc w:val="center"/>
            </w:pPr>
            <w:r>
              <w:rPr>
                <w:rFonts w:eastAsiaTheme="minorEastAsia"/>
                <w:kern w:val="0"/>
                <w:szCs w:val="21"/>
              </w:rPr>
              <w:t>5</w:t>
            </w:r>
          </w:p>
        </w:tc>
        <w:tc>
          <w:tcPr>
            <w:tcW w:w="1276" w:type="dxa"/>
            <w:vAlign w:val="center"/>
          </w:tcPr>
          <w:p w:rsidR="000D2117" w:rsidRDefault="00465879">
            <w:pPr>
              <w:jc w:val="center"/>
            </w:pPr>
            <w:r>
              <w:rPr>
                <w:rFonts w:eastAsiaTheme="minorEastAsia"/>
                <w:kern w:val="0"/>
                <w:szCs w:val="21"/>
              </w:rPr>
              <w:t>601689</w:t>
            </w:r>
          </w:p>
        </w:tc>
        <w:tc>
          <w:tcPr>
            <w:tcW w:w="1701" w:type="dxa"/>
            <w:vAlign w:val="center"/>
          </w:tcPr>
          <w:p w:rsidR="000D2117" w:rsidRDefault="00465879">
            <w:pPr>
              <w:jc w:val="center"/>
            </w:pPr>
            <w:r>
              <w:rPr>
                <w:rFonts w:eastAsiaTheme="minorEastAsia"/>
                <w:kern w:val="0"/>
                <w:szCs w:val="21"/>
              </w:rPr>
              <w:t>拓普集团</w:t>
            </w:r>
          </w:p>
        </w:tc>
        <w:tc>
          <w:tcPr>
            <w:tcW w:w="1276" w:type="dxa"/>
            <w:vAlign w:val="center"/>
          </w:tcPr>
          <w:p w:rsidR="000D2117" w:rsidRDefault="00465879">
            <w:pPr>
              <w:jc w:val="right"/>
            </w:pPr>
            <w:r>
              <w:rPr>
                <w:rFonts w:eastAsiaTheme="minorEastAsia"/>
                <w:kern w:val="0"/>
                <w:szCs w:val="21"/>
              </w:rPr>
              <w:t>127,202.00</w:t>
            </w:r>
          </w:p>
        </w:tc>
        <w:tc>
          <w:tcPr>
            <w:tcW w:w="1842" w:type="dxa"/>
            <w:vAlign w:val="center"/>
          </w:tcPr>
          <w:p w:rsidR="000D2117" w:rsidRDefault="00465879">
            <w:pPr>
              <w:jc w:val="right"/>
            </w:pPr>
            <w:r>
              <w:rPr>
                <w:rFonts w:eastAsiaTheme="minorEastAsia"/>
                <w:kern w:val="0"/>
                <w:szCs w:val="21"/>
              </w:rPr>
              <w:t>9,387,507.60</w:t>
            </w:r>
          </w:p>
        </w:tc>
        <w:tc>
          <w:tcPr>
            <w:tcW w:w="1616" w:type="dxa"/>
            <w:vAlign w:val="center"/>
          </w:tcPr>
          <w:p w:rsidR="000D2117" w:rsidRDefault="00465879">
            <w:pPr>
              <w:jc w:val="right"/>
            </w:pPr>
            <w:r>
              <w:rPr>
                <w:rFonts w:eastAsiaTheme="minorEastAsia"/>
                <w:kern w:val="0"/>
                <w:szCs w:val="21"/>
              </w:rPr>
              <w:t>5.45</w:t>
            </w:r>
          </w:p>
        </w:tc>
      </w:tr>
      <w:tr w:rsidR="000D2117">
        <w:tc>
          <w:tcPr>
            <w:tcW w:w="817" w:type="dxa"/>
            <w:vAlign w:val="center"/>
          </w:tcPr>
          <w:p w:rsidR="000D2117" w:rsidRDefault="00465879">
            <w:pPr>
              <w:jc w:val="center"/>
            </w:pPr>
            <w:r>
              <w:rPr>
                <w:rFonts w:eastAsiaTheme="minorEastAsia"/>
                <w:kern w:val="0"/>
                <w:szCs w:val="21"/>
              </w:rPr>
              <w:t>6</w:t>
            </w:r>
          </w:p>
        </w:tc>
        <w:tc>
          <w:tcPr>
            <w:tcW w:w="1276" w:type="dxa"/>
            <w:vAlign w:val="center"/>
          </w:tcPr>
          <w:p w:rsidR="000D2117" w:rsidRDefault="00465879">
            <w:pPr>
              <w:jc w:val="center"/>
            </w:pPr>
            <w:r>
              <w:rPr>
                <w:rFonts w:eastAsiaTheme="minorEastAsia"/>
                <w:kern w:val="0"/>
                <w:szCs w:val="21"/>
              </w:rPr>
              <w:t>300014</w:t>
            </w:r>
          </w:p>
        </w:tc>
        <w:tc>
          <w:tcPr>
            <w:tcW w:w="1701" w:type="dxa"/>
            <w:vAlign w:val="center"/>
          </w:tcPr>
          <w:p w:rsidR="000D2117" w:rsidRDefault="00465879">
            <w:pPr>
              <w:jc w:val="center"/>
            </w:pPr>
            <w:r>
              <w:rPr>
                <w:rFonts w:eastAsiaTheme="minorEastAsia"/>
                <w:kern w:val="0"/>
                <w:szCs w:val="21"/>
              </w:rPr>
              <w:t>亿纬锂能</w:t>
            </w:r>
          </w:p>
        </w:tc>
        <w:tc>
          <w:tcPr>
            <w:tcW w:w="1276" w:type="dxa"/>
            <w:vAlign w:val="center"/>
          </w:tcPr>
          <w:p w:rsidR="000D2117" w:rsidRDefault="00465879">
            <w:pPr>
              <w:jc w:val="right"/>
            </w:pPr>
            <w:r>
              <w:rPr>
                <w:rFonts w:eastAsiaTheme="minorEastAsia"/>
                <w:kern w:val="0"/>
                <w:szCs w:val="21"/>
              </w:rPr>
              <w:t>103,200.00</w:t>
            </w:r>
          </w:p>
        </w:tc>
        <w:tc>
          <w:tcPr>
            <w:tcW w:w="1842" w:type="dxa"/>
            <w:vAlign w:val="center"/>
          </w:tcPr>
          <w:p w:rsidR="000D2117" w:rsidRDefault="00465879">
            <w:pPr>
              <w:jc w:val="right"/>
            </w:pPr>
            <w:r>
              <w:rPr>
                <w:rFonts w:eastAsiaTheme="minorEastAsia"/>
                <w:kern w:val="0"/>
                <w:szCs w:val="21"/>
              </w:rPr>
              <w:t>8,730,720.00</w:t>
            </w:r>
          </w:p>
        </w:tc>
        <w:tc>
          <w:tcPr>
            <w:tcW w:w="1616" w:type="dxa"/>
            <w:vAlign w:val="center"/>
          </w:tcPr>
          <w:p w:rsidR="000D2117" w:rsidRDefault="00465879">
            <w:pPr>
              <w:jc w:val="right"/>
            </w:pPr>
            <w:r>
              <w:rPr>
                <w:rFonts w:eastAsiaTheme="minorEastAsia"/>
                <w:kern w:val="0"/>
                <w:szCs w:val="21"/>
              </w:rPr>
              <w:t>5.07</w:t>
            </w:r>
          </w:p>
        </w:tc>
      </w:tr>
      <w:tr w:rsidR="000D2117">
        <w:tc>
          <w:tcPr>
            <w:tcW w:w="817" w:type="dxa"/>
            <w:vAlign w:val="center"/>
          </w:tcPr>
          <w:p w:rsidR="000D2117" w:rsidRDefault="00465879">
            <w:pPr>
              <w:jc w:val="center"/>
            </w:pPr>
            <w:r>
              <w:rPr>
                <w:rFonts w:eastAsiaTheme="minorEastAsia"/>
                <w:kern w:val="0"/>
                <w:szCs w:val="21"/>
              </w:rPr>
              <w:t>7</w:t>
            </w:r>
          </w:p>
        </w:tc>
        <w:tc>
          <w:tcPr>
            <w:tcW w:w="1276" w:type="dxa"/>
            <w:vAlign w:val="center"/>
          </w:tcPr>
          <w:p w:rsidR="000D2117" w:rsidRDefault="00465879">
            <w:pPr>
              <w:jc w:val="center"/>
            </w:pPr>
            <w:r>
              <w:rPr>
                <w:rFonts w:eastAsiaTheme="minorEastAsia"/>
                <w:kern w:val="0"/>
                <w:szCs w:val="21"/>
              </w:rPr>
              <w:t>688169</w:t>
            </w:r>
          </w:p>
        </w:tc>
        <w:tc>
          <w:tcPr>
            <w:tcW w:w="1701" w:type="dxa"/>
            <w:vAlign w:val="center"/>
          </w:tcPr>
          <w:p w:rsidR="000D2117" w:rsidRDefault="00465879">
            <w:pPr>
              <w:jc w:val="center"/>
            </w:pPr>
            <w:r>
              <w:rPr>
                <w:rFonts w:eastAsiaTheme="minorEastAsia"/>
                <w:kern w:val="0"/>
                <w:szCs w:val="21"/>
              </w:rPr>
              <w:t>石头科技</w:t>
            </w:r>
          </w:p>
        </w:tc>
        <w:tc>
          <w:tcPr>
            <w:tcW w:w="1276" w:type="dxa"/>
            <w:vAlign w:val="center"/>
          </w:tcPr>
          <w:p w:rsidR="000D2117" w:rsidRDefault="00465879">
            <w:pPr>
              <w:jc w:val="right"/>
            </w:pPr>
            <w:r>
              <w:rPr>
                <w:rFonts w:eastAsiaTheme="minorEastAsia"/>
                <w:kern w:val="0"/>
                <w:szCs w:val="21"/>
              </w:rPr>
              <w:t>31,413.00</w:t>
            </w:r>
          </w:p>
        </w:tc>
        <w:tc>
          <w:tcPr>
            <w:tcW w:w="1842" w:type="dxa"/>
            <w:vAlign w:val="center"/>
          </w:tcPr>
          <w:p w:rsidR="000D2117" w:rsidRDefault="00465879">
            <w:pPr>
              <w:jc w:val="right"/>
            </w:pPr>
            <w:r>
              <w:rPr>
                <w:rFonts w:eastAsiaTheme="minorEastAsia"/>
                <w:kern w:val="0"/>
                <w:szCs w:val="21"/>
              </w:rPr>
              <w:t>8,109,894.21</w:t>
            </w:r>
          </w:p>
        </w:tc>
        <w:tc>
          <w:tcPr>
            <w:tcW w:w="1616" w:type="dxa"/>
            <w:vAlign w:val="center"/>
          </w:tcPr>
          <w:p w:rsidR="000D2117" w:rsidRDefault="00465879">
            <w:pPr>
              <w:jc w:val="right"/>
            </w:pPr>
            <w:r>
              <w:rPr>
                <w:rFonts w:eastAsiaTheme="minorEastAsia"/>
                <w:kern w:val="0"/>
                <w:szCs w:val="21"/>
              </w:rPr>
              <w:t>4.71</w:t>
            </w:r>
          </w:p>
        </w:tc>
      </w:tr>
      <w:tr w:rsidR="000D2117">
        <w:tc>
          <w:tcPr>
            <w:tcW w:w="817" w:type="dxa"/>
            <w:vAlign w:val="center"/>
          </w:tcPr>
          <w:p w:rsidR="000D2117" w:rsidRDefault="00465879">
            <w:pPr>
              <w:jc w:val="center"/>
            </w:pPr>
            <w:r>
              <w:rPr>
                <w:rFonts w:eastAsiaTheme="minorEastAsia"/>
                <w:kern w:val="0"/>
                <w:szCs w:val="21"/>
              </w:rPr>
              <w:t>8</w:t>
            </w:r>
          </w:p>
        </w:tc>
        <w:tc>
          <w:tcPr>
            <w:tcW w:w="1276" w:type="dxa"/>
            <w:vAlign w:val="center"/>
          </w:tcPr>
          <w:p w:rsidR="000D2117" w:rsidRDefault="00465879">
            <w:pPr>
              <w:jc w:val="center"/>
            </w:pPr>
            <w:r>
              <w:rPr>
                <w:rFonts w:eastAsiaTheme="minorEastAsia"/>
                <w:kern w:val="0"/>
                <w:szCs w:val="21"/>
              </w:rPr>
              <w:t>600338</w:t>
            </w:r>
          </w:p>
        </w:tc>
        <w:tc>
          <w:tcPr>
            <w:tcW w:w="1701" w:type="dxa"/>
            <w:vAlign w:val="center"/>
          </w:tcPr>
          <w:p w:rsidR="000D2117" w:rsidRDefault="00465879">
            <w:pPr>
              <w:jc w:val="center"/>
            </w:pPr>
            <w:r>
              <w:rPr>
                <w:rFonts w:eastAsiaTheme="minorEastAsia"/>
                <w:kern w:val="0"/>
                <w:szCs w:val="21"/>
              </w:rPr>
              <w:t>西藏珠峰</w:t>
            </w:r>
          </w:p>
        </w:tc>
        <w:tc>
          <w:tcPr>
            <w:tcW w:w="1276" w:type="dxa"/>
            <w:vAlign w:val="center"/>
          </w:tcPr>
          <w:p w:rsidR="000D2117" w:rsidRDefault="00465879">
            <w:pPr>
              <w:jc w:val="right"/>
            </w:pPr>
            <w:r>
              <w:rPr>
                <w:rFonts w:eastAsiaTheme="minorEastAsia"/>
                <w:kern w:val="0"/>
                <w:szCs w:val="21"/>
              </w:rPr>
              <w:t>221,660.00</w:t>
            </w:r>
          </w:p>
        </w:tc>
        <w:tc>
          <w:tcPr>
            <w:tcW w:w="1842" w:type="dxa"/>
            <w:vAlign w:val="center"/>
          </w:tcPr>
          <w:p w:rsidR="000D2117" w:rsidRDefault="00465879">
            <w:pPr>
              <w:jc w:val="right"/>
            </w:pPr>
            <w:r>
              <w:rPr>
                <w:rFonts w:eastAsiaTheme="minorEastAsia"/>
                <w:kern w:val="0"/>
                <w:szCs w:val="21"/>
              </w:rPr>
              <w:t>4,943,018.00</w:t>
            </w:r>
          </w:p>
        </w:tc>
        <w:tc>
          <w:tcPr>
            <w:tcW w:w="1616" w:type="dxa"/>
            <w:vAlign w:val="center"/>
          </w:tcPr>
          <w:p w:rsidR="000D2117" w:rsidRDefault="00465879">
            <w:pPr>
              <w:jc w:val="right"/>
            </w:pPr>
            <w:r>
              <w:rPr>
                <w:rFonts w:eastAsiaTheme="minorEastAsia"/>
                <w:kern w:val="0"/>
                <w:szCs w:val="21"/>
              </w:rPr>
              <w:t>2.87</w:t>
            </w:r>
          </w:p>
        </w:tc>
      </w:tr>
      <w:tr w:rsidR="000D2117">
        <w:tc>
          <w:tcPr>
            <w:tcW w:w="817" w:type="dxa"/>
            <w:vAlign w:val="center"/>
          </w:tcPr>
          <w:p w:rsidR="000D2117" w:rsidRDefault="00465879">
            <w:pPr>
              <w:jc w:val="center"/>
            </w:pPr>
            <w:r>
              <w:rPr>
                <w:rFonts w:eastAsiaTheme="minorEastAsia"/>
                <w:kern w:val="0"/>
                <w:szCs w:val="21"/>
              </w:rPr>
              <w:t>9</w:t>
            </w:r>
          </w:p>
        </w:tc>
        <w:tc>
          <w:tcPr>
            <w:tcW w:w="1276" w:type="dxa"/>
            <w:vAlign w:val="center"/>
          </w:tcPr>
          <w:p w:rsidR="000D2117" w:rsidRDefault="00465879">
            <w:pPr>
              <w:jc w:val="center"/>
            </w:pPr>
            <w:r>
              <w:rPr>
                <w:rFonts w:eastAsiaTheme="minorEastAsia"/>
                <w:kern w:val="0"/>
                <w:szCs w:val="21"/>
              </w:rPr>
              <w:t>603197</w:t>
            </w:r>
          </w:p>
        </w:tc>
        <w:tc>
          <w:tcPr>
            <w:tcW w:w="1701" w:type="dxa"/>
            <w:vAlign w:val="center"/>
          </w:tcPr>
          <w:p w:rsidR="000D2117" w:rsidRDefault="00465879">
            <w:pPr>
              <w:jc w:val="center"/>
            </w:pPr>
            <w:r>
              <w:rPr>
                <w:rFonts w:eastAsiaTheme="minorEastAsia"/>
                <w:kern w:val="0"/>
                <w:szCs w:val="21"/>
              </w:rPr>
              <w:t>保隆科技</w:t>
            </w:r>
          </w:p>
        </w:tc>
        <w:tc>
          <w:tcPr>
            <w:tcW w:w="1276" w:type="dxa"/>
            <w:vAlign w:val="center"/>
          </w:tcPr>
          <w:p w:rsidR="000D2117" w:rsidRDefault="00465879">
            <w:pPr>
              <w:jc w:val="right"/>
            </w:pPr>
            <w:r>
              <w:rPr>
                <w:rFonts w:eastAsiaTheme="minorEastAsia"/>
                <w:kern w:val="0"/>
                <w:szCs w:val="21"/>
              </w:rPr>
              <w:t>111,000.00</w:t>
            </w:r>
          </w:p>
        </w:tc>
        <w:tc>
          <w:tcPr>
            <w:tcW w:w="1842" w:type="dxa"/>
            <w:vAlign w:val="center"/>
          </w:tcPr>
          <w:p w:rsidR="000D2117" w:rsidRDefault="00465879">
            <w:pPr>
              <w:jc w:val="right"/>
            </w:pPr>
            <w:r>
              <w:rPr>
                <w:rFonts w:eastAsiaTheme="minorEastAsia"/>
                <w:kern w:val="0"/>
                <w:szCs w:val="21"/>
              </w:rPr>
              <w:t>4,897,320.00</w:t>
            </w:r>
          </w:p>
        </w:tc>
        <w:tc>
          <w:tcPr>
            <w:tcW w:w="1616" w:type="dxa"/>
            <w:vAlign w:val="center"/>
          </w:tcPr>
          <w:p w:rsidR="000D2117" w:rsidRDefault="00465879">
            <w:pPr>
              <w:jc w:val="right"/>
            </w:pPr>
            <w:r>
              <w:rPr>
                <w:rFonts w:eastAsiaTheme="minorEastAsia"/>
                <w:kern w:val="0"/>
                <w:szCs w:val="21"/>
              </w:rPr>
              <w:t>2.84</w:t>
            </w:r>
          </w:p>
        </w:tc>
      </w:tr>
      <w:tr w:rsidR="000D2117">
        <w:tc>
          <w:tcPr>
            <w:tcW w:w="817" w:type="dxa"/>
            <w:vAlign w:val="center"/>
          </w:tcPr>
          <w:p w:rsidR="000D2117" w:rsidRDefault="00465879">
            <w:pPr>
              <w:jc w:val="center"/>
            </w:pPr>
            <w:r>
              <w:rPr>
                <w:rFonts w:eastAsiaTheme="minorEastAsia"/>
                <w:kern w:val="0"/>
                <w:szCs w:val="21"/>
              </w:rPr>
              <w:t>10</w:t>
            </w:r>
          </w:p>
        </w:tc>
        <w:tc>
          <w:tcPr>
            <w:tcW w:w="1276" w:type="dxa"/>
            <w:vAlign w:val="center"/>
          </w:tcPr>
          <w:p w:rsidR="000D2117" w:rsidRDefault="00465879">
            <w:pPr>
              <w:jc w:val="center"/>
            </w:pPr>
            <w:r>
              <w:rPr>
                <w:rFonts w:eastAsiaTheme="minorEastAsia"/>
                <w:kern w:val="0"/>
                <w:szCs w:val="21"/>
              </w:rPr>
              <w:t>688800</w:t>
            </w:r>
          </w:p>
        </w:tc>
        <w:tc>
          <w:tcPr>
            <w:tcW w:w="1701" w:type="dxa"/>
            <w:vAlign w:val="center"/>
          </w:tcPr>
          <w:p w:rsidR="000D2117" w:rsidRDefault="00465879">
            <w:pPr>
              <w:jc w:val="center"/>
            </w:pPr>
            <w:r>
              <w:rPr>
                <w:rFonts w:eastAsiaTheme="minorEastAsia"/>
                <w:kern w:val="0"/>
                <w:szCs w:val="21"/>
              </w:rPr>
              <w:t>瑞可达</w:t>
            </w:r>
          </w:p>
        </w:tc>
        <w:tc>
          <w:tcPr>
            <w:tcW w:w="1276" w:type="dxa"/>
            <w:vAlign w:val="center"/>
          </w:tcPr>
          <w:p w:rsidR="000D2117" w:rsidRDefault="00465879">
            <w:pPr>
              <w:jc w:val="right"/>
            </w:pPr>
            <w:r>
              <w:rPr>
                <w:rFonts w:eastAsiaTheme="minorEastAsia"/>
                <w:kern w:val="0"/>
                <w:szCs w:val="21"/>
              </w:rPr>
              <w:t>36,977.00</w:t>
            </w:r>
          </w:p>
        </w:tc>
        <w:tc>
          <w:tcPr>
            <w:tcW w:w="1842" w:type="dxa"/>
            <w:vAlign w:val="center"/>
          </w:tcPr>
          <w:p w:rsidR="000D2117" w:rsidRDefault="00465879">
            <w:pPr>
              <w:jc w:val="right"/>
            </w:pPr>
            <w:r>
              <w:rPr>
                <w:rFonts w:eastAsiaTheme="minorEastAsia"/>
                <w:kern w:val="0"/>
                <w:szCs w:val="21"/>
              </w:rPr>
              <w:t>4,807,010.00</w:t>
            </w:r>
          </w:p>
        </w:tc>
        <w:tc>
          <w:tcPr>
            <w:tcW w:w="1616" w:type="dxa"/>
            <w:vAlign w:val="center"/>
          </w:tcPr>
          <w:p w:rsidR="000D2117" w:rsidRDefault="00465879">
            <w:pPr>
              <w:jc w:val="right"/>
            </w:pPr>
            <w:r>
              <w:rPr>
                <w:rFonts w:eastAsiaTheme="minorEastAsia"/>
                <w:kern w:val="0"/>
                <w:szCs w:val="21"/>
              </w:rPr>
              <w:t>2.79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54,072.32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62,059.41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116,131.73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上投摩根创新商业模式混合</w:t>
            </w:r>
            <w:r w:rsidRPr="00B27A29">
              <w:rPr>
                <w:rFonts w:eastAsiaTheme="minorEastAsia"/>
                <w:color w:val="000000" w:themeColor="text1"/>
                <w:szCs w:val="21"/>
              </w:rPr>
              <w:t>C</w:t>
            </w:r>
          </w:p>
        </w:tc>
      </w:tr>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C83B3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108,589,155.41</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C83B3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14,255,348.87</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570.68</w:t>
            </w:r>
          </w:p>
        </w:tc>
      </w:tr>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C83B3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4,959,450.44</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C83B3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4B32F6" w:rsidRPr="00B27A29" w:rsidTr="004B32F6">
        <w:tc>
          <w:tcPr>
            <w:tcW w:w="3900"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C83B3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117,885,053.84</w:t>
            </w:r>
          </w:p>
        </w:tc>
        <w:tc>
          <w:tcPr>
            <w:tcW w:w="2367" w:type="dxa"/>
            <w:tcBorders>
              <w:top w:val="single" w:sz="8" w:space="0" w:color="000000"/>
              <w:left w:val="single" w:sz="8" w:space="0" w:color="000000"/>
              <w:bottom w:val="single" w:sz="8" w:space="0" w:color="000000"/>
              <w:right w:val="single" w:sz="8" w:space="0" w:color="000000"/>
            </w:tcBorders>
            <w:vAlign w:val="center"/>
          </w:tcPr>
          <w:p w:rsidR="004B32F6" w:rsidRPr="00B27A29" w:rsidRDefault="004B32F6" w:rsidP="0053153D">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570.68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0D2117">
        <w:tc>
          <w:tcPr>
            <w:tcW w:w="993" w:type="dxa"/>
            <w:vAlign w:val="center"/>
          </w:tcPr>
          <w:p w:rsidR="000D2117" w:rsidRDefault="00465879">
            <w:r>
              <w:rPr>
                <w:bCs/>
                <w:color w:val="000000"/>
                <w:kern w:val="0"/>
                <w:szCs w:val="21"/>
              </w:rPr>
              <w:t>机构</w:t>
            </w:r>
          </w:p>
        </w:tc>
        <w:tc>
          <w:tcPr>
            <w:tcW w:w="992" w:type="dxa"/>
            <w:vAlign w:val="center"/>
          </w:tcPr>
          <w:p w:rsidR="000D2117" w:rsidRDefault="00465879">
            <w:pPr>
              <w:jc w:val="center"/>
            </w:pPr>
            <w:r>
              <w:rPr>
                <w:color w:val="000000"/>
                <w:kern w:val="0"/>
                <w:szCs w:val="21"/>
              </w:rPr>
              <w:t>1</w:t>
            </w:r>
          </w:p>
        </w:tc>
        <w:tc>
          <w:tcPr>
            <w:tcW w:w="1843" w:type="dxa"/>
            <w:vAlign w:val="center"/>
          </w:tcPr>
          <w:p w:rsidR="000D2117" w:rsidRDefault="00465879">
            <w:pPr>
              <w:jc w:val="center"/>
            </w:pPr>
            <w:r>
              <w:rPr>
                <w:color w:val="000000"/>
                <w:kern w:val="0"/>
                <w:szCs w:val="21"/>
              </w:rPr>
              <w:t>20220919-20220930</w:t>
            </w:r>
          </w:p>
        </w:tc>
        <w:tc>
          <w:tcPr>
            <w:tcW w:w="851" w:type="dxa"/>
            <w:vAlign w:val="center"/>
          </w:tcPr>
          <w:p w:rsidR="000D2117" w:rsidRDefault="00465879">
            <w:pPr>
              <w:jc w:val="center"/>
            </w:pPr>
            <w:r>
              <w:rPr>
                <w:color w:val="000000"/>
                <w:kern w:val="0"/>
                <w:szCs w:val="21"/>
              </w:rPr>
              <w:t>13,665,047.47</w:t>
            </w:r>
          </w:p>
        </w:tc>
        <w:tc>
          <w:tcPr>
            <w:tcW w:w="850" w:type="dxa"/>
            <w:vAlign w:val="center"/>
          </w:tcPr>
          <w:p w:rsidR="000D2117" w:rsidRDefault="00465879">
            <w:pPr>
              <w:jc w:val="center"/>
            </w:pPr>
            <w:r>
              <w:rPr>
                <w:color w:val="000000"/>
                <w:kern w:val="0"/>
                <w:szCs w:val="21"/>
              </w:rPr>
              <w:t>12,936,800.57</w:t>
            </w:r>
          </w:p>
        </w:tc>
        <w:tc>
          <w:tcPr>
            <w:tcW w:w="1134" w:type="dxa"/>
            <w:vAlign w:val="center"/>
          </w:tcPr>
          <w:p w:rsidR="000D2117" w:rsidRDefault="00465879">
            <w:pPr>
              <w:jc w:val="center"/>
            </w:pPr>
            <w:r>
              <w:rPr>
                <w:color w:val="000000"/>
                <w:kern w:val="0"/>
                <w:szCs w:val="21"/>
              </w:rPr>
              <w:t>0.00</w:t>
            </w:r>
          </w:p>
        </w:tc>
        <w:tc>
          <w:tcPr>
            <w:tcW w:w="1419" w:type="dxa"/>
            <w:vAlign w:val="center"/>
          </w:tcPr>
          <w:p w:rsidR="000D2117" w:rsidRDefault="00465879">
            <w:pPr>
              <w:jc w:val="center"/>
            </w:pPr>
            <w:r>
              <w:rPr>
                <w:color w:val="000000"/>
                <w:kern w:val="0"/>
                <w:szCs w:val="21"/>
              </w:rPr>
              <w:t>26,601,848.04</w:t>
            </w:r>
          </w:p>
        </w:tc>
        <w:tc>
          <w:tcPr>
            <w:tcW w:w="1130" w:type="dxa"/>
            <w:vAlign w:val="center"/>
          </w:tcPr>
          <w:p w:rsidR="000D2117" w:rsidRDefault="00465879">
            <w:pPr>
              <w:jc w:val="center"/>
            </w:pPr>
            <w:r>
              <w:rPr>
                <w:color w:val="000000"/>
                <w:kern w:val="0"/>
                <w:szCs w:val="21"/>
              </w:rPr>
              <w:t>22.57%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中国证监会准予上投摩根创新商业模式灵活配置混合型证券投资基金募集注册的文件；</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《上投摩根创新商业模式灵活配置混合型证券投资基金基金合同》；</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《上投摩根创新商业模式灵活配置混合型证券投资基金托管协议》；</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p>
    <w:p w:rsidR="000D2117" w:rsidRDefault="0046587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二〇二二年十月二十六日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83B3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83B30">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83B30">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上投摩根创新商业模式灵活配置混合型证券投资基金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2117"/>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2B5A"/>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5879"/>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B32F6"/>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5CE4"/>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3B30"/>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47510-9599-4422-B749-5ED7A368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16</Pages>
  <Words>1394</Words>
  <Characters>7951</Characters>
  <Application>Microsoft Office Word</Application>
  <DocSecurity>0</DocSecurity>
  <Lines>66</Lines>
  <Paragraphs>18</Paragraphs>
  <ScaleCrop>false</ScaleCrop>
  <Company>TRT. Ltd. Co.</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222</cp:revision>
  <cp:lastPrinted>2007-07-19T00:46:00Z</cp:lastPrinted>
  <dcterms:created xsi:type="dcterms:W3CDTF">2013-06-21T06:56:00Z</dcterms:created>
  <dcterms:modified xsi:type="dcterms:W3CDTF">2022-10-25T05:43:00Z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