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摩根创新商业模式灵活配置混合型证券投资基金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摩根创新商业模式混合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005593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66,719,332.49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在严格的风险控制的前提下，通过自下而上的选股方式挖掘市场上具有创新商业模式且未来成长空间巨大的公司，力争实现基金资产的长期增值。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）创新商业模式的界定</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）行业配置策略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）个股精选策略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w:t>
            </w:r>
            <w:r>
              <w:rPr>
                <w:rFonts w:eastAsiaTheme="minorEastAsia"/>
                <w:color w:val="000000" w:themeColor="text1"/>
                <w:kern w:val="0"/>
                <w:szCs w:val="21"/>
              </w:rPr>
              <w:t>A</w:t>
            </w:r>
            <w:r>
              <w:rPr>
                <w:rFonts w:eastAsiaTheme="minorEastAsia"/>
                <w:color w:val="000000" w:themeColor="text1"/>
                <w:kern w:val="0"/>
                <w:szCs w:val="21"/>
              </w:rPr>
              <w:t>股投资策略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）港股投资策略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本基金将仅通过内地与香港股票市场交易互联互通机制投资于香港股票市场，不使用合格境内机构投资者（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恒生综合指数收益率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本基金属于混合型基金产品，预期风险和预期收益水平高于债券型基金和货币市场基金，低于股票型基金，属于中等风险收益水平的基金产品。</w:t>
            </w:r>
          </w:p>
          <w:p w:rsidR="00C153D3" w:rsidRDefault="00F537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本基金除了投资</w:t>
            </w:r>
            <w:r>
              <w:rPr>
                <w:rFonts w:eastAsiaTheme="minorEastAsia"/>
                <w:color w:val="000000" w:themeColor="text1"/>
                <w:kern w:val="0"/>
                <w:szCs w:val="21"/>
              </w:rPr>
              <w:t>A</w:t>
            </w:r>
            <w:r>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w:t>
            </w:r>
            <w:r>
              <w:rPr>
                <w:rFonts w:eastAsiaTheme="minorEastAsia"/>
                <w:color w:val="000000" w:themeColor="text1"/>
                <w:kern w:val="0"/>
                <w:szCs w:val="21"/>
              </w:rPr>
              <w:lastRenderedPageBreak/>
              <w:t>临汇率风险、香港市场风险等境外证券市场投资所面临的特别投资风险。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005593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016418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66,702,818.90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16,513.59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-4,593,582.71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-1,793.53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-1,582,604.73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92,779,935.35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22,851.46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1.3838</w:t>
            </w:r>
          </w:p>
        </w:tc>
      </w:tr>
    </w:tbl>
    <w:p w:rsidR="00C153D3" w:rsidRDefault="00F537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53D3">
        <w:tc>
          <w:tcPr>
            <w:tcW w:w="1290" w:type="dxa"/>
            <w:vAlign w:val="center"/>
          </w:tcPr>
          <w:p w:rsidR="00C153D3" w:rsidRDefault="00F5376A">
            <w:pPr>
              <w:jc w:val="left"/>
            </w:pPr>
            <w:r>
              <w:rPr>
                <w:rFonts w:eastAsiaTheme="minorEastAsia"/>
                <w:color w:val="000000" w:themeColor="text1"/>
                <w:szCs w:val="21"/>
              </w:rPr>
              <w:t>过去三个月</w:t>
            </w:r>
          </w:p>
        </w:tc>
        <w:tc>
          <w:tcPr>
            <w:tcW w:w="1291" w:type="dxa"/>
            <w:vAlign w:val="center"/>
          </w:tcPr>
          <w:p w:rsidR="00C153D3" w:rsidRDefault="00F5376A">
            <w:pPr>
              <w:jc w:val="right"/>
            </w:pPr>
            <w:r>
              <w:rPr>
                <w:rFonts w:eastAsiaTheme="minorEastAsia"/>
                <w:color w:val="000000" w:themeColor="text1"/>
                <w:szCs w:val="21"/>
              </w:rPr>
              <w:t>-1.64%</w:t>
            </w:r>
          </w:p>
        </w:tc>
        <w:tc>
          <w:tcPr>
            <w:tcW w:w="1291" w:type="dxa"/>
            <w:vAlign w:val="center"/>
          </w:tcPr>
          <w:p w:rsidR="00C153D3" w:rsidRDefault="00F5376A">
            <w:pPr>
              <w:jc w:val="right"/>
            </w:pPr>
            <w:r>
              <w:rPr>
                <w:rFonts w:eastAsiaTheme="minorEastAsia"/>
                <w:color w:val="000000" w:themeColor="text1"/>
                <w:szCs w:val="21"/>
              </w:rPr>
              <w:t>2.03%</w:t>
            </w:r>
          </w:p>
        </w:tc>
        <w:tc>
          <w:tcPr>
            <w:tcW w:w="1291" w:type="dxa"/>
            <w:vAlign w:val="center"/>
          </w:tcPr>
          <w:p w:rsidR="00C153D3" w:rsidRDefault="00F5376A">
            <w:pPr>
              <w:jc w:val="right"/>
            </w:pPr>
            <w:r>
              <w:rPr>
                <w:rFonts w:eastAsiaTheme="minorEastAsia"/>
                <w:color w:val="000000" w:themeColor="text1"/>
                <w:szCs w:val="21"/>
              </w:rPr>
              <w:t>-2.50%</w:t>
            </w:r>
          </w:p>
        </w:tc>
        <w:tc>
          <w:tcPr>
            <w:tcW w:w="1291" w:type="dxa"/>
            <w:vAlign w:val="center"/>
          </w:tcPr>
          <w:p w:rsidR="00C153D3" w:rsidRDefault="00F5376A">
            <w:pPr>
              <w:jc w:val="right"/>
            </w:pPr>
            <w:r>
              <w:rPr>
                <w:rFonts w:eastAsiaTheme="minorEastAsia"/>
                <w:color w:val="000000" w:themeColor="text1"/>
                <w:szCs w:val="21"/>
              </w:rPr>
              <w:t>0.49%</w:t>
            </w:r>
          </w:p>
        </w:tc>
        <w:tc>
          <w:tcPr>
            <w:tcW w:w="1291" w:type="dxa"/>
            <w:vAlign w:val="center"/>
          </w:tcPr>
          <w:p w:rsidR="00C153D3" w:rsidRDefault="00F5376A">
            <w:pPr>
              <w:jc w:val="right"/>
            </w:pPr>
            <w:r>
              <w:rPr>
                <w:rFonts w:eastAsiaTheme="minorEastAsia"/>
                <w:color w:val="000000" w:themeColor="text1"/>
                <w:szCs w:val="21"/>
              </w:rPr>
              <w:t>0.86%</w:t>
            </w:r>
          </w:p>
        </w:tc>
        <w:tc>
          <w:tcPr>
            <w:tcW w:w="1291" w:type="dxa"/>
            <w:vAlign w:val="center"/>
          </w:tcPr>
          <w:p w:rsidR="00C153D3" w:rsidRDefault="00F5376A">
            <w:pPr>
              <w:jc w:val="right"/>
            </w:pPr>
            <w:r>
              <w:rPr>
                <w:rFonts w:eastAsiaTheme="minorEastAsia"/>
                <w:color w:val="000000" w:themeColor="text1"/>
                <w:szCs w:val="21"/>
              </w:rPr>
              <w:t>1.54%</w:t>
            </w:r>
          </w:p>
        </w:tc>
      </w:tr>
      <w:tr w:rsidR="00C153D3">
        <w:tc>
          <w:tcPr>
            <w:tcW w:w="1290" w:type="dxa"/>
            <w:vAlign w:val="center"/>
          </w:tcPr>
          <w:p w:rsidR="00C153D3" w:rsidRDefault="00F5376A">
            <w:pPr>
              <w:jc w:val="left"/>
            </w:pPr>
            <w:r>
              <w:rPr>
                <w:rFonts w:eastAsiaTheme="minorEastAsia"/>
                <w:color w:val="000000" w:themeColor="text1"/>
                <w:szCs w:val="21"/>
              </w:rPr>
              <w:t>过去六个月</w:t>
            </w:r>
          </w:p>
        </w:tc>
        <w:tc>
          <w:tcPr>
            <w:tcW w:w="1291" w:type="dxa"/>
            <w:vAlign w:val="center"/>
          </w:tcPr>
          <w:p w:rsidR="00C153D3" w:rsidRDefault="00F5376A">
            <w:pPr>
              <w:jc w:val="right"/>
            </w:pPr>
            <w:r>
              <w:rPr>
                <w:rFonts w:eastAsiaTheme="minorEastAsia"/>
                <w:color w:val="000000" w:themeColor="text1"/>
                <w:szCs w:val="21"/>
              </w:rPr>
              <w:t>4.59%</w:t>
            </w:r>
          </w:p>
        </w:tc>
        <w:tc>
          <w:tcPr>
            <w:tcW w:w="1291" w:type="dxa"/>
            <w:vAlign w:val="center"/>
          </w:tcPr>
          <w:p w:rsidR="00C153D3" w:rsidRDefault="00F5376A">
            <w:pPr>
              <w:jc w:val="right"/>
            </w:pPr>
            <w:r>
              <w:rPr>
                <w:rFonts w:eastAsiaTheme="minorEastAsia"/>
                <w:color w:val="000000" w:themeColor="text1"/>
                <w:szCs w:val="21"/>
              </w:rPr>
              <w:t>1.69%</w:t>
            </w:r>
          </w:p>
        </w:tc>
        <w:tc>
          <w:tcPr>
            <w:tcW w:w="1291" w:type="dxa"/>
            <w:vAlign w:val="center"/>
          </w:tcPr>
          <w:p w:rsidR="00C153D3" w:rsidRDefault="00F5376A">
            <w:pPr>
              <w:jc w:val="right"/>
            </w:pPr>
            <w:r>
              <w:rPr>
                <w:rFonts w:eastAsiaTheme="minorEastAsia"/>
                <w:color w:val="000000" w:themeColor="text1"/>
                <w:szCs w:val="21"/>
              </w:rPr>
              <w:t>0.17%</w:t>
            </w:r>
          </w:p>
        </w:tc>
        <w:tc>
          <w:tcPr>
            <w:tcW w:w="1291" w:type="dxa"/>
            <w:vAlign w:val="center"/>
          </w:tcPr>
          <w:p w:rsidR="00C153D3" w:rsidRDefault="00F5376A">
            <w:pPr>
              <w:jc w:val="right"/>
            </w:pPr>
            <w:r>
              <w:rPr>
                <w:rFonts w:eastAsiaTheme="minorEastAsia"/>
                <w:color w:val="000000" w:themeColor="text1"/>
                <w:szCs w:val="21"/>
              </w:rPr>
              <w:t>0.49%</w:t>
            </w:r>
          </w:p>
        </w:tc>
        <w:tc>
          <w:tcPr>
            <w:tcW w:w="1291" w:type="dxa"/>
            <w:vAlign w:val="center"/>
          </w:tcPr>
          <w:p w:rsidR="00C153D3" w:rsidRDefault="00F5376A">
            <w:pPr>
              <w:jc w:val="right"/>
            </w:pPr>
            <w:r>
              <w:rPr>
                <w:rFonts w:eastAsiaTheme="minorEastAsia"/>
                <w:color w:val="000000" w:themeColor="text1"/>
                <w:szCs w:val="21"/>
              </w:rPr>
              <w:t>4.42%</w:t>
            </w:r>
          </w:p>
        </w:tc>
        <w:tc>
          <w:tcPr>
            <w:tcW w:w="1291" w:type="dxa"/>
            <w:vAlign w:val="center"/>
          </w:tcPr>
          <w:p w:rsidR="00C153D3" w:rsidRDefault="00F5376A">
            <w:pPr>
              <w:jc w:val="right"/>
            </w:pPr>
            <w:r>
              <w:rPr>
                <w:rFonts w:eastAsiaTheme="minorEastAsia"/>
                <w:color w:val="000000" w:themeColor="text1"/>
                <w:szCs w:val="21"/>
              </w:rPr>
              <w:t>1.20%</w:t>
            </w:r>
          </w:p>
        </w:tc>
      </w:tr>
      <w:tr w:rsidR="00C153D3">
        <w:tc>
          <w:tcPr>
            <w:tcW w:w="1290" w:type="dxa"/>
            <w:vAlign w:val="center"/>
          </w:tcPr>
          <w:p w:rsidR="00C153D3" w:rsidRDefault="00F5376A">
            <w:pPr>
              <w:jc w:val="left"/>
            </w:pPr>
            <w:r>
              <w:rPr>
                <w:rFonts w:eastAsiaTheme="minorEastAsia"/>
                <w:color w:val="000000" w:themeColor="text1"/>
                <w:szCs w:val="21"/>
              </w:rPr>
              <w:t>过去一年</w:t>
            </w:r>
          </w:p>
        </w:tc>
        <w:tc>
          <w:tcPr>
            <w:tcW w:w="1291" w:type="dxa"/>
            <w:vAlign w:val="center"/>
          </w:tcPr>
          <w:p w:rsidR="00C153D3" w:rsidRDefault="00F5376A">
            <w:pPr>
              <w:jc w:val="right"/>
            </w:pPr>
            <w:r>
              <w:rPr>
                <w:rFonts w:eastAsiaTheme="minorEastAsia"/>
                <w:color w:val="000000" w:themeColor="text1"/>
                <w:szCs w:val="21"/>
              </w:rPr>
              <w:t>-26.62%</w:t>
            </w:r>
          </w:p>
        </w:tc>
        <w:tc>
          <w:tcPr>
            <w:tcW w:w="1291" w:type="dxa"/>
            <w:vAlign w:val="center"/>
          </w:tcPr>
          <w:p w:rsidR="00C153D3" w:rsidRDefault="00F5376A">
            <w:pPr>
              <w:jc w:val="right"/>
            </w:pPr>
            <w:r>
              <w:rPr>
                <w:rFonts w:eastAsiaTheme="minorEastAsia"/>
                <w:color w:val="000000" w:themeColor="text1"/>
                <w:szCs w:val="21"/>
              </w:rPr>
              <w:t>1.78%</w:t>
            </w:r>
          </w:p>
        </w:tc>
        <w:tc>
          <w:tcPr>
            <w:tcW w:w="1291" w:type="dxa"/>
            <w:vAlign w:val="center"/>
          </w:tcPr>
          <w:p w:rsidR="00C153D3" w:rsidRDefault="00F5376A">
            <w:pPr>
              <w:jc w:val="right"/>
            </w:pPr>
            <w:r>
              <w:rPr>
                <w:rFonts w:eastAsiaTheme="minorEastAsia"/>
                <w:color w:val="000000" w:themeColor="text1"/>
                <w:szCs w:val="21"/>
              </w:rPr>
              <w:t>-6.53%</w:t>
            </w:r>
          </w:p>
        </w:tc>
        <w:tc>
          <w:tcPr>
            <w:tcW w:w="1291" w:type="dxa"/>
            <w:vAlign w:val="center"/>
          </w:tcPr>
          <w:p w:rsidR="00C153D3" w:rsidRDefault="00F5376A">
            <w:pPr>
              <w:jc w:val="right"/>
            </w:pPr>
            <w:r>
              <w:rPr>
                <w:rFonts w:eastAsiaTheme="minorEastAsia"/>
                <w:color w:val="000000" w:themeColor="text1"/>
                <w:szCs w:val="21"/>
              </w:rPr>
              <w:t>0.59%</w:t>
            </w:r>
          </w:p>
        </w:tc>
        <w:tc>
          <w:tcPr>
            <w:tcW w:w="1291" w:type="dxa"/>
            <w:vAlign w:val="center"/>
          </w:tcPr>
          <w:p w:rsidR="00C153D3" w:rsidRDefault="00F5376A">
            <w:pPr>
              <w:jc w:val="right"/>
            </w:pPr>
            <w:r>
              <w:rPr>
                <w:rFonts w:eastAsiaTheme="minorEastAsia"/>
                <w:color w:val="000000" w:themeColor="text1"/>
                <w:szCs w:val="21"/>
              </w:rPr>
              <w:t>-20.09%</w:t>
            </w:r>
          </w:p>
        </w:tc>
        <w:tc>
          <w:tcPr>
            <w:tcW w:w="1291" w:type="dxa"/>
            <w:vAlign w:val="center"/>
          </w:tcPr>
          <w:p w:rsidR="00C153D3" w:rsidRDefault="00F5376A">
            <w:pPr>
              <w:jc w:val="right"/>
            </w:pPr>
            <w:r>
              <w:rPr>
                <w:rFonts w:eastAsiaTheme="minorEastAsia"/>
                <w:color w:val="000000" w:themeColor="text1"/>
                <w:szCs w:val="21"/>
              </w:rPr>
              <w:t>1.19%</w:t>
            </w:r>
          </w:p>
        </w:tc>
      </w:tr>
      <w:tr w:rsidR="00C153D3">
        <w:tc>
          <w:tcPr>
            <w:tcW w:w="1290" w:type="dxa"/>
            <w:vAlign w:val="center"/>
          </w:tcPr>
          <w:p w:rsidR="00C153D3" w:rsidRDefault="00F5376A">
            <w:pPr>
              <w:jc w:val="left"/>
            </w:pPr>
            <w:r>
              <w:rPr>
                <w:rFonts w:eastAsiaTheme="minorEastAsia"/>
                <w:color w:val="000000" w:themeColor="text1"/>
                <w:szCs w:val="21"/>
              </w:rPr>
              <w:t>过去三年</w:t>
            </w:r>
          </w:p>
        </w:tc>
        <w:tc>
          <w:tcPr>
            <w:tcW w:w="1291" w:type="dxa"/>
            <w:vAlign w:val="center"/>
          </w:tcPr>
          <w:p w:rsidR="00C153D3" w:rsidRDefault="00F5376A">
            <w:pPr>
              <w:jc w:val="right"/>
            </w:pPr>
            <w:r>
              <w:rPr>
                <w:rFonts w:eastAsiaTheme="minorEastAsia"/>
                <w:color w:val="000000" w:themeColor="text1"/>
                <w:szCs w:val="21"/>
              </w:rPr>
              <w:t>-17.55%</w:t>
            </w:r>
          </w:p>
        </w:tc>
        <w:tc>
          <w:tcPr>
            <w:tcW w:w="1291" w:type="dxa"/>
            <w:vAlign w:val="center"/>
          </w:tcPr>
          <w:p w:rsidR="00C153D3" w:rsidRDefault="00F5376A">
            <w:pPr>
              <w:jc w:val="right"/>
            </w:pPr>
            <w:r>
              <w:rPr>
                <w:rFonts w:eastAsiaTheme="minorEastAsia"/>
                <w:color w:val="000000" w:themeColor="text1"/>
                <w:szCs w:val="21"/>
              </w:rPr>
              <w:t>1.83%</w:t>
            </w:r>
          </w:p>
        </w:tc>
        <w:tc>
          <w:tcPr>
            <w:tcW w:w="1291" w:type="dxa"/>
            <w:vAlign w:val="center"/>
          </w:tcPr>
          <w:p w:rsidR="00C153D3" w:rsidRDefault="00F5376A">
            <w:pPr>
              <w:jc w:val="right"/>
            </w:pPr>
            <w:r>
              <w:rPr>
                <w:rFonts w:eastAsiaTheme="minorEastAsia"/>
                <w:color w:val="000000" w:themeColor="text1"/>
                <w:szCs w:val="21"/>
              </w:rPr>
              <w:t>-3.79%</w:t>
            </w:r>
          </w:p>
        </w:tc>
        <w:tc>
          <w:tcPr>
            <w:tcW w:w="1291" w:type="dxa"/>
            <w:vAlign w:val="center"/>
          </w:tcPr>
          <w:p w:rsidR="00C153D3" w:rsidRDefault="00F5376A">
            <w:pPr>
              <w:jc w:val="right"/>
            </w:pPr>
            <w:r>
              <w:rPr>
                <w:rFonts w:eastAsiaTheme="minorEastAsia"/>
                <w:color w:val="000000" w:themeColor="text1"/>
                <w:szCs w:val="21"/>
              </w:rPr>
              <w:t>0.69%</w:t>
            </w:r>
          </w:p>
        </w:tc>
        <w:tc>
          <w:tcPr>
            <w:tcW w:w="1291" w:type="dxa"/>
            <w:vAlign w:val="center"/>
          </w:tcPr>
          <w:p w:rsidR="00C153D3" w:rsidRDefault="00F5376A">
            <w:pPr>
              <w:jc w:val="right"/>
            </w:pPr>
            <w:r>
              <w:rPr>
                <w:rFonts w:eastAsiaTheme="minorEastAsia"/>
                <w:color w:val="000000" w:themeColor="text1"/>
                <w:szCs w:val="21"/>
              </w:rPr>
              <w:t>-13.76%</w:t>
            </w:r>
          </w:p>
        </w:tc>
        <w:tc>
          <w:tcPr>
            <w:tcW w:w="1291" w:type="dxa"/>
            <w:vAlign w:val="center"/>
          </w:tcPr>
          <w:p w:rsidR="00C153D3" w:rsidRDefault="00F5376A">
            <w:pPr>
              <w:jc w:val="right"/>
            </w:pPr>
            <w:r>
              <w:rPr>
                <w:rFonts w:eastAsiaTheme="minorEastAsia"/>
                <w:color w:val="000000" w:themeColor="text1"/>
                <w:szCs w:val="21"/>
              </w:rPr>
              <w:t>1.14%</w:t>
            </w:r>
          </w:p>
        </w:tc>
      </w:tr>
      <w:tr w:rsidR="00C153D3">
        <w:tc>
          <w:tcPr>
            <w:tcW w:w="1290" w:type="dxa"/>
            <w:vAlign w:val="center"/>
          </w:tcPr>
          <w:p w:rsidR="00C153D3" w:rsidRDefault="00F5376A">
            <w:pPr>
              <w:jc w:val="left"/>
            </w:pPr>
            <w:r>
              <w:rPr>
                <w:rFonts w:eastAsiaTheme="minorEastAsia"/>
                <w:color w:val="000000" w:themeColor="text1"/>
                <w:szCs w:val="21"/>
              </w:rPr>
              <w:t>过去五年</w:t>
            </w:r>
          </w:p>
        </w:tc>
        <w:tc>
          <w:tcPr>
            <w:tcW w:w="1291" w:type="dxa"/>
            <w:vAlign w:val="center"/>
          </w:tcPr>
          <w:p w:rsidR="00C153D3" w:rsidRDefault="00F5376A">
            <w:pPr>
              <w:jc w:val="right"/>
            </w:pPr>
            <w:r>
              <w:rPr>
                <w:rFonts w:eastAsiaTheme="minorEastAsia"/>
                <w:color w:val="000000" w:themeColor="text1"/>
                <w:szCs w:val="21"/>
              </w:rPr>
              <w:t>48.87%</w:t>
            </w:r>
          </w:p>
        </w:tc>
        <w:tc>
          <w:tcPr>
            <w:tcW w:w="1291" w:type="dxa"/>
            <w:vAlign w:val="center"/>
          </w:tcPr>
          <w:p w:rsidR="00C153D3" w:rsidRDefault="00F5376A">
            <w:pPr>
              <w:jc w:val="right"/>
            </w:pPr>
            <w:r>
              <w:rPr>
                <w:rFonts w:eastAsiaTheme="minorEastAsia"/>
                <w:color w:val="000000" w:themeColor="text1"/>
                <w:szCs w:val="21"/>
              </w:rPr>
              <w:t>1.79%</w:t>
            </w:r>
          </w:p>
        </w:tc>
        <w:tc>
          <w:tcPr>
            <w:tcW w:w="1291" w:type="dxa"/>
            <w:vAlign w:val="center"/>
          </w:tcPr>
          <w:p w:rsidR="00C153D3" w:rsidRDefault="00F5376A">
            <w:pPr>
              <w:jc w:val="right"/>
            </w:pPr>
            <w:r>
              <w:rPr>
                <w:rFonts w:eastAsiaTheme="minorEastAsia"/>
                <w:color w:val="000000" w:themeColor="text1"/>
                <w:szCs w:val="21"/>
              </w:rPr>
              <w:t>6.15%</w:t>
            </w:r>
          </w:p>
        </w:tc>
        <w:tc>
          <w:tcPr>
            <w:tcW w:w="1291" w:type="dxa"/>
            <w:vAlign w:val="center"/>
          </w:tcPr>
          <w:p w:rsidR="00C153D3" w:rsidRDefault="00F5376A">
            <w:pPr>
              <w:jc w:val="right"/>
            </w:pPr>
            <w:r>
              <w:rPr>
                <w:rFonts w:eastAsiaTheme="minorEastAsia"/>
                <w:color w:val="000000" w:themeColor="text1"/>
                <w:szCs w:val="21"/>
              </w:rPr>
              <w:t>0.73%</w:t>
            </w:r>
          </w:p>
        </w:tc>
        <w:tc>
          <w:tcPr>
            <w:tcW w:w="1291" w:type="dxa"/>
            <w:vAlign w:val="center"/>
          </w:tcPr>
          <w:p w:rsidR="00C153D3" w:rsidRDefault="00F5376A">
            <w:pPr>
              <w:jc w:val="right"/>
            </w:pPr>
            <w:r>
              <w:rPr>
                <w:rFonts w:eastAsiaTheme="minorEastAsia"/>
                <w:color w:val="000000" w:themeColor="text1"/>
                <w:szCs w:val="21"/>
              </w:rPr>
              <w:t>42.72%</w:t>
            </w:r>
          </w:p>
        </w:tc>
        <w:tc>
          <w:tcPr>
            <w:tcW w:w="1291" w:type="dxa"/>
            <w:vAlign w:val="center"/>
          </w:tcPr>
          <w:p w:rsidR="00C153D3" w:rsidRDefault="00F5376A">
            <w:pPr>
              <w:jc w:val="right"/>
            </w:pPr>
            <w:r>
              <w:rPr>
                <w:rFonts w:eastAsiaTheme="minorEastAsia"/>
                <w:color w:val="000000" w:themeColor="text1"/>
                <w:szCs w:val="21"/>
              </w:rPr>
              <w:t>1.06%</w:t>
            </w:r>
          </w:p>
        </w:tc>
      </w:tr>
      <w:tr w:rsidR="00C153D3">
        <w:tc>
          <w:tcPr>
            <w:tcW w:w="1290" w:type="dxa"/>
            <w:vAlign w:val="center"/>
          </w:tcPr>
          <w:p w:rsidR="00C153D3" w:rsidRDefault="00F5376A">
            <w:pPr>
              <w:jc w:val="left"/>
            </w:pPr>
            <w:r>
              <w:rPr>
                <w:rFonts w:eastAsiaTheme="minorEastAsia"/>
                <w:color w:val="000000" w:themeColor="text1"/>
                <w:szCs w:val="21"/>
              </w:rPr>
              <w:t>自基金合同生效起至今</w:t>
            </w:r>
          </w:p>
        </w:tc>
        <w:tc>
          <w:tcPr>
            <w:tcW w:w="1291" w:type="dxa"/>
            <w:vAlign w:val="center"/>
          </w:tcPr>
          <w:p w:rsidR="00C153D3" w:rsidRDefault="00F5376A">
            <w:pPr>
              <w:jc w:val="right"/>
            </w:pPr>
            <w:r>
              <w:rPr>
                <w:rFonts w:eastAsiaTheme="minorEastAsia"/>
                <w:color w:val="000000" w:themeColor="text1"/>
                <w:szCs w:val="21"/>
              </w:rPr>
              <w:t>39.09%</w:t>
            </w:r>
          </w:p>
        </w:tc>
        <w:tc>
          <w:tcPr>
            <w:tcW w:w="1291" w:type="dxa"/>
            <w:vAlign w:val="center"/>
          </w:tcPr>
          <w:p w:rsidR="00C153D3" w:rsidRDefault="00F5376A">
            <w:pPr>
              <w:jc w:val="right"/>
            </w:pPr>
            <w:r>
              <w:rPr>
                <w:rFonts w:eastAsiaTheme="minorEastAsia"/>
                <w:color w:val="000000" w:themeColor="text1"/>
                <w:szCs w:val="21"/>
              </w:rPr>
              <w:t>1.76%</w:t>
            </w:r>
          </w:p>
        </w:tc>
        <w:tc>
          <w:tcPr>
            <w:tcW w:w="1291" w:type="dxa"/>
            <w:vAlign w:val="center"/>
          </w:tcPr>
          <w:p w:rsidR="00C153D3" w:rsidRDefault="00F5376A">
            <w:pPr>
              <w:jc w:val="right"/>
            </w:pPr>
            <w:r>
              <w:rPr>
                <w:rFonts w:eastAsiaTheme="minorEastAsia"/>
                <w:color w:val="000000" w:themeColor="text1"/>
                <w:szCs w:val="21"/>
              </w:rPr>
              <w:t>0.77%</w:t>
            </w:r>
          </w:p>
        </w:tc>
        <w:tc>
          <w:tcPr>
            <w:tcW w:w="1291" w:type="dxa"/>
            <w:vAlign w:val="center"/>
          </w:tcPr>
          <w:p w:rsidR="00C153D3" w:rsidRDefault="00F5376A">
            <w:pPr>
              <w:jc w:val="right"/>
            </w:pPr>
            <w:r>
              <w:rPr>
                <w:rFonts w:eastAsiaTheme="minorEastAsia"/>
                <w:color w:val="000000" w:themeColor="text1"/>
                <w:szCs w:val="21"/>
              </w:rPr>
              <w:t>0.73%</w:t>
            </w:r>
          </w:p>
        </w:tc>
        <w:tc>
          <w:tcPr>
            <w:tcW w:w="1291" w:type="dxa"/>
            <w:vAlign w:val="center"/>
          </w:tcPr>
          <w:p w:rsidR="00C153D3" w:rsidRDefault="00F5376A">
            <w:pPr>
              <w:jc w:val="right"/>
            </w:pPr>
            <w:r>
              <w:rPr>
                <w:rFonts w:eastAsiaTheme="minorEastAsia"/>
                <w:color w:val="000000" w:themeColor="text1"/>
                <w:szCs w:val="21"/>
              </w:rPr>
              <w:t>38.32%</w:t>
            </w:r>
          </w:p>
        </w:tc>
        <w:tc>
          <w:tcPr>
            <w:tcW w:w="1291" w:type="dxa"/>
            <w:vAlign w:val="center"/>
          </w:tcPr>
          <w:p w:rsidR="00C153D3" w:rsidRDefault="00F5376A">
            <w:pPr>
              <w:jc w:val="right"/>
            </w:pPr>
            <w:r>
              <w:rPr>
                <w:rFonts w:eastAsiaTheme="minorEastAsia"/>
                <w:color w:val="000000" w:themeColor="text1"/>
                <w:szCs w:val="21"/>
              </w:rPr>
              <w:t>1.03%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53D3">
        <w:tc>
          <w:tcPr>
            <w:tcW w:w="1290" w:type="dxa"/>
            <w:vAlign w:val="center"/>
          </w:tcPr>
          <w:p w:rsidR="00C153D3" w:rsidRDefault="00F5376A">
            <w:pPr>
              <w:jc w:val="left"/>
            </w:pPr>
            <w:r>
              <w:rPr>
                <w:rFonts w:eastAsiaTheme="minorEastAsia"/>
                <w:color w:val="000000" w:themeColor="text1"/>
                <w:szCs w:val="21"/>
              </w:rPr>
              <w:t>过去三个月</w:t>
            </w:r>
          </w:p>
        </w:tc>
        <w:tc>
          <w:tcPr>
            <w:tcW w:w="1291" w:type="dxa"/>
            <w:vAlign w:val="center"/>
          </w:tcPr>
          <w:p w:rsidR="00C153D3" w:rsidRDefault="00F5376A">
            <w:pPr>
              <w:jc w:val="right"/>
            </w:pPr>
            <w:r>
              <w:rPr>
                <w:rFonts w:eastAsiaTheme="minorEastAsia"/>
                <w:color w:val="000000" w:themeColor="text1"/>
                <w:szCs w:val="21"/>
              </w:rPr>
              <w:t>-1.78%</w:t>
            </w:r>
          </w:p>
        </w:tc>
        <w:tc>
          <w:tcPr>
            <w:tcW w:w="1291" w:type="dxa"/>
            <w:vAlign w:val="center"/>
          </w:tcPr>
          <w:p w:rsidR="00C153D3" w:rsidRDefault="00F5376A">
            <w:pPr>
              <w:jc w:val="right"/>
            </w:pPr>
            <w:r>
              <w:rPr>
                <w:rFonts w:eastAsiaTheme="minorEastAsia"/>
                <w:color w:val="000000" w:themeColor="text1"/>
                <w:szCs w:val="21"/>
              </w:rPr>
              <w:t>2.03%</w:t>
            </w:r>
          </w:p>
        </w:tc>
        <w:tc>
          <w:tcPr>
            <w:tcW w:w="1291" w:type="dxa"/>
            <w:vAlign w:val="center"/>
          </w:tcPr>
          <w:p w:rsidR="00C153D3" w:rsidRDefault="00F5376A">
            <w:pPr>
              <w:jc w:val="right"/>
            </w:pPr>
            <w:r>
              <w:rPr>
                <w:rFonts w:eastAsiaTheme="minorEastAsia"/>
                <w:color w:val="000000" w:themeColor="text1"/>
                <w:szCs w:val="21"/>
              </w:rPr>
              <w:t>-2.50%</w:t>
            </w:r>
          </w:p>
        </w:tc>
        <w:tc>
          <w:tcPr>
            <w:tcW w:w="1291" w:type="dxa"/>
            <w:vAlign w:val="center"/>
          </w:tcPr>
          <w:p w:rsidR="00C153D3" w:rsidRDefault="00F5376A">
            <w:pPr>
              <w:jc w:val="right"/>
            </w:pPr>
            <w:r>
              <w:rPr>
                <w:rFonts w:eastAsiaTheme="minorEastAsia"/>
                <w:color w:val="000000" w:themeColor="text1"/>
                <w:szCs w:val="21"/>
              </w:rPr>
              <w:t>0.49%</w:t>
            </w:r>
          </w:p>
        </w:tc>
        <w:tc>
          <w:tcPr>
            <w:tcW w:w="1291" w:type="dxa"/>
            <w:vAlign w:val="center"/>
          </w:tcPr>
          <w:p w:rsidR="00C153D3" w:rsidRDefault="00F5376A">
            <w:pPr>
              <w:jc w:val="right"/>
            </w:pPr>
            <w:r>
              <w:rPr>
                <w:rFonts w:eastAsiaTheme="minorEastAsia"/>
                <w:color w:val="000000" w:themeColor="text1"/>
                <w:szCs w:val="21"/>
              </w:rPr>
              <w:t>0.72%</w:t>
            </w:r>
          </w:p>
        </w:tc>
        <w:tc>
          <w:tcPr>
            <w:tcW w:w="1291" w:type="dxa"/>
            <w:vAlign w:val="center"/>
          </w:tcPr>
          <w:p w:rsidR="00C153D3" w:rsidRDefault="00F5376A">
            <w:pPr>
              <w:jc w:val="right"/>
            </w:pPr>
            <w:r>
              <w:rPr>
                <w:rFonts w:eastAsiaTheme="minorEastAsia"/>
                <w:color w:val="000000" w:themeColor="text1"/>
                <w:szCs w:val="21"/>
              </w:rPr>
              <w:t>1.54%</w:t>
            </w:r>
          </w:p>
        </w:tc>
      </w:tr>
      <w:tr w:rsidR="00C153D3">
        <w:tc>
          <w:tcPr>
            <w:tcW w:w="1290" w:type="dxa"/>
            <w:vAlign w:val="center"/>
          </w:tcPr>
          <w:p w:rsidR="00C153D3" w:rsidRDefault="00F5376A">
            <w:pPr>
              <w:jc w:val="left"/>
            </w:pPr>
            <w:r>
              <w:rPr>
                <w:rFonts w:eastAsiaTheme="minorEastAsia"/>
                <w:color w:val="000000" w:themeColor="text1"/>
                <w:szCs w:val="21"/>
              </w:rPr>
              <w:t>过去六个月</w:t>
            </w:r>
          </w:p>
        </w:tc>
        <w:tc>
          <w:tcPr>
            <w:tcW w:w="1291" w:type="dxa"/>
            <w:vAlign w:val="center"/>
          </w:tcPr>
          <w:p w:rsidR="00C153D3" w:rsidRDefault="00F5376A">
            <w:pPr>
              <w:jc w:val="right"/>
            </w:pPr>
            <w:r>
              <w:rPr>
                <w:rFonts w:eastAsiaTheme="minorEastAsia"/>
                <w:color w:val="000000" w:themeColor="text1"/>
                <w:szCs w:val="21"/>
              </w:rPr>
              <w:t>4.26%</w:t>
            </w:r>
          </w:p>
        </w:tc>
        <w:tc>
          <w:tcPr>
            <w:tcW w:w="1291" w:type="dxa"/>
            <w:vAlign w:val="center"/>
          </w:tcPr>
          <w:p w:rsidR="00C153D3" w:rsidRDefault="00F5376A">
            <w:pPr>
              <w:jc w:val="right"/>
            </w:pPr>
            <w:r>
              <w:rPr>
                <w:rFonts w:eastAsiaTheme="minorEastAsia"/>
                <w:color w:val="000000" w:themeColor="text1"/>
                <w:szCs w:val="21"/>
              </w:rPr>
              <w:t>1.69%</w:t>
            </w:r>
          </w:p>
        </w:tc>
        <w:tc>
          <w:tcPr>
            <w:tcW w:w="1291" w:type="dxa"/>
            <w:vAlign w:val="center"/>
          </w:tcPr>
          <w:p w:rsidR="00C153D3" w:rsidRDefault="00F5376A">
            <w:pPr>
              <w:jc w:val="right"/>
            </w:pPr>
            <w:r>
              <w:rPr>
                <w:rFonts w:eastAsiaTheme="minorEastAsia"/>
                <w:color w:val="000000" w:themeColor="text1"/>
                <w:szCs w:val="21"/>
              </w:rPr>
              <w:t>0.17%</w:t>
            </w:r>
          </w:p>
        </w:tc>
        <w:tc>
          <w:tcPr>
            <w:tcW w:w="1291" w:type="dxa"/>
            <w:vAlign w:val="center"/>
          </w:tcPr>
          <w:p w:rsidR="00C153D3" w:rsidRDefault="00F5376A">
            <w:pPr>
              <w:jc w:val="right"/>
            </w:pPr>
            <w:r>
              <w:rPr>
                <w:rFonts w:eastAsiaTheme="minorEastAsia"/>
                <w:color w:val="000000" w:themeColor="text1"/>
                <w:szCs w:val="21"/>
              </w:rPr>
              <w:t>0.49%</w:t>
            </w:r>
          </w:p>
        </w:tc>
        <w:tc>
          <w:tcPr>
            <w:tcW w:w="1291" w:type="dxa"/>
            <w:vAlign w:val="center"/>
          </w:tcPr>
          <w:p w:rsidR="00C153D3" w:rsidRDefault="00F5376A">
            <w:pPr>
              <w:jc w:val="right"/>
            </w:pPr>
            <w:r>
              <w:rPr>
                <w:rFonts w:eastAsiaTheme="minorEastAsia"/>
                <w:color w:val="000000" w:themeColor="text1"/>
                <w:szCs w:val="21"/>
              </w:rPr>
              <w:t>4.09%</w:t>
            </w:r>
          </w:p>
        </w:tc>
        <w:tc>
          <w:tcPr>
            <w:tcW w:w="1291" w:type="dxa"/>
            <w:vAlign w:val="center"/>
          </w:tcPr>
          <w:p w:rsidR="00C153D3" w:rsidRDefault="00F5376A">
            <w:pPr>
              <w:jc w:val="right"/>
            </w:pPr>
            <w:r>
              <w:rPr>
                <w:rFonts w:eastAsiaTheme="minorEastAsia"/>
                <w:color w:val="000000" w:themeColor="text1"/>
                <w:szCs w:val="21"/>
              </w:rPr>
              <w:t>1.20%</w:t>
            </w:r>
          </w:p>
        </w:tc>
      </w:tr>
      <w:tr w:rsidR="00C153D3">
        <w:tc>
          <w:tcPr>
            <w:tcW w:w="1290" w:type="dxa"/>
            <w:vAlign w:val="center"/>
          </w:tcPr>
          <w:p w:rsidR="00C153D3" w:rsidRDefault="00F5376A">
            <w:pPr>
              <w:jc w:val="left"/>
            </w:pPr>
            <w:r>
              <w:rPr>
                <w:rFonts w:eastAsiaTheme="minorEastAsia"/>
                <w:color w:val="000000" w:themeColor="text1"/>
                <w:szCs w:val="21"/>
              </w:rPr>
              <w:t>过去一年</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r>
      <w:tr w:rsidR="00C153D3">
        <w:tc>
          <w:tcPr>
            <w:tcW w:w="1290" w:type="dxa"/>
            <w:vAlign w:val="center"/>
          </w:tcPr>
          <w:p w:rsidR="00C153D3" w:rsidRDefault="00F5376A">
            <w:pPr>
              <w:jc w:val="left"/>
            </w:pPr>
            <w:r>
              <w:rPr>
                <w:rFonts w:eastAsiaTheme="minorEastAsia"/>
                <w:color w:val="000000" w:themeColor="text1"/>
                <w:szCs w:val="21"/>
              </w:rPr>
              <w:t>过去三年</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r>
      <w:tr w:rsidR="00C153D3">
        <w:tc>
          <w:tcPr>
            <w:tcW w:w="1290" w:type="dxa"/>
            <w:vAlign w:val="center"/>
          </w:tcPr>
          <w:p w:rsidR="00C153D3" w:rsidRDefault="00F5376A">
            <w:pPr>
              <w:jc w:val="left"/>
            </w:pPr>
            <w:r>
              <w:rPr>
                <w:rFonts w:eastAsiaTheme="minorEastAsia"/>
                <w:color w:val="000000" w:themeColor="text1"/>
                <w:szCs w:val="21"/>
              </w:rPr>
              <w:t>过去五年</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c>
          <w:tcPr>
            <w:tcW w:w="1291" w:type="dxa"/>
            <w:vAlign w:val="center"/>
          </w:tcPr>
          <w:p w:rsidR="00C153D3" w:rsidRDefault="00F5376A">
            <w:pPr>
              <w:jc w:val="right"/>
            </w:pPr>
            <w:r>
              <w:rPr>
                <w:rFonts w:eastAsiaTheme="minorEastAsia"/>
                <w:color w:val="000000" w:themeColor="text1"/>
                <w:szCs w:val="21"/>
              </w:rPr>
              <w:t>-</w:t>
            </w:r>
          </w:p>
        </w:tc>
      </w:tr>
      <w:tr w:rsidR="00C153D3">
        <w:tc>
          <w:tcPr>
            <w:tcW w:w="1290" w:type="dxa"/>
            <w:vAlign w:val="center"/>
          </w:tcPr>
          <w:p w:rsidR="00C153D3" w:rsidRDefault="00F5376A">
            <w:pPr>
              <w:jc w:val="left"/>
            </w:pPr>
            <w:r>
              <w:rPr>
                <w:rFonts w:eastAsiaTheme="minorEastAsia"/>
                <w:color w:val="000000" w:themeColor="text1"/>
                <w:szCs w:val="21"/>
              </w:rPr>
              <w:t>自基金合同生效起至今</w:t>
            </w:r>
          </w:p>
        </w:tc>
        <w:tc>
          <w:tcPr>
            <w:tcW w:w="1291" w:type="dxa"/>
            <w:vAlign w:val="center"/>
          </w:tcPr>
          <w:p w:rsidR="00C153D3" w:rsidRDefault="00F5376A">
            <w:pPr>
              <w:jc w:val="right"/>
            </w:pPr>
            <w:r>
              <w:rPr>
                <w:rFonts w:eastAsiaTheme="minorEastAsia"/>
                <w:color w:val="000000" w:themeColor="text1"/>
                <w:szCs w:val="21"/>
              </w:rPr>
              <w:t>-24.54%</w:t>
            </w:r>
          </w:p>
        </w:tc>
        <w:tc>
          <w:tcPr>
            <w:tcW w:w="1291" w:type="dxa"/>
            <w:vAlign w:val="center"/>
          </w:tcPr>
          <w:p w:rsidR="00C153D3" w:rsidRDefault="00F5376A">
            <w:pPr>
              <w:jc w:val="right"/>
            </w:pPr>
            <w:r>
              <w:rPr>
                <w:rFonts w:eastAsiaTheme="minorEastAsia"/>
                <w:color w:val="000000" w:themeColor="text1"/>
                <w:szCs w:val="21"/>
              </w:rPr>
              <w:t>1.82%</w:t>
            </w:r>
          </w:p>
        </w:tc>
        <w:tc>
          <w:tcPr>
            <w:tcW w:w="1291" w:type="dxa"/>
            <w:vAlign w:val="center"/>
          </w:tcPr>
          <w:p w:rsidR="00C153D3" w:rsidRDefault="00F5376A">
            <w:pPr>
              <w:jc w:val="right"/>
            </w:pPr>
            <w:r>
              <w:rPr>
                <w:rFonts w:eastAsiaTheme="minorEastAsia"/>
                <w:color w:val="000000" w:themeColor="text1"/>
                <w:szCs w:val="21"/>
              </w:rPr>
              <w:t>-3.46%</w:t>
            </w:r>
          </w:p>
        </w:tc>
        <w:tc>
          <w:tcPr>
            <w:tcW w:w="1291" w:type="dxa"/>
            <w:vAlign w:val="center"/>
          </w:tcPr>
          <w:p w:rsidR="00C153D3" w:rsidRDefault="00F5376A">
            <w:pPr>
              <w:jc w:val="right"/>
            </w:pPr>
            <w:r>
              <w:rPr>
                <w:rFonts w:eastAsiaTheme="minorEastAsia"/>
                <w:color w:val="000000" w:themeColor="text1"/>
                <w:szCs w:val="21"/>
              </w:rPr>
              <w:t>0.60%</w:t>
            </w:r>
          </w:p>
        </w:tc>
        <w:tc>
          <w:tcPr>
            <w:tcW w:w="1291" w:type="dxa"/>
            <w:vAlign w:val="center"/>
          </w:tcPr>
          <w:p w:rsidR="00C153D3" w:rsidRDefault="00F5376A">
            <w:pPr>
              <w:jc w:val="right"/>
            </w:pPr>
            <w:r>
              <w:rPr>
                <w:rFonts w:eastAsiaTheme="minorEastAsia"/>
                <w:color w:val="000000" w:themeColor="text1"/>
                <w:szCs w:val="21"/>
              </w:rPr>
              <w:t>-21.08%</w:t>
            </w:r>
          </w:p>
        </w:tc>
        <w:tc>
          <w:tcPr>
            <w:tcW w:w="1291" w:type="dxa"/>
            <w:vAlign w:val="center"/>
          </w:tcPr>
          <w:p w:rsidR="00C153D3" w:rsidRDefault="00F5376A">
            <w:pPr>
              <w:jc w:val="right"/>
            </w:pPr>
            <w:r>
              <w:rPr>
                <w:rFonts w:eastAsiaTheme="minorEastAsia"/>
                <w:color w:val="000000" w:themeColor="text1"/>
                <w:szCs w:val="21"/>
              </w:rPr>
              <w:t>1.22%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摩根创新商业模式灵活配置混合型证券投资基金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．摩根创新商业模式混合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．摩根创新商业模式混合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153D3">
        <w:tc>
          <w:tcPr>
            <w:tcW w:w="952" w:type="dxa"/>
            <w:vAlign w:val="center"/>
          </w:tcPr>
          <w:p w:rsidR="00C153D3" w:rsidRDefault="00F5376A">
            <w:pPr>
              <w:jc w:val="center"/>
            </w:pPr>
            <w:r>
              <w:rPr>
                <w:rFonts w:eastAsiaTheme="minorEastAsia"/>
                <w:color w:val="000000" w:themeColor="text1"/>
                <w:szCs w:val="21"/>
              </w:rPr>
              <w:t>郭晨</w:t>
            </w:r>
          </w:p>
        </w:tc>
        <w:tc>
          <w:tcPr>
            <w:tcW w:w="930" w:type="dxa"/>
            <w:vAlign w:val="center"/>
          </w:tcPr>
          <w:p w:rsidR="00C153D3" w:rsidRDefault="00F5376A">
            <w:pPr>
              <w:jc w:val="center"/>
            </w:pPr>
            <w:r>
              <w:rPr>
                <w:rFonts w:eastAsiaTheme="minorEastAsia"/>
                <w:color w:val="000000" w:themeColor="text1"/>
                <w:szCs w:val="21"/>
              </w:rPr>
              <w:t>本基金基金经理</w:t>
            </w:r>
          </w:p>
        </w:tc>
        <w:tc>
          <w:tcPr>
            <w:tcW w:w="1210" w:type="dxa"/>
            <w:vAlign w:val="center"/>
          </w:tcPr>
          <w:p w:rsidR="00C153D3" w:rsidRDefault="00F5376A">
            <w:pPr>
              <w:jc w:val="center"/>
            </w:pPr>
            <w:r>
              <w:rPr>
                <w:rFonts w:eastAsiaTheme="minorEastAsia"/>
                <w:color w:val="000000" w:themeColor="text1"/>
                <w:szCs w:val="21"/>
              </w:rPr>
              <w:t>2019-03-29</w:t>
            </w:r>
          </w:p>
        </w:tc>
        <w:tc>
          <w:tcPr>
            <w:tcW w:w="1309" w:type="dxa"/>
            <w:vAlign w:val="center"/>
          </w:tcPr>
          <w:p w:rsidR="00C153D3" w:rsidRDefault="00F5376A">
            <w:pPr>
              <w:jc w:val="center"/>
            </w:pPr>
            <w:r>
              <w:rPr>
                <w:rFonts w:eastAsiaTheme="minorEastAsia"/>
                <w:color w:val="000000" w:themeColor="text1"/>
                <w:szCs w:val="21"/>
              </w:rPr>
              <w:t>-</w:t>
            </w:r>
          </w:p>
        </w:tc>
        <w:tc>
          <w:tcPr>
            <w:tcW w:w="1254" w:type="dxa"/>
            <w:vAlign w:val="center"/>
          </w:tcPr>
          <w:p w:rsidR="00C153D3" w:rsidRDefault="00F5376A">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C153D3" w:rsidRDefault="00F5376A">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C153D3" w:rsidRDefault="00F537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5.15%</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。尽管指数表现不佳，但是市场还是比较活跃，人工智能（</w:t>
      </w:r>
      <w:r>
        <w:rPr>
          <w:rFonts w:eastAsiaTheme="minorEastAsia"/>
          <w:color w:val="000000" w:themeColor="text1"/>
          <w:szCs w:val="21"/>
        </w:rPr>
        <w:t>AI</w:t>
      </w:r>
      <w:r>
        <w:rPr>
          <w:rFonts w:eastAsiaTheme="minorEastAsia"/>
          <w:color w:val="000000" w:themeColor="text1"/>
          <w:szCs w:val="21"/>
        </w:rPr>
        <w:t>）板块大涨，引领市场，前一季度强势的中特估板块表现相对一般。二季度国内经济恢复弱于预期，各项经济数据差强人意，政策也较为克制，依然是以经济高质量发展为主要抓手，市场对于房地产的未来比较悲观。美国经济依然稳健，美股表现强势，人民币调整幅度较大。本季度</w:t>
      </w:r>
      <w:r>
        <w:rPr>
          <w:rFonts w:eastAsiaTheme="minorEastAsia"/>
          <w:color w:val="000000" w:themeColor="text1"/>
          <w:szCs w:val="21"/>
        </w:rPr>
        <w:t>AI</w:t>
      </w:r>
      <w:r>
        <w:rPr>
          <w:rFonts w:eastAsiaTheme="minorEastAsia"/>
          <w:color w:val="000000" w:themeColor="text1"/>
          <w:szCs w:val="21"/>
        </w:rPr>
        <w:t>是市场为数不多的亮点，相关产业链轮番表现，算力板块尤为强势。市场资金依然处于存量博弈的状态，结构差异和个股波动很大。</w:t>
      </w:r>
    </w:p>
    <w:p w:rsidR="005E6DF3"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我们始终看好国内权益市场的长期机会，认为市场处于一个长期慢牛的走势之中，结构性行情为主。二季度本基金增加了</w:t>
      </w:r>
      <w:r w:rsidRPr="00B27A29">
        <w:rPr>
          <w:rFonts w:eastAsiaTheme="minorEastAsia"/>
          <w:color w:val="000000" w:themeColor="text1"/>
          <w:szCs w:val="21"/>
        </w:rPr>
        <w:t>TMT</w:t>
      </w:r>
      <w:r w:rsidRPr="00B27A29">
        <w:rPr>
          <w:rFonts w:eastAsiaTheme="minorEastAsia"/>
          <w:color w:val="000000" w:themeColor="text1"/>
          <w:szCs w:val="21"/>
        </w:rPr>
        <w:t>的配置比例，尤其是</w:t>
      </w:r>
      <w:r w:rsidRPr="00B27A29">
        <w:rPr>
          <w:rFonts w:eastAsiaTheme="minorEastAsia"/>
          <w:color w:val="000000" w:themeColor="text1"/>
          <w:szCs w:val="21"/>
        </w:rPr>
        <w:t>AI</w:t>
      </w:r>
      <w:r w:rsidRPr="00B27A29">
        <w:rPr>
          <w:rFonts w:eastAsiaTheme="minorEastAsia"/>
          <w:color w:val="000000" w:themeColor="text1"/>
          <w:szCs w:val="21"/>
        </w:rPr>
        <w:t>产业链的相关公司，依然重点配置在一些优质成长行业，比如</w:t>
      </w:r>
      <w:r w:rsidRPr="00B27A29">
        <w:rPr>
          <w:rFonts w:eastAsiaTheme="minorEastAsia"/>
          <w:color w:val="000000" w:themeColor="text1"/>
          <w:szCs w:val="21"/>
        </w:rPr>
        <w:t>AI</w:t>
      </w:r>
      <w:r w:rsidRPr="00B27A29">
        <w:rPr>
          <w:rFonts w:eastAsiaTheme="minorEastAsia"/>
          <w:color w:val="000000" w:themeColor="text1"/>
          <w:szCs w:val="21"/>
        </w:rPr>
        <w:t>的算力和应用、信创、数字经济、新能源汽车、光伏、储能、家电等，在房地产、金融、上游资源品等传统周期行业配置比例较低，净值表现良好。本基金将始终坚持价值投资思路，持续关注高景气度成长行业，选择高景气行业中相对优秀的龙头公司长期投资。</w:t>
      </w:r>
    </w:p>
    <w:p w:rsidR="00A21123" w:rsidRPr="00A21123" w:rsidRDefault="00A21123" w:rsidP="00A21123">
      <w:pPr>
        <w:spacing w:line="360" w:lineRule="auto"/>
        <w:ind w:firstLineChars="200" w:firstLine="420"/>
        <w:rPr>
          <w:rFonts w:eastAsiaTheme="minorEastAsia"/>
          <w:color w:val="000000" w:themeColor="text1"/>
          <w:szCs w:val="21"/>
        </w:rPr>
      </w:pPr>
      <w:r w:rsidRPr="00A21123">
        <w:rPr>
          <w:rFonts w:eastAsiaTheme="minorEastAsia" w:hint="eastAsia"/>
          <w:color w:val="000000" w:themeColor="text1"/>
          <w:szCs w:val="21"/>
        </w:rPr>
        <w:t>展望三季度，我们并不悲观。目前市场对国内经济悲观，对政策也没有什么预期，市场的主线大概率依然在成长板块，如果经济数据有见底回升的迹象，那么指数也会有一定机会。港股在经历调整之后，估值吸引力提升，依然是国内经济变化高弹性的标的。成长板块的表现，重点关</w:t>
      </w:r>
      <w:r w:rsidRPr="00A21123">
        <w:rPr>
          <w:rFonts w:eastAsiaTheme="minorEastAsia" w:hint="eastAsia"/>
          <w:color w:val="000000" w:themeColor="text1"/>
          <w:szCs w:val="21"/>
        </w:rPr>
        <w:lastRenderedPageBreak/>
        <w:t>注两个方向，一是新技术的变革，</w:t>
      </w:r>
      <w:r w:rsidRPr="00A21123">
        <w:rPr>
          <w:rFonts w:eastAsiaTheme="minorEastAsia" w:hint="eastAsia"/>
          <w:color w:val="000000" w:themeColor="text1"/>
          <w:szCs w:val="21"/>
        </w:rPr>
        <w:t>TMT</w:t>
      </w:r>
      <w:r w:rsidRPr="00A21123">
        <w:rPr>
          <w:rFonts w:eastAsiaTheme="minorEastAsia" w:hint="eastAsia"/>
          <w:color w:val="000000" w:themeColor="text1"/>
          <w:szCs w:val="21"/>
        </w:rPr>
        <w:t>板块可能会继续活跃，二是业绩同比增速较好的板块，比如新能源相关行业，消费的一些细分子行业。</w:t>
      </w:r>
    </w:p>
    <w:p w:rsidR="00A21123" w:rsidRPr="00A21123" w:rsidRDefault="00A21123" w:rsidP="00A21123">
      <w:pPr>
        <w:spacing w:line="360" w:lineRule="auto"/>
        <w:ind w:firstLineChars="200" w:firstLine="420"/>
        <w:rPr>
          <w:rFonts w:eastAsiaTheme="minorEastAsia"/>
          <w:color w:val="000000" w:themeColor="text1"/>
          <w:szCs w:val="21"/>
        </w:rPr>
      </w:pPr>
      <w:r w:rsidRPr="00A21123">
        <w:rPr>
          <w:rFonts w:eastAsiaTheme="minorEastAsia" w:hint="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w:t>
      </w:r>
      <w:r w:rsidRPr="00A21123">
        <w:rPr>
          <w:rFonts w:eastAsiaTheme="minorEastAsia" w:hint="eastAsia"/>
          <w:color w:val="000000" w:themeColor="text1"/>
          <w:szCs w:val="21"/>
        </w:rPr>
        <w:t>AI</w:t>
      </w:r>
      <w:r w:rsidRPr="00A21123">
        <w:rPr>
          <w:rFonts w:eastAsiaTheme="minorEastAsia" w:hint="eastAsia"/>
          <w:color w:val="000000" w:themeColor="text1"/>
          <w:szCs w:val="21"/>
        </w:rPr>
        <w:t>中的算力和应用、机器人、新能源汽车及其零部件、光储等细分行业。合理的估值，较高的业绩增速，成长的确定性是本基金最看重的。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本报告期摩根创新商业模式</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:-1.64%</w:t>
      </w:r>
      <w:r>
        <w:rPr>
          <w:rFonts w:eastAsiaTheme="minorEastAsia"/>
          <w:color w:val="000000" w:themeColor="text1"/>
          <w:szCs w:val="21"/>
        </w:rPr>
        <w:t>，同期业绩比较基准收益率为</w:t>
      </w:r>
      <w:r>
        <w:rPr>
          <w:rFonts w:eastAsiaTheme="minorEastAsia"/>
          <w:color w:val="000000" w:themeColor="text1"/>
          <w:szCs w:val="21"/>
        </w:rPr>
        <w:t>:-2.50%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摩根创新商业模式</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w:t>
      </w:r>
      <w:r w:rsidR="00F5376A">
        <w:rPr>
          <w:rFonts w:eastAsiaTheme="minorEastAsia"/>
          <w:color w:val="000000" w:themeColor="text1"/>
          <w:szCs w:val="21"/>
        </w:rPr>
        <w:t>50</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85,692,188.20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91.84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85,692,188.20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7,564,388.69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52,045.90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93,308,622.79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7191421.50</w:t>
      </w:r>
      <w:r w:rsidRPr="00B27A29">
        <w:rPr>
          <w:rFonts w:eastAsiaTheme="minorEastAsia"/>
          <w:color w:val="000000" w:themeColor="text1"/>
          <w:szCs w:val="21"/>
        </w:rPr>
        <w:t>元，占期末净值比例为</w:t>
      </w:r>
      <w:r w:rsidRPr="00B27A29">
        <w:rPr>
          <w:rFonts w:eastAsiaTheme="minorEastAsia"/>
          <w:color w:val="000000" w:themeColor="text1"/>
          <w:szCs w:val="21"/>
        </w:rPr>
        <w:t>7.75%</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641,574.60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40,208,017.79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2,694,312.60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30,666,727.35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3,799,388.24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490,746.12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78,500,766.70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84.59</w:t>
            </w:r>
          </w:p>
        </w:tc>
      </w:tr>
    </w:tbl>
    <w:p w:rsidR="005E6DF3" w:rsidRPr="00B27A29" w:rsidRDefault="005C671B">
      <w:pPr>
        <w:jc w:val="left"/>
        <w:rPr>
          <w:b/>
        </w:rPr>
      </w:pPr>
      <w:r w:rsidRPr="00B27A29">
        <w:rPr>
          <w:rFonts w:eastAsiaTheme="minorEastAsia"/>
          <w:b/>
          <w:color w:val="000000" w:themeColor="text1"/>
          <w:szCs w:val="21"/>
        </w:rPr>
        <w:lastRenderedPageBreak/>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153D3" w:rsidRDefault="00F5376A">
            <w:pPr>
              <w:jc w:val="center"/>
            </w:pPr>
            <w:r>
              <w:rPr>
                <w:rFonts w:eastAsiaTheme="minorEastAsia"/>
                <w:color w:val="000000" w:themeColor="text1"/>
                <w:szCs w:val="21"/>
              </w:rPr>
              <w:t>2,154,947.17</w:t>
            </w:r>
          </w:p>
        </w:tc>
        <w:tc>
          <w:tcPr>
            <w:tcW w:w="3118" w:type="dxa"/>
            <w:vAlign w:val="center"/>
          </w:tcPr>
          <w:p w:rsidR="00C153D3" w:rsidRDefault="00F5376A">
            <w:pPr>
              <w:jc w:val="center"/>
            </w:pPr>
            <w:r>
              <w:rPr>
                <w:rFonts w:eastAsiaTheme="minorEastAsia"/>
                <w:color w:val="000000" w:themeColor="text1"/>
                <w:szCs w:val="21"/>
              </w:rPr>
              <w:t>2.32</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153D3" w:rsidRDefault="00F5376A">
            <w:pPr>
              <w:jc w:val="center"/>
            </w:pPr>
            <w:r>
              <w:rPr>
                <w:rFonts w:eastAsiaTheme="minorEastAsia"/>
                <w:color w:val="000000" w:themeColor="text1"/>
                <w:szCs w:val="21"/>
              </w:rPr>
              <w:t>4,609.90</w:t>
            </w:r>
          </w:p>
        </w:tc>
        <w:tc>
          <w:tcPr>
            <w:tcW w:w="3118" w:type="dxa"/>
            <w:vAlign w:val="center"/>
          </w:tcPr>
          <w:p w:rsidR="00C153D3" w:rsidRDefault="00F5376A">
            <w:pPr>
              <w:jc w:val="center"/>
            </w:pPr>
            <w:r>
              <w:rPr>
                <w:rFonts w:eastAsiaTheme="minorEastAsia"/>
                <w:color w:val="000000" w:themeColor="text1"/>
                <w:szCs w:val="21"/>
              </w:rPr>
              <w:t>0.00</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153D3" w:rsidRDefault="00F5376A">
            <w:pPr>
              <w:jc w:val="center"/>
            </w:pPr>
            <w:r>
              <w:rPr>
                <w:rFonts w:eastAsiaTheme="minorEastAsia"/>
                <w:color w:val="000000" w:themeColor="text1"/>
                <w:szCs w:val="21"/>
              </w:rPr>
              <w:t>5,031,864.43</w:t>
            </w:r>
          </w:p>
        </w:tc>
        <w:tc>
          <w:tcPr>
            <w:tcW w:w="3118" w:type="dxa"/>
            <w:vAlign w:val="center"/>
          </w:tcPr>
          <w:p w:rsidR="00C153D3" w:rsidRDefault="00F5376A">
            <w:pPr>
              <w:jc w:val="center"/>
            </w:pPr>
            <w:r>
              <w:rPr>
                <w:rFonts w:eastAsiaTheme="minorEastAsia"/>
                <w:color w:val="000000" w:themeColor="text1"/>
                <w:szCs w:val="21"/>
              </w:rPr>
              <w:t>5.42</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C153D3">
        <w:trPr>
          <w:jc w:val="center"/>
        </w:trPr>
        <w:tc>
          <w:tcPr>
            <w:tcW w:w="2397" w:type="dxa"/>
            <w:vAlign w:val="center"/>
          </w:tcPr>
          <w:p w:rsidR="00C153D3" w:rsidRDefault="00F5376A">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153D3" w:rsidRDefault="00F5376A">
            <w:pPr>
              <w:jc w:val="center"/>
            </w:pPr>
            <w:r>
              <w:rPr>
                <w:rFonts w:eastAsiaTheme="minorEastAsia"/>
                <w:color w:val="000000" w:themeColor="text1"/>
                <w:szCs w:val="21"/>
              </w:rPr>
              <w:t>-</w:t>
            </w:r>
          </w:p>
        </w:tc>
        <w:tc>
          <w:tcPr>
            <w:tcW w:w="3118" w:type="dxa"/>
            <w:vAlign w:val="center"/>
          </w:tcPr>
          <w:p w:rsidR="00C153D3" w:rsidRDefault="00F5376A">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7,191,421.50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7.75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153D3">
        <w:tc>
          <w:tcPr>
            <w:tcW w:w="817" w:type="dxa"/>
            <w:vAlign w:val="center"/>
          </w:tcPr>
          <w:p w:rsidR="00C153D3" w:rsidRDefault="00F5376A">
            <w:pPr>
              <w:jc w:val="center"/>
            </w:pPr>
            <w:r>
              <w:rPr>
                <w:rFonts w:eastAsiaTheme="minorEastAsia"/>
                <w:kern w:val="0"/>
                <w:szCs w:val="21"/>
              </w:rPr>
              <w:t>1</w:t>
            </w:r>
          </w:p>
        </w:tc>
        <w:tc>
          <w:tcPr>
            <w:tcW w:w="1276" w:type="dxa"/>
            <w:vAlign w:val="center"/>
          </w:tcPr>
          <w:p w:rsidR="00C153D3" w:rsidRDefault="00F5376A">
            <w:pPr>
              <w:jc w:val="center"/>
            </w:pPr>
            <w:r>
              <w:rPr>
                <w:rFonts w:eastAsiaTheme="minorEastAsia"/>
                <w:kern w:val="0"/>
                <w:szCs w:val="21"/>
              </w:rPr>
              <w:t>300308</w:t>
            </w:r>
          </w:p>
        </w:tc>
        <w:tc>
          <w:tcPr>
            <w:tcW w:w="1701" w:type="dxa"/>
            <w:vAlign w:val="center"/>
          </w:tcPr>
          <w:p w:rsidR="00C153D3" w:rsidRDefault="00F5376A">
            <w:pPr>
              <w:jc w:val="center"/>
            </w:pPr>
            <w:r>
              <w:rPr>
                <w:rFonts w:eastAsiaTheme="minorEastAsia"/>
                <w:kern w:val="0"/>
                <w:szCs w:val="21"/>
              </w:rPr>
              <w:t>中际旭创</w:t>
            </w:r>
          </w:p>
        </w:tc>
        <w:tc>
          <w:tcPr>
            <w:tcW w:w="1276" w:type="dxa"/>
            <w:vAlign w:val="center"/>
          </w:tcPr>
          <w:p w:rsidR="00C153D3" w:rsidRDefault="00F5376A">
            <w:pPr>
              <w:jc w:val="right"/>
            </w:pPr>
            <w:r>
              <w:rPr>
                <w:rFonts w:eastAsiaTheme="minorEastAsia"/>
                <w:kern w:val="0"/>
                <w:szCs w:val="21"/>
              </w:rPr>
              <w:t>52,300.00</w:t>
            </w:r>
          </w:p>
        </w:tc>
        <w:tc>
          <w:tcPr>
            <w:tcW w:w="1842" w:type="dxa"/>
            <w:vAlign w:val="center"/>
          </w:tcPr>
          <w:p w:rsidR="00C153D3" w:rsidRDefault="00F5376A">
            <w:pPr>
              <w:jc w:val="right"/>
            </w:pPr>
            <w:r>
              <w:rPr>
                <w:rFonts w:eastAsiaTheme="minorEastAsia"/>
                <w:kern w:val="0"/>
                <w:szCs w:val="21"/>
              </w:rPr>
              <w:t>7,711,635.00</w:t>
            </w:r>
          </w:p>
        </w:tc>
        <w:tc>
          <w:tcPr>
            <w:tcW w:w="1616" w:type="dxa"/>
            <w:vAlign w:val="center"/>
          </w:tcPr>
          <w:p w:rsidR="00C153D3" w:rsidRDefault="00F5376A">
            <w:pPr>
              <w:jc w:val="right"/>
            </w:pPr>
            <w:r>
              <w:rPr>
                <w:rFonts w:eastAsiaTheme="minorEastAsia"/>
                <w:kern w:val="0"/>
                <w:szCs w:val="21"/>
              </w:rPr>
              <w:t>8.31</w:t>
            </w:r>
          </w:p>
        </w:tc>
      </w:tr>
      <w:tr w:rsidR="00C153D3">
        <w:tc>
          <w:tcPr>
            <w:tcW w:w="817" w:type="dxa"/>
            <w:vAlign w:val="center"/>
          </w:tcPr>
          <w:p w:rsidR="00C153D3" w:rsidRDefault="00F5376A">
            <w:pPr>
              <w:jc w:val="center"/>
            </w:pPr>
            <w:r>
              <w:rPr>
                <w:rFonts w:eastAsiaTheme="minorEastAsia"/>
                <w:kern w:val="0"/>
                <w:szCs w:val="21"/>
              </w:rPr>
              <w:t>2</w:t>
            </w:r>
          </w:p>
        </w:tc>
        <w:tc>
          <w:tcPr>
            <w:tcW w:w="1276" w:type="dxa"/>
            <w:vAlign w:val="center"/>
          </w:tcPr>
          <w:p w:rsidR="00C153D3" w:rsidRDefault="00F5376A">
            <w:pPr>
              <w:jc w:val="center"/>
            </w:pPr>
            <w:r>
              <w:rPr>
                <w:rFonts w:eastAsiaTheme="minorEastAsia"/>
                <w:kern w:val="0"/>
                <w:szCs w:val="21"/>
              </w:rPr>
              <w:t>688169</w:t>
            </w:r>
          </w:p>
        </w:tc>
        <w:tc>
          <w:tcPr>
            <w:tcW w:w="1701" w:type="dxa"/>
            <w:vAlign w:val="center"/>
          </w:tcPr>
          <w:p w:rsidR="00C153D3" w:rsidRDefault="00F5376A">
            <w:pPr>
              <w:jc w:val="center"/>
            </w:pPr>
            <w:r>
              <w:rPr>
                <w:rFonts w:eastAsiaTheme="minorEastAsia"/>
                <w:kern w:val="0"/>
                <w:szCs w:val="21"/>
              </w:rPr>
              <w:t>石头科技</w:t>
            </w:r>
          </w:p>
        </w:tc>
        <w:tc>
          <w:tcPr>
            <w:tcW w:w="1276" w:type="dxa"/>
            <w:vAlign w:val="center"/>
          </w:tcPr>
          <w:p w:rsidR="00C153D3" w:rsidRDefault="00F5376A">
            <w:pPr>
              <w:jc w:val="right"/>
            </w:pPr>
            <w:r>
              <w:rPr>
                <w:rFonts w:eastAsiaTheme="minorEastAsia"/>
                <w:kern w:val="0"/>
                <w:szCs w:val="21"/>
              </w:rPr>
              <w:t>17,918.00</w:t>
            </w:r>
          </w:p>
        </w:tc>
        <w:tc>
          <w:tcPr>
            <w:tcW w:w="1842" w:type="dxa"/>
            <w:vAlign w:val="center"/>
          </w:tcPr>
          <w:p w:rsidR="00C153D3" w:rsidRDefault="00F5376A">
            <w:pPr>
              <w:jc w:val="right"/>
            </w:pPr>
            <w:r>
              <w:rPr>
                <w:rFonts w:eastAsiaTheme="minorEastAsia"/>
                <w:kern w:val="0"/>
                <w:szCs w:val="21"/>
              </w:rPr>
              <w:t>5,745,944.24</w:t>
            </w:r>
          </w:p>
        </w:tc>
        <w:tc>
          <w:tcPr>
            <w:tcW w:w="1616" w:type="dxa"/>
            <w:vAlign w:val="center"/>
          </w:tcPr>
          <w:p w:rsidR="00C153D3" w:rsidRDefault="00F5376A">
            <w:pPr>
              <w:jc w:val="right"/>
            </w:pPr>
            <w:r>
              <w:rPr>
                <w:rFonts w:eastAsiaTheme="minorEastAsia"/>
                <w:kern w:val="0"/>
                <w:szCs w:val="21"/>
              </w:rPr>
              <w:t>6.19</w:t>
            </w:r>
          </w:p>
        </w:tc>
      </w:tr>
      <w:tr w:rsidR="00C153D3">
        <w:tc>
          <w:tcPr>
            <w:tcW w:w="817" w:type="dxa"/>
            <w:vAlign w:val="center"/>
          </w:tcPr>
          <w:p w:rsidR="00C153D3" w:rsidRDefault="00F5376A">
            <w:pPr>
              <w:jc w:val="center"/>
            </w:pPr>
            <w:r>
              <w:rPr>
                <w:rFonts w:eastAsiaTheme="minorEastAsia"/>
                <w:kern w:val="0"/>
                <w:szCs w:val="21"/>
              </w:rPr>
              <w:t>3</w:t>
            </w:r>
          </w:p>
        </w:tc>
        <w:tc>
          <w:tcPr>
            <w:tcW w:w="1276" w:type="dxa"/>
            <w:vAlign w:val="center"/>
          </w:tcPr>
          <w:p w:rsidR="00C153D3" w:rsidRDefault="00F5376A">
            <w:pPr>
              <w:jc w:val="center"/>
            </w:pPr>
            <w:r>
              <w:rPr>
                <w:rFonts w:eastAsiaTheme="minorEastAsia"/>
                <w:kern w:val="0"/>
                <w:szCs w:val="21"/>
              </w:rPr>
              <w:t>300502</w:t>
            </w:r>
          </w:p>
        </w:tc>
        <w:tc>
          <w:tcPr>
            <w:tcW w:w="1701" w:type="dxa"/>
            <w:vAlign w:val="center"/>
          </w:tcPr>
          <w:p w:rsidR="00C153D3" w:rsidRDefault="00F5376A">
            <w:pPr>
              <w:jc w:val="center"/>
            </w:pPr>
            <w:r>
              <w:rPr>
                <w:rFonts w:eastAsiaTheme="minorEastAsia"/>
                <w:kern w:val="0"/>
                <w:szCs w:val="21"/>
              </w:rPr>
              <w:t>新易盛</w:t>
            </w:r>
          </w:p>
        </w:tc>
        <w:tc>
          <w:tcPr>
            <w:tcW w:w="1276" w:type="dxa"/>
            <w:vAlign w:val="center"/>
          </w:tcPr>
          <w:p w:rsidR="00C153D3" w:rsidRDefault="00F5376A">
            <w:pPr>
              <w:jc w:val="right"/>
            </w:pPr>
            <w:r>
              <w:rPr>
                <w:rFonts w:eastAsiaTheme="minorEastAsia"/>
                <w:kern w:val="0"/>
                <w:szCs w:val="21"/>
              </w:rPr>
              <w:t>78,240.00</w:t>
            </w:r>
          </w:p>
        </w:tc>
        <w:tc>
          <w:tcPr>
            <w:tcW w:w="1842" w:type="dxa"/>
            <w:vAlign w:val="center"/>
          </w:tcPr>
          <w:p w:rsidR="00C153D3" w:rsidRDefault="00F5376A">
            <w:pPr>
              <w:jc w:val="right"/>
            </w:pPr>
            <w:r>
              <w:rPr>
                <w:rFonts w:eastAsiaTheme="minorEastAsia"/>
                <w:kern w:val="0"/>
                <w:szCs w:val="21"/>
              </w:rPr>
              <w:t>5,317,972.80</w:t>
            </w:r>
          </w:p>
        </w:tc>
        <w:tc>
          <w:tcPr>
            <w:tcW w:w="1616" w:type="dxa"/>
            <w:vAlign w:val="center"/>
          </w:tcPr>
          <w:p w:rsidR="00C153D3" w:rsidRDefault="00F5376A">
            <w:pPr>
              <w:jc w:val="right"/>
            </w:pPr>
            <w:r>
              <w:rPr>
                <w:rFonts w:eastAsiaTheme="minorEastAsia"/>
                <w:kern w:val="0"/>
                <w:szCs w:val="21"/>
              </w:rPr>
              <w:t>5.73</w:t>
            </w:r>
          </w:p>
        </w:tc>
      </w:tr>
      <w:tr w:rsidR="00C153D3">
        <w:tc>
          <w:tcPr>
            <w:tcW w:w="817" w:type="dxa"/>
            <w:vAlign w:val="center"/>
          </w:tcPr>
          <w:p w:rsidR="00C153D3" w:rsidRDefault="00F5376A">
            <w:pPr>
              <w:jc w:val="center"/>
            </w:pPr>
            <w:r>
              <w:rPr>
                <w:rFonts w:eastAsiaTheme="minorEastAsia"/>
                <w:kern w:val="0"/>
                <w:szCs w:val="21"/>
              </w:rPr>
              <w:t>4</w:t>
            </w:r>
          </w:p>
        </w:tc>
        <w:tc>
          <w:tcPr>
            <w:tcW w:w="1276" w:type="dxa"/>
            <w:vAlign w:val="center"/>
          </w:tcPr>
          <w:p w:rsidR="00C153D3" w:rsidRDefault="00F5376A">
            <w:pPr>
              <w:jc w:val="center"/>
            </w:pPr>
            <w:r>
              <w:rPr>
                <w:rFonts w:eastAsiaTheme="minorEastAsia"/>
                <w:kern w:val="0"/>
                <w:szCs w:val="21"/>
              </w:rPr>
              <w:t>00700</w:t>
            </w:r>
          </w:p>
        </w:tc>
        <w:tc>
          <w:tcPr>
            <w:tcW w:w="1701" w:type="dxa"/>
            <w:vAlign w:val="center"/>
          </w:tcPr>
          <w:p w:rsidR="00C153D3" w:rsidRDefault="00F5376A">
            <w:pPr>
              <w:jc w:val="center"/>
            </w:pPr>
            <w:r>
              <w:rPr>
                <w:rFonts w:eastAsiaTheme="minorEastAsia"/>
                <w:kern w:val="0"/>
                <w:szCs w:val="21"/>
              </w:rPr>
              <w:t>腾讯控股</w:t>
            </w:r>
          </w:p>
        </w:tc>
        <w:tc>
          <w:tcPr>
            <w:tcW w:w="1276" w:type="dxa"/>
            <w:vAlign w:val="center"/>
          </w:tcPr>
          <w:p w:rsidR="00C153D3" w:rsidRDefault="00F5376A">
            <w:pPr>
              <w:jc w:val="right"/>
            </w:pPr>
            <w:r>
              <w:rPr>
                <w:rFonts w:eastAsiaTheme="minorEastAsia"/>
                <w:kern w:val="0"/>
                <w:szCs w:val="21"/>
              </w:rPr>
              <w:t>12,500.00</w:t>
            </w:r>
          </w:p>
        </w:tc>
        <w:tc>
          <w:tcPr>
            <w:tcW w:w="1842" w:type="dxa"/>
            <w:vAlign w:val="center"/>
          </w:tcPr>
          <w:p w:rsidR="00C153D3" w:rsidRDefault="00F5376A">
            <w:pPr>
              <w:jc w:val="right"/>
            </w:pPr>
            <w:r>
              <w:rPr>
                <w:rFonts w:eastAsiaTheme="minorEastAsia"/>
                <w:kern w:val="0"/>
                <w:szCs w:val="21"/>
              </w:rPr>
              <w:t>3,821,607.10</w:t>
            </w:r>
          </w:p>
        </w:tc>
        <w:tc>
          <w:tcPr>
            <w:tcW w:w="1616" w:type="dxa"/>
            <w:vAlign w:val="center"/>
          </w:tcPr>
          <w:p w:rsidR="00C153D3" w:rsidRDefault="00F5376A">
            <w:pPr>
              <w:jc w:val="right"/>
            </w:pPr>
            <w:r>
              <w:rPr>
                <w:rFonts w:eastAsiaTheme="minorEastAsia"/>
                <w:kern w:val="0"/>
                <w:szCs w:val="21"/>
              </w:rPr>
              <w:t>4.12</w:t>
            </w:r>
          </w:p>
        </w:tc>
      </w:tr>
      <w:tr w:rsidR="00C153D3">
        <w:tc>
          <w:tcPr>
            <w:tcW w:w="817" w:type="dxa"/>
            <w:vAlign w:val="center"/>
          </w:tcPr>
          <w:p w:rsidR="00C153D3" w:rsidRDefault="00F5376A">
            <w:pPr>
              <w:jc w:val="center"/>
            </w:pPr>
            <w:r>
              <w:rPr>
                <w:rFonts w:eastAsiaTheme="minorEastAsia"/>
                <w:kern w:val="0"/>
                <w:szCs w:val="21"/>
              </w:rPr>
              <w:t>5</w:t>
            </w:r>
          </w:p>
        </w:tc>
        <w:tc>
          <w:tcPr>
            <w:tcW w:w="1276" w:type="dxa"/>
            <w:vAlign w:val="center"/>
          </w:tcPr>
          <w:p w:rsidR="00C153D3" w:rsidRDefault="00F5376A">
            <w:pPr>
              <w:jc w:val="center"/>
            </w:pPr>
            <w:r>
              <w:rPr>
                <w:rFonts w:eastAsiaTheme="minorEastAsia"/>
                <w:kern w:val="0"/>
                <w:szCs w:val="21"/>
              </w:rPr>
              <w:t>688111</w:t>
            </w:r>
          </w:p>
        </w:tc>
        <w:tc>
          <w:tcPr>
            <w:tcW w:w="1701" w:type="dxa"/>
            <w:vAlign w:val="center"/>
          </w:tcPr>
          <w:p w:rsidR="00C153D3" w:rsidRDefault="00F5376A">
            <w:pPr>
              <w:jc w:val="center"/>
            </w:pPr>
            <w:r>
              <w:rPr>
                <w:rFonts w:eastAsiaTheme="minorEastAsia"/>
                <w:kern w:val="0"/>
                <w:szCs w:val="21"/>
              </w:rPr>
              <w:t>金山办公</w:t>
            </w:r>
          </w:p>
        </w:tc>
        <w:tc>
          <w:tcPr>
            <w:tcW w:w="1276" w:type="dxa"/>
            <w:vAlign w:val="center"/>
          </w:tcPr>
          <w:p w:rsidR="00C153D3" w:rsidRDefault="00F5376A">
            <w:pPr>
              <w:jc w:val="right"/>
            </w:pPr>
            <w:r>
              <w:rPr>
                <w:rFonts w:eastAsiaTheme="minorEastAsia"/>
                <w:kern w:val="0"/>
                <w:szCs w:val="21"/>
              </w:rPr>
              <w:t>7,465.00</w:t>
            </w:r>
          </w:p>
        </w:tc>
        <w:tc>
          <w:tcPr>
            <w:tcW w:w="1842" w:type="dxa"/>
            <w:vAlign w:val="center"/>
          </w:tcPr>
          <w:p w:rsidR="00C153D3" w:rsidRDefault="00F5376A">
            <w:pPr>
              <w:jc w:val="right"/>
            </w:pPr>
            <w:r>
              <w:rPr>
                <w:rFonts w:eastAsiaTheme="minorEastAsia"/>
                <w:kern w:val="0"/>
                <w:szCs w:val="21"/>
              </w:rPr>
              <w:t>3,525,122.30</w:t>
            </w:r>
          </w:p>
        </w:tc>
        <w:tc>
          <w:tcPr>
            <w:tcW w:w="1616" w:type="dxa"/>
            <w:vAlign w:val="center"/>
          </w:tcPr>
          <w:p w:rsidR="00C153D3" w:rsidRDefault="00F5376A">
            <w:pPr>
              <w:jc w:val="right"/>
            </w:pPr>
            <w:r>
              <w:rPr>
                <w:rFonts w:eastAsiaTheme="minorEastAsia"/>
                <w:kern w:val="0"/>
                <w:szCs w:val="21"/>
              </w:rPr>
              <w:t>3.80</w:t>
            </w:r>
          </w:p>
        </w:tc>
      </w:tr>
      <w:tr w:rsidR="00C153D3">
        <w:tc>
          <w:tcPr>
            <w:tcW w:w="817" w:type="dxa"/>
            <w:vAlign w:val="center"/>
          </w:tcPr>
          <w:p w:rsidR="00C153D3" w:rsidRDefault="00F5376A">
            <w:pPr>
              <w:jc w:val="center"/>
            </w:pPr>
            <w:r>
              <w:rPr>
                <w:rFonts w:eastAsiaTheme="minorEastAsia"/>
                <w:kern w:val="0"/>
                <w:szCs w:val="21"/>
              </w:rPr>
              <w:t>6</w:t>
            </w:r>
          </w:p>
        </w:tc>
        <w:tc>
          <w:tcPr>
            <w:tcW w:w="1276" w:type="dxa"/>
            <w:vAlign w:val="center"/>
          </w:tcPr>
          <w:p w:rsidR="00C153D3" w:rsidRDefault="00F5376A">
            <w:pPr>
              <w:jc w:val="center"/>
            </w:pPr>
            <w:r>
              <w:rPr>
                <w:rFonts w:eastAsiaTheme="minorEastAsia"/>
                <w:kern w:val="0"/>
                <w:szCs w:val="21"/>
              </w:rPr>
              <w:t>603444</w:t>
            </w:r>
          </w:p>
        </w:tc>
        <w:tc>
          <w:tcPr>
            <w:tcW w:w="1701" w:type="dxa"/>
            <w:vAlign w:val="center"/>
          </w:tcPr>
          <w:p w:rsidR="00C153D3" w:rsidRDefault="00F5376A">
            <w:pPr>
              <w:jc w:val="center"/>
            </w:pPr>
            <w:r>
              <w:rPr>
                <w:rFonts w:eastAsiaTheme="minorEastAsia"/>
                <w:kern w:val="0"/>
                <w:szCs w:val="21"/>
              </w:rPr>
              <w:t>吉比特</w:t>
            </w:r>
          </w:p>
        </w:tc>
        <w:tc>
          <w:tcPr>
            <w:tcW w:w="1276" w:type="dxa"/>
            <w:vAlign w:val="center"/>
          </w:tcPr>
          <w:p w:rsidR="00C153D3" w:rsidRDefault="00F5376A">
            <w:pPr>
              <w:jc w:val="right"/>
            </w:pPr>
            <w:r>
              <w:rPr>
                <w:rFonts w:eastAsiaTheme="minorEastAsia"/>
                <w:kern w:val="0"/>
                <w:szCs w:val="21"/>
              </w:rPr>
              <w:t>6,600.00</w:t>
            </w:r>
          </w:p>
        </w:tc>
        <w:tc>
          <w:tcPr>
            <w:tcW w:w="1842" w:type="dxa"/>
            <w:vAlign w:val="center"/>
          </w:tcPr>
          <w:p w:rsidR="00C153D3" w:rsidRDefault="00F5376A">
            <w:pPr>
              <w:jc w:val="right"/>
            </w:pPr>
            <w:r>
              <w:rPr>
                <w:rFonts w:eastAsiaTheme="minorEastAsia"/>
                <w:kern w:val="0"/>
                <w:szCs w:val="21"/>
              </w:rPr>
              <w:t>3,241,326.00</w:t>
            </w:r>
          </w:p>
        </w:tc>
        <w:tc>
          <w:tcPr>
            <w:tcW w:w="1616" w:type="dxa"/>
            <w:vAlign w:val="center"/>
          </w:tcPr>
          <w:p w:rsidR="00C153D3" w:rsidRDefault="00F5376A">
            <w:pPr>
              <w:jc w:val="right"/>
            </w:pPr>
            <w:r>
              <w:rPr>
                <w:rFonts w:eastAsiaTheme="minorEastAsia"/>
                <w:kern w:val="0"/>
                <w:szCs w:val="21"/>
              </w:rPr>
              <w:t>3.49</w:t>
            </w:r>
          </w:p>
        </w:tc>
      </w:tr>
      <w:tr w:rsidR="00C153D3">
        <w:tc>
          <w:tcPr>
            <w:tcW w:w="817" w:type="dxa"/>
            <w:vAlign w:val="center"/>
          </w:tcPr>
          <w:p w:rsidR="00C153D3" w:rsidRDefault="00F5376A">
            <w:pPr>
              <w:jc w:val="center"/>
            </w:pPr>
            <w:r>
              <w:rPr>
                <w:rFonts w:eastAsiaTheme="minorEastAsia"/>
                <w:kern w:val="0"/>
                <w:szCs w:val="21"/>
              </w:rPr>
              <w:t>7</w:t>
            </w:r>
          </w:p>
        </w:tc>
        <w:tc>
          <w:tcPr>
            <w:tcW w:w="1276" w:type="dxa"/>
            <w:vAlign w:val="center"/>
          </w:tcPr>
          <w:p w:rsidR="00C153D3" w:rsidRDefault="00F5376A">
            <w:pPr>
              <w:jc w:val="center"/>
            </w:pPr>
            <w:r>
              <w:rPr>
                <w:rFonts w:eastAsiaTheme="minorEastAsia"/>
                <w:kern w:val="0"/>
                <w:szCs w:val="21"/>
              </w:rPr>
              <w:t>002555</w:t>
            </w:r>
          </w:p>
        </w:tc>
        <w:tc>
          <w:tcPr>
            <w:tcW w:w="1701" w:type="dxa"/>
            <w:vAlign w:val="center"/>
          </w:tcPr>
          <w:p w:rsidR="00C153D3" w:rsidRDefault="00F5376A">
            <w:pPr>
              <w:jc w:val="center"/>
            </w:pPr>
            <w:r>
              <w:rPr>
                <w:rFonts w:eastAsiaTheme="minorEastAsia"/>
                <w:kern w:val="0"/>
                <w:szCs w:val="21"/>
              </w:rPr>
              <w:t>三七互娱</w:t>
            </w:r>
          </w:p>
        </w:tc>
        <w:tc>
          <w:tcPr>
            <w:tcW w:w="1276" w:type="dxa"/>
            <w:vAlign w:val="center"/>
          </w:tcPr>
          <w:p w:rsidR="00C153D3" w:rsidRDefault="00F5376A">
            <w:pPr>
              <w:jc w:val="right"/>
            </w:pPr>
            <w:r>
              <w:rPr>
                <w:rFonts w:eastAsiaTheme="minorEastAsia"/>
                <w:kern w:val="0"/>
                <w:szCs w:val="21"/>
              </w:rPr>
              <w:t>83,021.00</w:t>
            </w:r>
          </w:p>
        </w:tc>
        <w:tc>
          <w:tcPr>
            <w:tcW w:w="1842" w:type="dxa"/>
            <w:vAlign w:val="center"/>
          </w:tcPr>
          <w:p w:rsidR="00C153D3" w:rsidRDefault="00F5376A">
            <w:pPr>
              <w:jc w:val="right"/>
            </w:pPr>
            <w:r>
              <w:rPr>
                <w:rFonts w:eastAsiaTheme="minorEastAsia"/>
                <w:kern w:val="0"/>
                <w:szCs w:val="21"/>
              </w:rPr>
              <w:t>2,895,772.48</w:t>
            </w:r>
          </w:p>
        </w:tc>
        <w:tc>
          <w:tcPr>
            <w:tcW w:w="1616" w:type="dxa"/>
            <w:vAlign w:val="center"/>
          </w:tcPr>
          <w:p w:rsidR="00C153D3" w:rsidRDefault="00F5376A">
            <w:pPr>
              <w:jc w:val="right"/>
            </w:pPr>
            <w:r>
              <w:rPr>
                <w:rFonts w:eastAsiaTheme="minorEastAsia"/>
                <w:kern w:val="0"/>
                <w:szCs w:val="21"/>
              </w:rPr>
              <w:t>3.12</w:t>
            </w:r>
          </w:p>
        </w:tc>
      </w:tr>
      <w:tr w:rsidR="00C153D3">
        <w:tc>
          <w:tcPr>
            <w:tcW w:w="817" w:type="dxa"/>
            <w:vAlign w:val="center"/>
          </w:tcPr>
          <w:p w:rsidR="00C153D3" w:rsidRDefault="00F5376A">
            <w:pPr>
              <w:jc w:val="center"/>
            </w:pPr>
            <w:r>
              <w:rPr>
                <w:rFonts w:eastAsiaTheme="minorEastAsia"/>
                <w:kern w:val="0"/>
                <w:szCs w:val="21"/>
              </w:rPr>
              <w:t>8</w:t>
            </w:r>
          </w:p>
        </w:tc>
        <w:tc>
          <w:tcPr>
            <w:tcW w:w="1276" w:type="dxa"/>
            <w:vAlign w:val="center"/>
          </w:tcPr>
          <w:p w:rsidR="00C153D3" w:rsidRDefault="00F5376A">
            <w:pPr>
              <w:jc w:val="center"/>
            </w:pPr>
            <w:r>
              <w:rPr>
                <w:rFonts w:eastAsiaTheme="minorEastAsia"/>
                <w:kern w:val="0"/>
                <w:szCs w:val="21"/>
              </w:rPr>
              <w:t>000032</w:t>
            </w:r>
          </w:p>
        </w:tc>
        <w:tc>
          <w:tcPr>
            <w:tcW w:w="1701" w:type="dxa"/>
            <w:vAlign w:val="center"/>
          </w:tcPr>
          <w:p w:rsidR="00C153D3" w:rsidRDefault="00F5376A">
            <w:pPr>
              <w:jc w:val="center"/>
            </w:pPr>
            <w:r>
              <w:rPr>
                <w:rFonts w:eastAsiaTheme="minorEastAsia"/>
                <w:kern w:val="0"/>
                <w:szCs w:val="21"/>
              </w:rPr>
              <w:t>深桑达Ａ</w:t>
            </w:r>
          </w:p>
        </w:tc>
        <w:tc>
          <w:tcPr>
            <w:tcW w:w="1276" w:type="dxa"/>
            <w:vAlign w:val="center"/>
          </w:tcPr>
          <w:p w:rsidR="00C153D3" w:rsidRDefault="00F5376A">
            <w:pPr>
              <w:jc w:val="right"/>
            </w:pPr>
            <w:r>
              <w:rPr>
                <w:rFonts w:eastAsiaTheme="minorEastAsia"/>
                <w:kern w:val="0"/>
                <w:szCs w:val="21"/>
              </w:rPr>
              <w:t>81,894.00</w:t>
            </w:r>
          </w:p>
        </w:tc>
        <w:tc>
          <w:tcPr>
            <w:tcW w:w="1842" w:type="dxa"/>
            <w:vAlign w:val="center"/>
          </w:tcPr>
          <w:p w:rsidR="00C153D3" w:rsidRDefault="00F5376A">
            <w:pPr>
              <w:jc w:val="right"/>
            </w:pPr>
            <w:r>
              <w:rPr>
                <w:rFonts w:eastAsiaTheme="minorEastAsia"/>
                <w:kern w:val="0"/>
                <w:szCs w:val="21"/>
              </w:rPr>
              <w:t>2,694,312.60</w:t>
            </w:r>
          </w:p>
        </w:tc>
        <w:tc>
          <w:tcPr>
            <w:tcW w:w="1616" w:type="dxa"/>
            <w:vAlign w:val="center"/>
          </w:tcPr>
          <w:p w:rsidR="00C153D3" w:rsidRDefault="00F5376A">
            <w:pPr>
              <w:jc w:val="right"/>
            </w:pPr>
            <w:r>
              <w:rPr>
                <w:rFonts w:eastAsiaTheme="minorEastAsia"/>
                <w:kern w:val="0"/>
                <w:szCs w:val="21"/>
              </w:rPr>
              <w:t>2.90</w:t>
            </w:r>
          </w:p>
        </w:tc>
      </w:tr>
      <w:tr w:rsidR="00C153D3">
        <w:tc>
          <w:tcPr>
            <w:tcW w:w="817" w:type="dxa"/>
            <w:vAlign w:val="center"/>
          </w:tcPr>
          <w:p w:rsidR="00C153D3" w:rsidRDefault="00F5376A">
            <w:pPr>
              <w:jc w:val="center"/>
            </w:pPr>
            <w:r>
              <w:rPr>
                <w:rFonts w:eastAsiaTheme="minorEastAsia"/>
                <w:kern w:val="0"/>
                <w:szCs w:val="21"/>
              </w:rPr>
              <w:t>9</w:t>
            </w:r>
          </w:p>
        </w:tc>
        <w:tc>
          <w:tcPr>
            <w:tcW w:w="1276" w:type="dxa"/>
            <w:vAlign w:val="center"/>
          </w:tcPr>
          <w:p w:rsidR="00C153D3" w:rsidRDefault="00F5376A">
            <w:pPr>
              <w:jc w:val="center"/>
            </w:pPr>
            <w:r>
              <w:rPr>
                <w:rFonts w:eastAsiaTheme="minorEastAsia"/>
                <w:kern w:val="0"/>
                <w:szCs w:val="21"/>
              </w:rPr>
              <w:t>002517</w:t>
            </w:r>
          </w:p>
        </w:tc>
        <w:tc>
          <w:tcPr>
            <w:tcW w:w="1701" w:type="dxa"/>
            <w:vAlign w:val="center"/>
          </w:tcPr>
          <w:p w:rsidR="00C153D3" w:rsidRDefault="00F5376A">
            <w:pPr>
              <w:jc w:val="center"/>
            </w:pPr>
            <w:r>
              <w:rPr>
                <w:rFonts w:eastAsiaTheme="minorEastAsia"/>
                <w:kern w:val="0"/>
                <w:szCs w:val="21"/>
              </w:rPr>
              <w:t>恺英网络</w:t>
            </w:r>
          </w:p>
        </w:tc>
        <w:tc>
          <w:tcPr>
            <w:tcW w:w="1276" w:type="dxa"/>
            <w:vAlign w:val="center"/>
          </w:tcPr>
          <w:p w:rsidR="00C153D3" w:rsidRDefault="00F5376A">
            <w:pPr>
              <w:jc w:val="right"/>
            </w:pPr>
            <w:r>
              <w:rPr>
                <w:rFonts w:eastAsiaTheme="minorEastAsia"/>
                <w:kern w:val="0"/>
                <w:szCs w:val="21"/>
              </w:rPr>
              <w:t>163,000.00</w:t>
            </w:r>
          </w:p>
        </w:tc>
        <w:tc>
          <w:tcPr>
            <w:tcW w:w="1842" w:type="dxa"/>
            <w:vAlign w:val="center"/>
          </w:tcPr>
          <w:p w:rsidR="00C153D3" w:rsidRDefault="00F5376A">
            <w:pPr>
              <w:jc w:val="right"/>
            </w:pPr>
            <w:r>
              <w:rPr>
                <w:rFonts w:eastAsiaTheme="minorEastAsia"/>
                <w:kern w:val="0"/>
                <w:szCs w:val="21"/>
              </w:rPr>
              <w:t>2,565,620.00</w:t>
            </w:r>
          </w:p>
        </w:tc>
        <w:tc>
          <w:tcPr>
            <w:tcW w:w="1616" w:type="dxa"/>
            <w:vAlign w:val="center"/>
          </w:tcPr>
          <w:p w:rsidR="00C153D3" w:rsidRDefault="00F5376A">
            <w:pPr>
              <w:jc w:val="right"/>
            </w:pPr>
            <w:r>
              <w:rPr>
                <w:rFonts w:eastAsiaTheme="minorEastAsia"/>
                <w:kern w:val="0"/>
                <w:szCs w:val="21"/>
              </w:rPr>
              <w:t>2.76</w:t>
            </w:r>
          </w:p>
        </w:tc>
      </w:tr>
      <w:tr w:rsidR="00C153D3">
        <w:tc>
          <w:tcPr>
            <w:tcW w:w="817" w:type="dxa"/>
            <w:vAlign w:val="center"/>
          </w:tcPr>
          <w:p w:rsidR="00C153D3" w:rsidRDefault="00F5376A">
            <w:pPr>
              <w:jc w:val="center"/>
            </w:pPr>
            <w:r>
              <w:rPr>
                <w:rFonts w:eastAsiaTheme="minorEastAsia"/>
                <w:kern w:val="0"/>
                <w:szCs w:val="21"/>
              </w:rPr>
              <w:t>10</w:t>
            </w:r>
          </w:p>
        </w:tc>
        <w:tc>
          <w:tcPr>
            <w:tcW w:w="1276" w:type="dxa"/>
            <w:vAlign w:val="center"/>
          </w:tcPr>
          <w:p w:rsidR="00C153D3" w:rsidRDefault="00F5376A">
            <w:pPr>
              <w:jc w:val="center"/>
            </w:pPr>
            <w:r>
              <w:rPr>
                <w:rFonts w:eastAsiaTheme="minorEastAsia"/>
                <w:kern w:val="0"/>
                <w:szCs w:val="21"/>
              </w:rPr>
              <w:t>605133</w:t>
            </w:r>
          </w:p>
        </w:tc>
        <w:tc>
          <w:tcPr>
            <w:tcW w:w="1701" w:type="dxa"/>
            <w:vAlign w:val="center"/>
          </w:tcPr>
          <w:p w:rsidR="00C153D3" w:rsidRDefault="00F5376A">
            <w:pPr>
              <w:jc w:val="center"/>
            </w:pPr>
            <w:r>
              <w:rPr>
                <w:rFonts w:eastAsiaTheme="minorEastAsia"/>
                <w:kern w:val="0"/>
                <w:szCs w:val="21"/>
              </w:rPr>
              <w:t>嵘泰股份</w:t>
            </w:r>
          </w:p>
        </w:tc>
        <w:tc>
          <w:tcPr>
            <w:tcW w:w="1276" w:type="dxa"/>
            <w:vAlign w:val="center"/>
          </w:tcPr>
          <w:p w:rsidR="00C153D3" w:rsidRDefault="00F5376A">
            <w:pPr>
              <w:jc w:val="right"/>
            </w:pPr>
            <w:r>
              <w:rPr>
                <w:rFonts w:eastAsiaTheme="minorEastAsia"/>
                <w:kern w:val="0"/>
                <w:szCs w:val="21"/>
              </w:rPr>
              <w:t>68,549.00</w:t>
            </w:r>
          </w:p>
        </w:tc>
        <w:tc>
          <w:tcPr>
            <w:tcW w:w="1842" w:type="dxa"/>
            <w:vAlign w:val="center"/>
          </w:tcPr>
          <w:p w:rsidR="00C153D3" w:rsidRDefault="00F5376A">
            <w:pPr>
              <w:jc w:val="right"/>
            </w:pPr>
            <w:r>
              <w:rPr>
                <w:rFonts w:eastAsiaTheme="minorEastAsia"/>
                <w:kern w:val="0"/>
                <w:szCs w:val="21"/>
              </w:rPr>
              <w:t>2,382,763.24</w:t>
            </w:r>
          </w:p>
        </w:tc>
        <w:tc>
          <w:tcPr>
            <w:tcW w:w="1616" w:type="dxa"/>
            <w:vAlign w:val="center"/>
          </w:tcPr>
          <w:p w:rsidR="00C153D3" w:rsidRDefault="00F5376A">
            <w:pPr>
              <w:jc w:val="right"/>
            </w:pPr>
            <w:r>
              <w:rPr>
                <w:rFonts w:eastAsiaTheme="minorEastAsia"/>
                <w:kern w:val="0"/>
                <w:szCs w:val="21"/>
              </w:rPr>
              <w:t>2.57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BE1646" w:rsidRDefault="005C671B" w:rsidP="00BE1646">
      <w:pPr>
        <w:spacing w:line="360" w:lineRule="auto"/>
        <w:rPr>
          <w:color w:val="000000"/>
          <w:kern w:val="0"/>
          <w:szCs w:val="21"/>
        </w:rPr>
      </w:pPr>
      <w:r w:rsidRPr="00B27A29">
        <w:rPr>
          <w:rFonts w:eastAsiaTheme="minorEastAsia"/>
          <w:color w:val="000000" w:themeColor="text1"/>
          <w:szCs w:val="21"/>
        </w:rPr>
        <w:t>5.11.1</w:t>
      </w:r>
      <w:r w:rsidR="00BE1646">
        <w:rPr>
          <w:rFonts w:hint="eastAsia"/>
          <w:color w:val="000000"/>
        </w:rPr>
        <w:t>本基金投资的前十名证券的发行主体中，三七互娱网络科技集团股份有限公司（股票代码</w:t>
      </w:r>
      <w:r w:rsidR="00BE1646">
        <w:rPr>
          <w:rFonts w:hint="eastAsia"/>
          <w:color w:val="000000"/>
        </w:rPr>
        <w:t>002555</w:t>
      </w:r>
      <w:r w:rsidR="00BE1646">
        <w:rPr>
          <w:rFonts w:hint="eastAsia"/>
          <w:color w:val="000000"/>
        </w:rPr>
        <w:t>）在报告编制日前一年内曾受到中国证监会的立案调查。</w:t>
      </w:r>
    </w:p>
    <w:p w:rsidR="00BE1646" w:rsidRDefault="00BE1646" w:rsidP="00BE1646">
      <w:pPr>
        <w:spacing w:line="360" w:lineRule="auto"/>
        <w:rPr>
          <w:color w:val="000000"/>
        </w:rPr>
      </w:pPr>
      <w:r>
        <w:rPr>
          <w:rFonts w:hint="eastAsia"/>
          <w:color w:val="000000"/>
        </w:rPr>
        <w:t>本基金对上述主体所发行证券的投资决策程序符合相关法律法规、基金合同及公司投资制度的要求。</w:t>
      </w:r>
    </w:p>
    <w:p w:rsidR="005E6DF3" w:rsidRPr="00B27A29" w:rsidRDefault="00BE1646" w:rsidP="00BE1646">
      <w:pPr>
        <w:widowControl/>
        <w:spacing w:line="360" w:lineRule="auto"/>
        <w:rPr>
          <w:rFonts w:eastAsiaTheme="minorEastAsia"/>
          <w:color w:val="000000" w:themeColor="text1"/>
          <w:szCs w:val="21"/>
        </w:rPr>
      </w:pPr>
      <w:r>
        <w:rPr>
          <w:rFonts w:hint="eastAsia"/>
          <w:color w:val="000000"/>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41,683.32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6,094.57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4,268.01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52,045.90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67,365,378.25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26,925.85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1,187,721.84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10,553.08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1,850,281.19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20,965.34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66,702,818.90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16,513.59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《摩根创新商业模式灵活配置混合型证券投资基金基金合同》；</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《摩根创新商业模式灵活配置混合型证券投资基金托管协议》；</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C153D3" w:rsidRDefault="00F5376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B52B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B52B3">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B52B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摩根创新商业模式灵活配置混合型证券投资基金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B52B3"/>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2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646"/>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53D3"/>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376A"/>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07066851">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E8366-499E-467C-A22A-7AE2DB00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1315</Words>
  <Characters>7497</Characters>
  <Application>Microsoft Office Word</Application>
  <DocSecurity>0</DocSecurity>
  <Lines>62</Lines>
  <Paragraphs>17</Paragraphs>
  <ScaleCrop>false</ScaleCrop>
  <Company>TRT. Ltd. Co.</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222</cp:revision>
  <cp:lastPrinted>2007-07-19T00:46:00Z</cp:lastPrinted>
  <dcterms:created xsi:type="dcterms:W3CDTF">2013-06-21T06:56:00Z</dcterms:created>
  <dcterms:modified xsi:type="dcterms:W3CDTF">2023-07-20T05:28:00Z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