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摩根核心精选股票型证券投资基金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报告送出日期：二〇二三年十月二十五日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9A4BCA" w:rsidRDefault="00CC6CF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9A4BCA" w:rsidRDefault="00CC6CF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9A4BCA" w:rsidRDefault="00CC6CF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9A4BCA" w:rsidRDefault="00CC6CF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9A4BCA" w:rsidRDefault="00CC6CF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摩根核心精选股票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005983</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11</w:t>
            </w:r>
            <w:r w:rsidRPr="00B27A29">
              <w:rPr>
                <w:rFonts w:eastAsiaTheme="minorEastAsia"/>
                <w:color w:val="000000" w:themeColor="text1"/>
                <w:kern w:val="0"/>
                <w:szCs w:val="21"/>
              </w:rPr>
              <w:t>月</w:t>
            </w:r>
            <w:r w:rsidRPr="00B27A29">
              <w:rPr>
                <w:rFonts w:eastAsiaTheme="minorEastAsia"/>
                <w:color w:val="000000" w:themeColor="text1"/>
                <w:kern w:val="0"/>
                <w:szCs w:val="21"/>
              </w:rPr>
              <w:t>29</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193,415,875.22</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本基金将充分利用基金管理人投研团队的集体智慧，精选具有长期增长潜力的上市公司，力争获取超越业绩基准的收益。</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9A4BCA" w:rsidRDefault="00CC6CF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9A4BCA" w:rsidRDefault="00CC6CF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确定合适的资产配置比例。本基金将根据各类证券的风险收益特征的相对变化，适度的调整确定基金资产在股票、债券及现金等</w:t>
            </w:r>
            <w:r>
              <w:rPr>
                <w:rFonts w:eastAsiaTheme="minorEastAsia"/>
                <w:color w:val="000000" w:themeColor="text1"/>
                <w:kern w:val="0"/>
                <w:szCs w:val="21"/>
              </w:rPr>
              <w:lastRenderedPageBreak/>
              <w:t>类别资产间的分配比例，动态优化投资组合。</w:t>
            </w:r>
          </w:p>
          <w:p w:rsidR="009A4BCA" w:rsidRDefault="00CC6CF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9A4BCA" w:rsidRDefault="00CC6CF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本基金将充分发挥基金管理人的研究优势，将严谨、规范的选股方法与积极主动的投资风格相结和，通过</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的个股精选策略，精选公司治理良好且具有较好成长性的公司，分享其发展和成长机会。</w:t>
            </w:r>
          </w:p>
          <w:p w:rsidR="009A4BCA" w:rsidRDefault="00CC6CF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的股票投资包含核心股票和精选股票两个层面。核心股票由公司内部研究组合构成，主要包含了研究部推荐股票，是研究员在对个股进行深度研究和实地调研基础上提出的投资建议。精选股票是指基金经理基于对宏观经济、政策走向、行业发展以及个股的深入研究与把握，从核心股票中精选具有良好投资价值的股票，构建股票投资组合。</w:t>
            </w:r>
          </w:p>
          <w:p w:rsidR="009A4BCA" w:rsidRDefault="00CC6CF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、债券投资策略</w:t>
            </w:r>
          </w:p>
          <w:p w:rsidR="009A4BCA" w:rsidRDefault="00CC6CF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、其他投资策略：包括股指期货投资策略、资产支持证券投资策略、股票期权投资策略、存托凭证投资策略。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 xml:space="preserve">800 </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本基金属于股票型基金产品，预期风险和收益水平高于混合型基金、债券型基金和货币市场基金。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lastRenderedPageBreak/>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005983</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014937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185,425,584.14</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7,990,291.08</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-27,315,447.39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-1,026,072.68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-73,865,485.99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-2,686,219.76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-0.3945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-0.3774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231,759,653.94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9,890,745.06</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1.2499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1.2378</w:t>
            </w:r>
          </w:p>
        </w:tc>
      </w:tr>
    </w:tbl>
    <w:p w:rsidR="009A4BCA" w:rsidRDefault="00CC6CF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摩根核心精选股票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9A4BCA">
        <w:tc>
          <w:tcPr>
            <w:tcW w:w="1290" w:type="dxa"/>
            <w:vAlign w:val="center"/>
          </w:tcPr>
          <w:p w:rsidR="009A4BCA" w:rsidRDefault="00CC6CF7">
            <w:pPr>
              <w:jc w:val="left"/>
            </w:pPr>
            <w:r>
              <w:rPr>
                <w:rFonts w:eastAsiaTheme="minorEastAsia"/>
                <w:color w:val="000000" w:themeColor="text1"/>
                <w:szCs w:val="21"/>
              </w:rPr>
              <w:t>过去三个月</w:t>
            </w:r>
          </w:p>
        </w:tc>
        <w:tc>
          <w:tcPr>
            <w:tcW w:w="1291" w:type="dxa"/>
            <w:vAlign w:val="center"/>
          </w:tcPr>
          <w:p w:rsidR="009A4BCA" w:rsidRDefault="00CC6CF7">
            <w:pPr>
              <w:jc w:val="right"/>
            </w:pPr>
            <w:r>
              <w:rPr>
                <w:rFonts w:eastAsiaTheme="minorEastAsia"/>
                <w:color w:val="000000" w:themeColor="text1"/>
                <w:szCs w:val="21"/>
              </w:rPr>
              <w:t>-23.94%</w:t>
            </w:r>
          </w:p>
        </w:tc>
        <w:tc>
          <w:tcPr>
            <w:tcW w:w="1291" w:type="dxa"/>
            <w:vAlign w:val="center"/>
          </w:tcPr>
          <w:p w:rsidR="009A4BCA" w:rsidRDefault="00CC6CF7">
            <w:pPr>
              <w:jc w:val="right"/>
            </w:pPr>
            <w:r>
              <w:rPr>
                <w:rFonts w:eastAsiaTheme="minorEastAsia"/>
                <w:color w:val="000000" w:themeColor="text1"/>
                <w:szCs w:val="21"/>
              </w:rPr>
              <w:t>1.26%</w:t>
            </w:r>
          </w:p>
        </w:tc>
        <w:tc>
          <w:tcPr>
            <w:tcW w:w="1291" w:type="dxa"/>
            <w:vAlign w:val="center"/>
          </w:tcPr>
          <w:p w:rsidR="009A4BCA" w:rsidRDefault="00CC6CF7">
            <w:pPr>
              <w:jc w:val="right"/>
            </w:pPr>
            <w:r>
              <w:rPr>
                <w:rFonts w:eastAsiaTheme="minorEastAsia"/>
                <w:color w:val="000000" w:themeColor="text1"/>
                <w:szCs w:val="21"/>
              </w:rPr>
              <w:t>-3.65%</w:t>
            </w:r>
          </w:p>
        </w:tc>
        <w:tc>
          <w:tcPr>
            <w:tcW w:w="1291" w:type="dxa"/>
            <w:vAlign w:val="center"/>
          </w:tcPr>
          <w:p w:rsidR="009A4BCA" w:rsidRDefault="00CC6CF7">
            <w:pPr>
              <w:jc w:val="right"/>
            </w:pPr>
            <w:r>
              <w:rPr>
                <w:rFonts w:eastAsiaTheme="minorEastAsia"/>
                <w:color w:val="000000" w:themeColor="text1"/>
                <w:szCs w:val="21"/>
              </w:rPr>
              <w:t>0.74%</w:t>
            </w:r>
          </w:p>
        </w:tc>
        <w:tc>
          <w:tcPr>
            <w:tcW w:w="1291" w:type="dxa"/>
            <w:vAlign w:val="center"/>
          </w:tcPr>
          <w:p w:rsidR="009A4BCA" w:rsidRDefault="00CC6CF7">
            <w:pPr>
              <w:jc w:val="right"/>
            </w:pPr>
            <w:r>
              <w:rPr>
                <w:rFonts w:eastAsiaTheme="minorEastAsia"/>
                <w:color w:val="000000" w:themeColor="text1"/>
                <w:szCs w:val="21"/>
              </w:rPr>
              <w:t>-20.29%</w:t>
            </w:r>
          </w:p>
        </w:tc>
        <w:tc>
          <w:tcPr>
            <w:tcW w:w="1291" w:type="dxa"/>
            <w:vAlign w:val="center"/>
          </w:tcPr>
          <w:p w:rsidR="009A4BCA" w:rsidRDefault="00CC6CF7">
            <w:pPr>
              <w:jc w:val="right"/>
            </w:pPr>
            <w:r>
              <w:rPr>
                <w:rFonts w:eastAsiaTheme="minorEastAsia"/>
                <w:color w:val="000000" w:themeColor="text1"/>
                <w:szCs w:val="21"/>
              </w:rPr>
              <w:t>0.52%</w:t>
            </w:r>
          </w:p>
        </w:tc>
      </w:tr>
      <w:tr w:rsidR="009A4BCA">
        <w:tc>
          <w:tcPr>
            <w:tcW w:w="1290" w:type="dxa"/>
            <w:vAlign w:val="center"/>
          </w:tcPr>
          <w:p w:rsidR="009A4BCA" w:rsidRDefault="00CC6CF7">
            <w:pPr>
              <w:jc w:val="left"/>
            </w:pPr>
            <w:r>
              <w:rPr>
                <w:rFonts w:eastAsiaTheme="minorEastAsia"/>
                <w:color w:val="000000" w:themeColor="text1"/>
                <w:szCs w:val="21"/>
              </w:rPr>
              <w:t>过去六个月</w:t>
            </w:r>
          </w:p>
        </w:tc>
        <w:tc>
          <w:tcPr>
            <w:tcW w:w="1291" w:type="dxa"/>
            <w:vAlign w:val="center"/>
          </w:tcPr>
          <w:p w:rsidR="009A4BCA" w:rsidRDefault="00CC6CF7">
            <w:pPr>
              <w:jc w:val="right"/>
            </w:pPr>
            <w:r>
              <w:rPr>
                <w:rFonts w:eastAsiaTheme="minorEastAsia"/>
                <w:color w:val="000000" w:themeColor="text1"/>
                <w:szCs w:val="21"/>
              </w:rPr>
              <w:t>-23.68%</w:t>
            </w:r>
          </w:p>
        </w:tc>
        <w:tc>
          <w:tcPr>
            <w:tcW w:w="1291" w:type="dxa"/>
            <w:vAlign w:val="center"/>
          </w:tcPr>
          <w:p w:rsidR="009A4BCA" w:rsidRDefault="00CC6CF7">
            <w:pPr>
              <w:jc w:val="right"/>
            </w:pPr>
            <w:r>
              <w:rPr>
                <w:rFonts w:eastAsiaTheme="minorEastAsia"/>
                <w:color w:val="000000" w:themeColor="text1"/>
                <w:szCs w:val="21"/>
              </w:rPr>
              <w:t>1.57%</w:t>
            </w:r>
          </w:p>
        </w:tc>
        <w:tc>
          <w:tcPr>
            <w:tcW w:w="1291" w:type="dxa"/>
            <w:vAlign w:val="center"/>
          </w:tcPr>
          <w:p w:rsidR="009A4BCA" w:rsidRDefault="00CC6CF7">
            <w:pPr>
              <w:jc w:val="right"/>
            </w:pPr>
            <w:r>
              <w:rPr>
                <w:rFonts w:eastAsiaTheme="minorEastAsia"/>
                <w:color w:val="000000" w:themeColor="text1"/>
                <w:szCs w:val="21"/>
              </w:rPr>
              <w:t>-7.73%</w:t>
            </w:r>
          </w:p>
        </w:tc>
        <w:tc>
          <w:tcPr>
            <w:tcW w:w="1291" w:type="dxa"/>
            <w:vAlign w:val="center"/>
          </w:tcPr>
          <w:p w:rsidR="009A4BCA" w:rsidRDefault="00CC6CF7">
            <w:pPr>
              <w:jc w:val="right"/>
            </w:pPr>
            <w:r>
              <w:rPr>
                <w:rFonts w:eastAsiaTheme="minorEastAsia"/>
                <w:color w:val="000000" w:themeColor="text1"/>
                <w:szCs w:val="21"/>
              </w:rPr>
              <w:t>0.71%</w:t>
            </w:r>
          </w:p>
        </w:tc>
        <w:tc>
          <w:tcPr>
            <w:tcW w:w="1291" w:type="dxa"/>
            <w:vAlign w:val="center"/>
          </w:tcPr>
          <w:p w:rsidR="009A4BCA" w:rsidRDefault="00CC6CF7">
            <w:pPr>
              <w:jc w:val="right"/>
            </w:pPr>
            <w:r>
              <w:rPr>
                <w:rFonts w:eastAsiaTheme="minorEastAsia"/>
                <w:color w:val="000000" w:themeColor="text1"/>
                <w:szCs w:val="21"/>
              </w:rPr>
              <w:t>-15.95%</w:t>
            </w:r>
          </w:p>
        </w:tc>
        <w:tc>
          <w:tcPr>
            <w:tcW w:w="1291" w:type="dxa"/>
            <w:vAlign w:val="center"/>
          </w:tcPr>
          <w:p w:rsidR="009A4BCA" w:rsidRDefault="00CC6CF7">
            <w:pPr>
              <w:jc w:val="right"/>
            </w:pPr>
            <w:r>
              <w:rPr>
                <w:rFonts w:eastAsiaTheme="minorEastAsia"/>
                <w:color w:val="000000" w:themeColor="text1"/>
                <w:szCs w:val="21"/>
              </w:rPr>
              <w:t>0.86%</w:t>
            </w:r>
          </w:p>
        </w:tc>
      </w:tr>
      <w:tr w:rsidR="009A4BCA">
        <w:tc>
          <w:tcPr>
            <w:tcW w:w="1290" w:type="dxa"/>
            <w:vAlign w:val="center"/>
          </w:tcPr>
          <w:p w:rsidR="009A4BCA" w:rsidRDefault="00CC6CF7">
            <w:pPr>
              <w:jc w:val="left"/>
            </w:pPr>
            <w:r>
              <w:rPr>
                <w:rFonts w:eastAsiaTheme="minorEastAsia"/>
                <w:color w:val="000000" w:themeColor="text1"/>
                <w:szCs w:val="21"/>
              </w:rPr>
              <w:t>过去一年</w:t>
            </w:r>
          </w:p>
        </w:tc>
        <w:tc>
          <w:tcPr>
            <w:tcW w:w="1291" w:type="dxa"/>
            <w:vAlign w:val="center"/>
          </w:tcPr>
          <w:p w:rsidR="009A4BCA" w:rsidRDefault="00CC6CF7">
            <w:pPr>
              <w:jc w:val="right"/>
            </w:pPr>
            <w:r>
              <w:rPr>
                <w:rFonts w:eastAsiaTheme="minorEastAsia"/>
                <w:color w:val="000000" w:themeColor="text1"/>
                <w:szCs w:val="21"/>
              </w:rPr>
              <w:t>-38.99%</w:t>
            </w:r>
          </w:p>
        </w:tc>
        <w:tc>
          <w:tcPr>
            <w:tcW w:w="1291" w:type="dxa"/>
            <w:vAlign w:val="center"/>
          </w:tcPr>
          <w:p w:rsidR="009A4BCA" w:rsidRDefault="00CC6CF7">
            <w:pPr>
              <w:jc w:val="right"/>
            </w:pPr>
            <w:r>
              <w:rPr>
                <w:rFonts w:eastAsiaTheme="minorEastAsia"/>
                <w:color w:val="000000" w:themeColor="text1"/>
                <w:szCs w:val="21"/>
              </w:rPr>
              <w:t>1.71%</w:t>
            </w:r>
          </w:p>
        </w:tc>
        <w:tc>
          <w:tcPr>
            <w:tcW w:w="1291" w:type="dxa"/>
            <w:vAlign w:val="center"/>
          </w:tcPr>
          <w:p w:rsidR="009A4BCA" w:rsidRDefault="00CC6CF7">
            <w:pPr>
              <w:jc w:val="right"/>
            </w:pPr>
            <w:r>
              <w:rPr>
                <w:rFonts w:eastAsiaTheme="minorEastAsia"/>
                <w:color w:val="000000" w:themeColor="text1"/>
                <w:szCs w:val="21"/>
              </w:rPr>
              <w:t>-1.97%</w:t>
            </w:r>
          </w:p>
        </w:tc>
        <w:tc>
          <w:tcPr>
            <w:tcW w:w="1291" w:type="dxa"/>
            <w:vAlign w:val="center"/>
          </w:tcPr>
          <w:p w:rsidR="009A4BCA" w:rsidRDefault="00CC6CF7">
            <w:pPr>
              <w:jc w:val="right"/>
            </w:pPr>
            <w:r>
              <w:rPr>
                <w:rFonts w:eastAsiaTheme="minorEastAsia"/>
                <w:color w:val="000000" w:themeColor="text1"/>
                <w:szCs w:val="21"/>
              </w:rPr>
              <w:t>0.79%</w:t>
            </w:r>
          </w:p>
        </w:tc>
        <w:tc>
          <w:tcPr>
            <w:tcW w:w="1291" w:type="dxa"/>
            <w:vAlign w:val="center"/>
          </w:tcPr>
          <w:p w:rsidR="009A4BCA" w:rsidRDefault="00CC6CF7">
            <w:pPr>
              <w:jc w:val="right"/>
            </w:pPr>
            <w:r>
              <w:rPr>
                <w:rFonts w:eastAsiaTheme="minorEastAsia"/>
                <w:color w:val="000000" w:themeColor="text1"/>
                <w:szCs w:val="21"/>
              </w:rPr>
              <w:t>-37.02%</w:t>
            </w:r>
          </w:p>
        </w:tc>
        <w:tc>
          <w:tcPr>
            <w:tcW w:w="1291" w:type="dxa"/>
            <w:vAlign w:val="center"/>
          </w:tcPr>
          <w:p w:rsidR="009A4BCA" w:rsidRDefault="00CC6CF7">
            <w:pPr>
              <w:jc w:val="right"/>
            </w:pPr>
            <w:r>
              <w:rPr>
                <w:rFonts w:eastAsiaTheme="minorEastAsia"/>
                <w:color w:val="000000" w:themeColor="text1"/>
                <w:szCs w:val="21"/>
              </w:rPr>
              <w:t>0.92%</w:t>
            </w:r>
          </w:p>
        </w:tc>
      </w:tr>
      <w:tr w:rsidR="009A4BCA">
        <w:tc>
          <w:tcPr>
            <w:tcW w:w="1290" w:type="dxa"/>
            <w:vAlign w:val="center"/>
          </w:tcPr>
          <w:p w:rsidR="009A4BCA" w:rsidRDefault="00CC6CF7">
            <w:pPr>
              <w:jc w:val="left"/>
            </w:pPr>
            <w:r>
              <w:rPr>
                <w:rFonts w:eastAsiaTheme="minorEastAsia"/>
                <w:color w:val="000000" w:themeColor="text1"/>
                <w:szCs w:val="21"/>
              </w:rPr>
              <w:t>过去三年</w:t>
            </w:r>
          </w:p>
        </w:tc>
        <w:tc>
          <w:tcPr>
            <w:tcW w:w="1291" w:type="dxa"/>
            <w:vAlign w:val="center"/>
          </w:tcPr>
          <w:p w:rsidR="009A4BCA" w:rsidRDefault="00CC6CF7">
            <w:pPr>
              <w:jc w:val="right"/>
            </w:pPr>
            <w:r>
              <w:rPr>
                <w:rFonts w:eastAsiaTheme="minorEastAsia"/>
                <w:color w:val="000000" w:themeColor="text1"/>
                <w:szCs w:val="21"/>
              </w:rPr>
              <w:t>-32.82%</w:t>
            </w:r>
          </w:p>
        </w:tc>
        <w:tc>
          <w:tcPr>
            <w:tcW w:w="1291" w:type="dxa"/>
            <w:vAlign w:val="center"/>
          </w:tcPr>
          <w:p w:rsidR="009A4BCA" w:rsidRDefault="00CC6CF7">
            <w:pPr>
              <w:jc w:val="right"/>
            </w:pPr>
            <w:r>
              <w:rPr>
                <w:rFonts w:eastAsiaTheme="minorEastAsia"/>
                <w:color w:val="000000" w:themeColor="text1"/>
                <w:szCs w:val="21"/>
              </w:rPr>
              <w:t>1.87%</w:t>
            </w:r>
          </w:p>
        </w:tc>
        <w:tc>
          <w:tcPr>
            <w:tcW w:w="1291" w:type="dxa"/>
            <w:vAlign w:val="center"/>
          </w:tcPr>
          <w:p w:rsidR="009A4BCA" w:rsidRDefault="00CC6CF7">
            <w:pPr>
              <w:jc w:val="right"/>
            </w:pPr>
            <w:r>
              <w:rPr>
                <w:rFonts w:eastAsiaTheme="minorEastAsia"/>
                <w:color w:val="000000" w:themeColor="text1"/>
                <w:szCs w:val="21"/>
              </w:rPr>
              <w:t>-13.81%</w:t>
            </w:r>
          </w:p>
        </w:tc>
        <w:tc>
          <w:tcPr>
            <w:tcW w:w="1291" w:type="dxa"/>
            <w:vAlign w:val="center"/>
          </w:tcPr>
          <w:p w:rsidR="009A4BCA" w:rsidRDefault="00CC6CF7">
            <w:pPr>
              <w:jc w:val="right"/>
            </w:pPr>
            <w:r>
              <w:rPr>
                <w:rFonts w:eastAsiaTheme="minorEastAsia"/>
                <w:color w:val="000000" w:themeColor="text1"/>
                <w:szCs w:val="21"/>
              </w:rPr>
              <w:t>0.92%</w:t>
            </w:r>
          </w:p>
        </w:tc>
        <w:tc>
          <w:tcPr>
            <w:tcW w:w="1291" w:type="dxa"/>
            <w:vAlign w:val="center"/>
          </w:tcPr>
          <w:p w:rsidR="009A4BCA" w:rsidRDefault="00CC6CF7">
            <w:pPr>
              <w:jc w:val="right"/>
            </w:pPr>
            <w:r>
              <w:rPr>
                <w:rFonts w:eastAsiaTheme="minorEastAsia"/>
                <w:color w:val="000000" w:themeColor="text1"/>
                <w:szCs w:val="21"/>
              </w:rPr>
              <w:t>-19.01%</w:t>
            </w:r>
          </w:p>
        </w:tc>
        <w:tc>
          <w:tcPr>
            <w:tcW w:w="1291" w:type="dxa"/>
            <w:vAlign w:val="center"/>
          </w:tcPr>
          <w:p w:rsidR="009A4BCA" w:rsidRDefault="00CC6CF7">
            <w:pPr>
              <w:jc w:val="right"/>
            </w:pPr>
            <w:r>
              <w:rPr>
                <w:rFonts w:eastAsiaTheme="minorEastAsia"/>
                <w:color w:val="000000" w:themeColor="text1"/>
                <w:szCs w:val="21"/>
              </w:rPr>
              <w:t>0.95%</w:t>
            </w:r>
          </w:p>
        </w:tc>
      </w:tr>
      <w:tr w:rsidR="009A4BCA">
        <w:tc>
          <w:tcPr>
            <w:tcW w:w="1290" w:type="dxa"/>
            <w:vAlign w:val="center"/>
          </w:tcPr>
          <w:p w:rsidR="009A4BCA" w:rsidRDefault="00CC6CF7">
            <w:pPr>
              <w:jc w:val="left"/>
            </w:pPr>
            <w:r>
              <w:rPr>
                <w:rFonts w:eastAsiaTheme="minorEastAsia"/>
                <w:color w:val="000000" w:themeColor="text1"/>
                <w:szCs w:val="21"/>
              </w:rPr>
              <w:lastRenderedPageBreak/>
              <w:t>过去五年</w:t>
            </w:r>
          </w:p>
        </w:tc>
        <w:tc>
          <w:tcPr>
            <w:tcW w:w="1291" w:type="dxa"/>
            <w:vAlign w:val="center"/>
          </w:tcPr>
          <w:p w:rsidR="009A4BCA" w:rsidRDefault="00CC6CF7">
            <w:pPr>
              <w:jc w:val="right"/>
            </w:pPr>
            <w:r>
              <w:rPr>
                <w:rFonts w:eastAsiaTheme="minorEastAsia"/>
                <w:color w:val="000000" w:themeColor="text1"/>
                <w:szCs w:val="21"/>
              </w:rPr>
              <w:t>-</w:t>
            </w:r>
          </w:p>
        </w:tc>
        <w:tc>
          <w:tcPr>
            <w:tcW w:w="1291" w:type="dxa"/>
            <w:vAlign w:val="center"/>
          </w:tcPr>
          <w:p w:rsidR="009A4BCA" w:rsidRDefault="00CC6CF7">
            <w:pPr>
              <w:jc w:val="right"/>
            </w:pPr>
            <w:r>
              <w:rPr>
                <w:rFonts w:eastAsiaTheme="minorEastAsia"/>
                <w:color w:val="000000" w:themeColor="text1"/>
                <w:szCs w:val="21"/>
              </w:rPr>
              <w:t>-</w:t>
            </w:r>
          </w:p>
        </w:tc>
        <w:tc>
          <w:tcPr>
            <w:tcW w:w="1291" w:type="dxa"/>
            <w:vAlign w:val="center"/>
          </w:tcPr>
          <w:p w:rsidR="009A4BCA" w:rsidRDefault="00CC6CF7">
            <w:pPr>
              <w:jc w:val="right"/>
            </w:pPr>
            <w:r>
              <w:rPr>
                <w:rFonts w:eastAsiaTheme="minorEastAsia"/>
                <w:color w:val="000000" w:themeColor="text1"/>
                <w:szCs w:val="21"/>
              </w:rPr>
              <w:t>-</w:t>
            </w:r>
          </w:p>
        </w:tc>
        <w:tc>
          <w:tcPr>
            <w:tcW w:w="1291" w:type="dxa"/>
            <w:vAlign w:val="center"/>
          </w:tcPr>
          <w:p w:rsidR="009A4BCA" w:rsidRDefault="00CC6CF7">
            <w:pPr>
              <w:jc w:val="right"/>
            </w:pPr>
            <w:r>
              <w:rPr>
                <w:rFonts w:eastAsiaTheme="minorEastAsia"/>
                <w:color w:val="000000" w:themeColor="text1"/>
                <w:szCs w:val="21"/>
              </w:rPr>
              <w:t>-</w:t>
            </w:r>
          </w:p>
        </w:tc>
        <w:tc>
          <w:tcPr>
            <w:tcW w:w="1291" w:type="dxa"/>
            <w:vAlign w:val="center"/>
          </w:tcPr>
          <w:p w:rsidR="009A4BCA" w:rsidRDefault="00CC6CF7">
            <w:pPr>
              <w:jc w:val="right"/>
            </w:pPr>
            <w:r>
              <w:rPr>
                <w:rFonts w:eastAsiaTheme="minorEastAsia"/>
                <w:color w:val="000000" w:themeColor="text1"/>
                <w:szCs w:val="21"/>
              </w:rPr>
              <w:t>-</w:t>
            </w:r>
          </w:p>
        </w:tc>
        <w:tc>
          <w:tcPr>
            <w:tcW w:w="1291" w:type="dxa"/>
            <w:vAlign w:val="center"/>
          </w:tcPr>
          <w:p w:rsidR="009A4BCA" w:rsidRDefault="00CC6CF7">
            <w:pPr>
              <w:jc w:val="right"/>
            </w:pPr>
            <w:r>
              <w:rPr>
                <w:rFonts w:eastAsiaTheme="minorEastAsia"/>
                <w:color w:val="000000" w:themeColor="text1"/>
                <w:szCs w:val="21"/>
              </w:rPr>
              <w:t>-</w:t>
            </w:r>
          </w:p>
        </w:tc>
      </w:tr>
      <w:tr w:rsidR="009A4BCA">
        <w:tc>
          <w:tcPr>
            <w:tcW w:w="1290" w:type="dxa"/>
            <w:vAlign w:val="center"/>
          </w:tcPr>
          <w:p w:rsidR="009A4BCA" w:rsidRDefault="00CC6CF7">
            <w:pPr>
              <w:jc w:val="left"/>
            </w:pPr>
            <w:r>
              <w:rPr>
                <w:rFonts w:eastAsiaTheme="minorEastAsia"/>
                <w:color w:val="000000" w:themeColor="text1"/>
                <w:szCs w:val="21"/>
              </w:rPr>
              <w:t>自基金合同生效起至今</w:t>
            </w:r>
          </w:p>
        </w:tc>
        <w:tc>
          <w:tcPr>
            <w:tcW w:w="1291" w:type="dxa"/>
            <w:vAlign w:val="center"/>
          </w:tcPr>
          <w:p w:rsidR="009A4BCA" w:rsidRDefault="00CC6CF7">
            <w:pPr>
              <w:jc w:val="right"/>
            </w:pPr>
            <w:r>
              <w:rPr>
                <w:rFonts w:eastAsiaTheme="minorEastAsia"/>
                <w:color w:val="000000" w:themeColor="text1"/>
                <w:szCs w:val="21"/>
              </w:rPr>
              <w:t>24.99%</w:t>
            </w:r>
          </w:p>
        </w:tc>
        <w:tc>
          <w:tcPr>
            <w:tcW w:w="1291" w:type="dxa"/>
            <w:vAlign w:val="center"/>
          </w:tcPr>
          <w:p w:rsidR="009A4BCA" w:rsidRDefault="00CC6CF7">
            <w:pPr>
              <w:jc w:val="right"/>
            </w:pPr>
            <w:r>
              <w:rPr>
                <w:rFonts w:eastAsiaTheme="minorEastAsia"/>
                <w:color w:val="000000" w:themeColor="text1"/>
                <w:szCs w:val="21"/>
              </w:rPr>
              <w:t>1.64%</w:t>
            </w:r>
          </w:p>
        </w:tc>
        <w:tc>
          <w:tcPr>
            <w:tcW w:w="1291" w:type="dxa"/>
            <w:vAlign w:val="center"/>
          </w:tcPr>
          <w:p w:rsidR="009A4BCA" w:rsidRDefault="00CC6CF7">
            <w:pPr>
              <w:jc w:val="right"/>
            </w:pPr>
            <w:r>
              <w:rPr>
                <w:rFonts w:eastAsiaTheme="minorEastAsia"/>
                <w:color w:val="000000" w:themeColor="text1"/>
                <w:szCs w:val="21"/>
              </w:rPr>
              <w:t>16.83%</w:t>
            </w:r>
          </w:p>
        </w:tc>
        <w:tc>
          <w:tcPr>
            <w:tcW w:w="1291" w:type="dxa"/>
            <w:vAlign w:val="center"/>
          </w:tcPr>
          <w:p w:rsidR="009A4BCA" w:rsidRDefault="00CC6CF7">
            <w:pPr>
              <w:jc w:val="right"/>
            </w:pPr>
            <w:r>
              <w:rPr>
                <w:rFonts w:eastAsiaTheme="minorEastAsia"/>
                <w:color w:val="000000" w:themeColor="text1"/>
                <w:szCs w:val="21"/>
              </w:rPr>
              <w:t>1.03%</w:t>
            </w:r>
          </w:p>
        </w:tc>
        <w:tc>
          <w:tcPr>
            <w:tcW w:w="1291" w:type="dxa"/>
            <w:vAlign w:val="center"/>
          </w:tcPr>
          <w:p w:rsidR="009A4BCA" w:rsidRDefault="00CC6CF7">
            <w:pPr>
              <w:jc w:val="right"/>
            </w:pPr>
            <w:r>
              <w:rPr>
                <w:rFonts w:eastAsiaTheme="minorEastAsia"/>
                <w:color w:val="000000" w:themeColor="text1"/>
                <w:szCs w:val="21"/>
              </w:rPr>
              <w:t>8.16%</w:t>
            </w:r>
          </w:p>
        </w:tc>
        <w:tc>
          <w:tcPr>
            <w:tcW w:w="1291" w:type="dxa"/>
            <w:vAlign w:val="center"/>
          </w:tcPr>
          <w:p w:rsidR="009A4BCA" w:rsidRDefault="00CC6CF7">
            <w:pPr>
              <w:jc w:val="right"/>
            </w:pPr>
            <w:r>
              <w:rPr>
                <w:rFonts w:eastAsiaTheme="minorEastAsia"/>
                <w:color w:val="000000" w:themeColor="text1"/>
                <w:szCs w:val="21"/>
              </w:rPr>
              <w:t>0.61%</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摩根核心精选股票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9A4BCA">
        <w:tc>
          <w:tcPr>
            <w:tcW w:w="1290" w:type="dxa"/>
            <w:vAlign w:val="center"/>
          </w:tcPr>
          <w:p w:rsidR="009A4BCA" w:rsidRDefault="00CC6CF7">
            <w:pPr>
              <w:jc w:val="left"/>
            </w:pPr>
            <w:r>
              <w:rPr>
                <w:rFonts w:eastAsiaTheme="minorEastAsia"/>
                <w:color w:val="000000" w:themeColor="text1"/>
                <w:szCs w:val="21"/>
              </w:rPr>
              <w:t>过去三个月</w:t>
            </w:r>
          </w:p>
        </w:tc>
        <w:tc>
          <w:tcPr>
            <w:tcW w:w="1291" w:type="dxa"/>
            <w:vAlign w:val="center"/>
          </w:tcPr>
          <w:p w:rsidR="009A4BCA" w:rsidRDefault="00CC6CF7">
            <w:pPr>
              <w:jc w:val="right"/>
            </w:pPr>
            <w:r>
              <w:rPr>
                <w:rFonts w:eastAsiaTheme="minorEastAsia"/>
                <w:color w:val="000000" w:themeColor="text1"/>
                <w:szCs w:val="21"/>
              </w:rPr>
              <w:t>-24.05%</w:t>
            </w:r>
          </w:p>
        </w:tc>
        <w:tc>
          <w:tcPr>
            <w:tcW w:w="1291" w:type="dxa"/>
            <w:vAlign w:val="center"/>
          </w:tcPr>
          <w:p w:rsidR="009A4BCA" w:rsidRDefault="00CC6CF7">
            <w:pPr>
              <w:jc w:val="right"/>
            </w:pPr>
            <w:r>
              <w:rPr>
                <w:rFonts w:eastAsiaTheme="minorEastAsia"/>
                <w:color w:val="000000" w:themeColor="text1"/>
                <w:szCs w:val="21"/>
              </w:rPr>
              <w:t>1.26%</w:t>
            </w:r>
          </w:p>
        </w:tc>
        <w:tc>
          <w:tcPr>
            <w:tcW w:w="1291" w:type="dxa"/>
            <w:vAlign w:val="center"/>
          </w:tcPr>
          <w:p w:rsidR="009A4BCA" w:rsidRDefault="00CC6CF7">
            <w:pPr>
              <w:jc w:val="right"/>
            </w:pPr>
            <w:r>
              <w:rPr>
                <w:rFonts w:eastAsiaTheme="minorEastAsia"/>
                <w:color w:val="000000" w:themeColor="text1"/>
                <w:szCs w:val="21"/>
              </w:rPr>
              <w:t>-3.65%</w:t>
            </w:r>
          </w:p>
        </w:tc>
        <w:tc>
          <w:tcPr>
            <w:tcW w:w="1291" w:type="dxa"/>
            <w:vAlign w:val="center"/>
          </w:tcPr>
          <w:p w:rsidR="009A4BCA" w:rsidRDefault="00CC6CF7">
            <w:pPr>
              <w:jc w:val="right"/>
            </w:pPr>
            <w:r>
              <w:rPr>
                <w:rFonts w:eastAsiaTheme="minorEastAsia"/>
                <w:color w:val="000000" w:themeColor="text1"/>
                <w:szCs w:val="21"/>
              </w:rPr>
              <w:t>0.74%</w:t>
            </w:r>
          </w:p>
        </w:tc>
        <w:tc>
          <w:tcPr>
            <w:tcW w:w="1291" w:type="dxa"/>
            <w:vAlign w:val="center"/>
          </w:tcPr>
          <w:p w:rsidR="009A4BCA" w:rsidRDefault="00CC6CF7">
            <w:pPr>
              <w:jc w:val="right"/>
            </w:pPr>
            <w:r>
              <w:rPr>
                <w:rFonts w:eastAsiaTheme="minorEastAsia"/>
                <w:color w:val="000000" w:themeColor="text1"/>
                <w:szCs w:val="21"/>
              </w:rPr>
              <w:t>-20.40%</w:t>
            </w:r>
          </w:p>
        </w:tc>
        <w:tc>
          <w:tcPr>
            <w:tcW w:w="1291" w:type="dxa"/>
            <w:vAlign w:val="center"/>
          </w:tcPr>
          <w:p w:rsidR="009A4BCA" w:rsidRDefault="00CC6CF7">
            <w:pPr>
              <w:jc w:val="right"/>
            </w:pPr>
            <w:r>
              <w:rPr>
                <w:rFonts w:eastAsiaTheme="minorEastAsia"/>
                <w:color w:val="000000" w:themeColor="text1"/>
                <w:szCs w:val="21"/>
              </w:rPr>
              <w:t>0.52%</w:t>
            </w:r>
          </w:p>
        </w:tc>
      </w:tr>
      <w:tr w:rsidR="009A4BCA">
        <w:tc>
          <w:tcPr>
            <w:tcW w:w="1290" w:type="dxa"/>
            <w:vAlign w:val="center"/>
          </w:tcPr>
          <w:p w:rsidR="009A4BCA" w:rsidRDefault="00CC6CF7">
            <w:pPr>
              <w:jc w:val="left"/>
            </w:pPr>
            <w:r>
              <w:rPr>
                <w:rFonts w:eastAsiaTheme="minorEastAsia"/>
                <w:color w:val="000000" w:themeColor="text1"/>
                <w:szCs w:val="21"/>
              </w:rPr>
              <w:t>过去六个月</w:t>
            </w:r>
          </w:p>
        </w:tc>
        <w:tc>
          <w:tcPr>
            <w:tcW w:w="1291" w:type="dxa"/>
            <w:vAlign w:val="center"/>
          </w:tcPr>
          <w:p w:rsidR="009A4BCA" w:rsidRDefault="00CC6CF7">
            <w:pPr>
              <w:jc w:val="right"/>
            </w:pPr>
            <w:r>
              <w:rPr>
                <w:rFonts w:eastAsiaTheme="minorEastAsia"/>
                <w:color w:val="000000" w:themeColor="text1"/>
                <w:szCs w:val="21"/>
              </w:rPr>
              <w:t>-23.91%</w:t>
            </w:r>
          </w:p>
        </w:tc>
        <w:tc>
          <w:tcPr>
            <w:tcW w:w="1291" w:type="dxa"/>
            <w:vAlign w:val="center"/>
          </w:tcPr>
          <w:p w:rsidR="009A4BCA" w:rsidRDefault="00CC6CF7">
            <w:pPr>
              <w:jc w:val="right"/>
            </w:pPr>
            <w:r>
              <w:rPr>
                <w:rFonts w:eastAsiaTheme="minorEastAsia"/>
                <w:color w:val="000000" w:themeColor="text1"/>
                <w:szCs w:val="21"/>
              </w:rPr>
              <w:t>1.57%</w:t>
            </w:r>
          </w:p>
        </w:tc>
        <w:tc>
          <w:tcPr>
            <w:tcW w:w="1291" w:type="dxa"/>
            <w:vAlign w:val="center"/>
          </w:tcPr>
          <w:p w:rsidR="009A4BCA" w:rsidRDefault="00CC6CF7">
            <w:pPr>
              <w:jc w:val="right"/>
            </w:pPr>
            <w:r>
              <w:rPr>
                <w:rFonts w:eastAsiaTheme="minorEastAsia"/>
                <w:color w:val="000000" w:themeColor="text1"/>
                <w:szCs w:val="21"/>
              </w:rPr>
              <w:t>-7.73%</w:t>
            </w:r>
          </w:p>
        </w:tc>
        <w:tc>
          <w:tcPr>
            <w:tcW w:w="1291" w:type="dxa"/>
            <w:vAlign w:val="center"/>
          </w:tcPr>
          <w:p w:rsidR="009A4BCA" w:rsidRDefault="00CC6CF7">
            <w:pPr>
              <w:jc w:val="right"/>
            </w:pPr>
            <w:r>
              <w:rPr>
                <w:rFonts w:eastAsiaTheme="minorEastAsia"/>
                <w:color w:val="000000" w:themeColor="text1"/>
                <w:szCs w:val="21"/>
              </w:rPr>
              <w:t>0.71%</w:t>
            </w:r>
          </w:p>
        </w:tc>
        <w:tc>
          <w:tcPr>
            <w:tcW w:w="1291" w:type="dxa"/>
            <w:vAlign w:val="center"/>
          </w:tcPr>
          <w:p w:rsidR="009A4BCA" w:rsidRDefault="00CC6CF7">
            <w:pPr>
              <w:jc w:val="right"/>
            </w:pPr>
            <w:r>
              <w:rPr>
                <w:rFonts w:eastAsiaTheme="minorEastAsia"/>
                <w:color w:val="000000" w:themeColor="text1"/>
                <w:szCs w:val="21"/>
              </w:rPr>
              <w:t>-16.18%</w:t>
            </w:r>
          </w:p>
        </w:tc>
        <w:tc>
          <w:tcPr>
            <w:tcW w:w="1291" w:type="dxa"/>
            <w:vAlign w:val="center"/>
          </w:tcPr>
          <w:p w:rsidR="009A4BCA" w:rsidRDefault="00CC6CF7">
            <w:pPr>
              <w:jc w:val="right"/>
            </w:pPr>
            <w:r>
              <w:rPr>
                <w:rFonts w:eastAsiaTheme="minorEastAsia"/>
                <w:color w:val="000000" w:themeColor="text1"/>
                <w:szCs w:val="21"/>
              </w:rPr>
              <w:t>0.86%</w:t>
            </w:r>
          </w:p>
        </w:tc>
      </w:tr>
      <w:tr w:rsidR="009A4BCA">
        <w:tc>
          <w:tcPr>
            <w:tcW w:w="1290" w:type="dxa"/>
            <w:vAlign w:val="center"/>
          </w:tcPr>
          <w:p w:rsidR="009A4BCA" w:rsidRDefault="00CC6CF7">
            <w:pPr>
              <w:jc w:val="left"/>
            </w:pPr>
            <w:r>
              <w:rPr>
                <w:rFonts w:eastAsiaTheme="minorEastAsia"/>
                <w:color w:val="000000" w:themeColor="text1"/>
                <w:szCs w:val="21"/>
              </w:rPr>
              <w:t>过去一年</w:t>
            </w:r>
          </w:p>
        </w:tc>
        <w:tc>
          <w:tcPr>
            <w:tcW w:w="1291" w:type="dxa"/>
            <w:vAlign w:val="center"/>
          </w:tcPr>
          <w:p w:rsidR="009A4BCA" w:rsidRDefault="00CC6CF7">
            <w:pPr>
              <w:jc w:val="right"/>
            </w:pPr>
            <w:r>
              <w:rPr>
                <w:rFonts w:eastAsiaTheme="minorEastAsia"/>
                <w:color w:val="000000" w:themeColor="text1"/>
                <w:szCs w:val="21"/>
              </w:rPr>
              <w:t>-39.36%</w:t>
            </w:r>
          </w:p>
        </w:tc>
        <w:tc>
          <w:tcPr>
            <w:tcW w:w="1291" w:type="dxa"/>
            <w:vAlign w:val="center"/>
          </w:tcPr>
          <w:p w:rsidR="009A4BCA" w:rsidRDefault="00CC6CF7">
            <w:pPr>
              <w:jc w:val="right"/>
            </w:pPr>
            <w:r>
              <w:rPr>
                <w:rFonts w:eastAsiaTheme="minorEastAsia"/>
                <w:color w:val="000000" w:themeColor="text1"/>
                <w:szCs w:val="21"/>
              </w:rPr>
              <w:t>1.71%</w:t>
            </w:r>
          </w:p>
        </w:tc>
        <w:tc>
          <w:tcPr>
            <w:tcW w:w="1291" w:type="dxa"/>
            <w:vAlign w:val="center"/>
          </w:tcPr>
          <w:p w:rsidR="009A4BCA" w:rsidRDefault="00CC6CF7">
            <w:pPr>
              <w:jc w:val="right"/>
            </w:pPr>
            <w:r>
              <w:rPr>
                <w:rFonts w:eastAsiaTheme="minorEastAsia"/>
                <w:color w:val="000000" w:themeColor="text1"/>
                <w:szCs w:val="21"/>
              </w:rPr>
              <w:t>-1.97%</w:t>
            </w:r>
          </w:p>
        </w:tc>
        <w:tc>
          <w:tcPr>
            <w:tcW w:w="1291" w:type="dxa"/>
            <w:vAlign w:val="center"/>
          </w:tcPr>
          <w:p w:rsidR="009A4BCA" w:rsidRDefault="00CC6CF7">
            <w:pPr>
              <w:jc w:val="right"/>
            </w:pPr>
            <w:r>
              <w:rPr>
                <w:rFonts w:eastAsiaTheme="minorEastAsia"/>
                <w:color w:val="000000" w:themeColor="text1"/>
                <w:szCs w:val="21"/>
              </w:rPr>
              <w:t>0.79%</w:t>
            </w:r>
          </w:p>
        </w:tc>
        <w:tc>
          <w:tcPr>
            <w:tcW w:w="1291" w:type="dxa"/>
            <w:vAlign w:val="center"/>
          </w:tcPr>
          <w:p w:rsidR="009A4BCA" w:rsidRDefault="00CC6CF7">
            <w:pPr>
              <w:jc w:val="right"/>
            </w:pPr>
            <w:r>
              <w:rPr>
                <w:rFonts w:eastAsiaTheme="minorEastAsia"/>
                <w:color w:val="000000" w:themeColor="text1"/>
                <w:szCs w:val="21"/>
              </w:rPr>
              <w:t>-37.39%</w:t>
            </w:r>
          </w:p>
        </w:tc>
        <w:tc>
          <w:tcPr>
            <w:tcW w:w="1291" w:type="dxa"/>
            <w:vAlign w:val="center"/>
          </w:tcPr>
          <w:p w:rsidR="009A4BCA" w:rsidRDefault="00CC6CF7">
            <w:pPr>
              <w:jc w:val="right"/>
            </w:pPr>
            <w:r>
              <w:rPr>
                <w:rFonts w:eastAsiaTheme="minorEastAsia"/>
                <w:color w:val="000000" w:themeColor="text1"/>
                <w:szCs w:val="21"/>
              </w:rPr>
              <w:t>0.92%</w:t>
            </w:r>
          </w:p>
        </w:tc>
      </w:tr>
      <w:tr w:rsidR="009A4BCA">
        <w:tc>
          <w:tcPr>
            <w:tcW w:w="1290" w:type="dxa"/>
            <w:vAlign w:val="center"/>
          </w:tcPr>
          <w:p w:rsidR="009A4BCA" w:rsidRDefault="00CC6CF7">
            <w:pPr>
              <w:jc w:val="left"/>
            </w:pPr>
            <w:r>
              <w:rPr>
                <w:rFonts w:eastAsiaTheme="minorEastAsia"/>
                <w:color w:val="000000" w:themeColor="text1"/>
                <w:szCs w:val="21"/>
              </w:rPr>
              <w:t>过去三年</w:t>
            </w:r>
          </w:p>
        </w:tc>
        <w:tc>
          <w:tcPr>
            <w:tcW w:w="1291" w:type="dxa"/>
            <w:vAlign w:val="center"/>
          </w:tcPr>
          <w:p w:rsidR="009A4BCA" w:rsidRDefault="00CC6CF7">
            <w:pPr>
              <w:jc w:val="right"/>
            </w:pPr>
            <w:r>
              <w:rPr>
                <w:rFonts w:eastAsiaTheme="minorEastAsia"/>
                <w:color w:val="000000" w:themeColor="text1"/>
                <w:szCs w:val="21"/>
              </w:rPr>
              <w:t>-</w:t>
            </w:r>
          </w:p>
        </w:tc>
        <w:tc>
          <w:tcPr>
            <w:tcW w:w="1291" w:type="dxa"/>
            <w:vAlign w:val="center"/>
          </w:tcPr>
          <w:p w:rsidR="009A4BCA" w:rsidRDefault="00CC6CF7">
            <w:pPr>
              <w:jc w:val="right"/>
            </w:pPr>
            <w:r>
              <w:rPr>
                <w:rFonts w:eastAsiaTheme="minorEastAsia"/>
                <w:color w:val="000000" w:themeColor="text1"/>
                <w:szCs w:val="21"/>
              </w:rPr>
              <w:t>-</w:t>
            </w:r>
          </w:p>
        </w:tc>
        <w:tc>
          <w:tcPr>
            <w:tcW w:w="1291" w:type="dxa"/>
            <w:vAlign w:val="center"/>
          </w:tcPr>
          <w:p w:rsidR="009A4BCA" w:rsidRDefault="00CC6CF7">
            <w:pPr>
              <w:jc w:val="right"/>
            </w:pPr>
            <w:r>
              <w:rPr>
                <w:rFonts w:eastAsiaTheme="minorEastAsia"/>
                <w:color w:val="000000" w:themeColor="text1"/>
                <w:szCs w:val="21"/>
              </w:rPr>
              <w:t>-</w:t>
            </w:r>
          </w:p>
        </w:tc>
        <w:tc>
          <w:tcPr>
            <w:tcW w:w="1291" w:type="dxa"/>
            <w:vAlign w:val="center"/>
          </w:tcPr>
          <w:p w:rsidR="009A4BCA" w:rsidRDefault="00CC6CF7">
            <w:pPr>
              <w:jc w:val="right"/>
            </w:pPr>
            <w:r>
              <w:rPr>
                <w:rFonts w:eastAsiaTheme="minorEastAsia"/>
                <w:color w:val="000000" w:themeColor="text1"/>
                <w:szCs w:val="21"/>
              </w:rPr>
              <w:t>-</w:t>
            </w:r>
          </w:p>
        </w:tc>
        <w:tc>
          <w:tcPr>
            <w:tcW w:w="1291" w:type="dxa"/>
            <w:vAlign w:val="center"/>
          </w:tcPr>
          <w:p w:rsidR="009A4BCA" w:rsidRDefault="00CC6CF7">
            <w:pPr>
              <w:jc w:val="right"/>
            </w:pPr>
            <w:r>
              <w:rPr>
                <w:rFonts w:eastAsiaTheme="minorEastAsia"/>
                <w:color w:val="000000" w:themeColor="text1"/>
                <w:szCs w:val="21"/>
              </w:rPr>
              <w:t>-</w:t>
            </w:r>
          </w:p>
        </w:tc>
        <w:tc>
          <w:tcPr>
            <w:tcW w:w="1291" w:type="dxa"/>
            <w:vAlign w:val="center"/>
          </w:tcPr>
          <w:p w:rsidR="009A4BCA" w:rsidRDefault="00CC6CF7">
            <w:pPr>
              <w:jc w:val="right"/>
            </w:pPr>
            <w:r>
              <w:rPr>
                <w:rFonts w:eastAsiaTheme="minorEastAsia"/>
                <w:color w:val="000000" w:themeColor="text1"/>
                <w:szCs w:val="21"/>
              </w:rPr>
              <w:t>-</w:t>
            </w:r>
          </w:p>
        </w:tc>
      </w:tr>
      <w:tr w:rsidR="009A4BCA">
        <w:tc>
          <w:tcPr>
            <w:tcW w:w="1290" w:type="dxa"/>
            <w:vAlign w:val="center"/>
          </w:tcPr>
          <w:p w:rsidR="009A4BCA" w:rsidRDefault="00CC6CF7">
            <w:pPr>
              <w:jc w:val="left"/>
            </w:pPr>
            <w:r>
              <w:rPr>
                <w:rFonts w:eastAsiaTheme="minorEastAsia"/>
                <w:color w:val="000000" w:themeColor="text1"/>
                <w:szCs w:val="21"/>
              </w:rPr>
              <w:t>过去五年</w:t>
            </w:r>
          </w:p>
        </w:tc>
        <w:tc>
          <w:tcPr>
            <w:tcW w:w="1291" w:type="dxa"/>
            <w:vAlign w:val="center"/>
          </w:tcPr>
          <w:p w:rsidR="009A4BCA" w:rsidRDefault="00CC6CF7">
            <w:pPr>
              <w:jc w:val="right"/>
            </w:pPr>
            <w:r>
              <w:rPr>
                <w:rFonts w:eastAsiaTheme="minorEastAsia"/>
                <w:color w:val="000000" w:themeColor="text1"/>
                <w:szCs w:val="21"/>
              </w:rPr>
              <w:t>-</w:t>
            </w:r>
          </w:p>
        </w:tc>
        <w:tc>
          <w:tcPr>
            <w:tcW w:w="1291" w:type="dxa"/>
            <w:vAlign w:val="center"/>
          </w:tcPr>
          <w:p w:rsidR="009A4BCA" w:rsidRDefault="00CC6CF7">
            <w:pPr>
              <w:jc w:val="right"/>
            </w:pPr>
            <w:r>
              <w:rPr>
                <w:rFonts w:eastAsiaTheme="minorEastAsia"/>
                <w:color w:val="000000" w:themeColor="text1"/>
                <w:szCs w:val="21"/>
              </w:rPr>
              <w:t>-</w:t>
            </w:r>
          </w:p>
        </w:tc>
        <w:tc>
          <w:tcPr>
            <w:tcW w:w="1291" w:type="dxa"/>
            <w:vAlign w:val="center"/>
          </w:tcPr>
          <w:p w:rsidR="009A4BCA" w:rsidRDefault="00CC6CF7">
            <w:pPr>
              <w:jc w:val="right"/>
            </w:pPr>
            <w:r>
              <w:rPr>
                <w:rFonts w:eastAsiaTheme="minorEastAsia"/>
                <w:color w:val="000000" w:themeColor="text1"/>
                <w:szCs w:val="21"/>
              </w:rPr>
              <w:t>-</w:t>
            </w:r>
          </w:p>
        </w:tc>
        <w:tc>
          <w:tcPr>
            <w:tcW w:w="1291" w:type="dxa"/>
            <w:vAlign w:val="center"/>
          </w:tcPr>
          <w:p w:rsidR="009A4BCA" w:rsidRDefault="00CC6CF7">
            <w:pPr>
              <w:jc w:val="right"/>
            </w:pPr>
            <w:r>
              <w:rPr>
                <w:rFonts w:eastAsiaTheme="minorEastAsia"/>
                <w:color w:val="000000" w:themeColor="text1"/>
                <w:szCs w:val="21"/>
              </w:rPr>
              <w:t>-</w:t>
            </w:r>
          </w:p>
        </w:tc>
        <w:tc>
          <w:tcPr>
            <w:tcW w:w="1291" w:type="dxa"/>
            <w:vAlign w:val="center"/>
          </w:tcPr>
          <w:p w:rsidR="009A4BCA" w:rsidRDefault="00CC6CF7">
            <w:pPr>
              <w:jc w:val="right"/>
            </w:pPr>
            <w:r>
              <w:rPr>
                <w:rFonts w:eastAsiaTheme="minorEastAsia"/>
                <w:color w:val="000000" w:themeColor="text1"/>
                <w:szCs w:val="21"/>
              </w:rPr>
              <w:t>-</w:t>
            </w:r>
          </w:p>
        </w:tc>
        <w:tc>
          <w:tcPr>
            <w:tcW w:w="1291" w:type="dxa"/>
            <w:vAlign w:val="center"/>
          </w:tcPr>
          <w:p w:rsidR="009A4BCA" w:rsidRDefault="00CC6CF7">
            <w:pPr>
              <w:jc w:val="right"/>
            </w:pPr>
            <w:r>
              <w:rPr>
                <w:rFonts w:eastAsiaTheme="minorEastAsia"/>
                <w:color w:val="000000" w:themeColor="text1"/>
                <w:szCs w:val="21"/>
              </w:rPr>
              <w:t>-</w:t>
            </w:r>
          </w:p>
        </w:tc>
      </w:tr>
      <w:tr w:rsidR="009A4BCA">
        <w:tc>
          <w:tcPr>
            <w:tcW w:w="1290" w:type="dxa"/>
            <w:vAlign w:val="center"/>
          </w:tcPr>
          <w:p w:rsidR="009A4BCA" w:rsidRDefault="00CC6CF7">
            <w:pPr>
              <w:jc w:val="left"/>
            </w:pPr>
            <w:r>
              <w:rPr>
                <w:rFonts w:eastAsiaTheme="minorEastAsia"/>
                <w:color w:val="000000" w:themeColor="text1"/>
                <w:szCs w:val="21"/>
              </w:rPr>
              <w:t>自基金合同生效起至今</w:t>
            </w:r>
          </w:p>
        </w:tc>
        <w:tc>
          <w:tcPr>
            <w:tcW w:w="1291" w:type="dxa"/>
            <w:vAlign w:val="center"/>
          </w:tcPr>
          <w:p w:rsidR="009A4BCA" w:rsidRDefault="00CC6CF7">
            <w:pPr>
              <w:jc w:val="right"/>
            </w:pPr>
            <w:r>
              <w:rPr>
                <w:rFonts w:eastAsiaTheme="minorEastAsia"/>
                <w:color w:val="000000" w:themeColor="text1"/>
                <w:szCs w:val="21"/>
              </w:rPr>
              <w:t>-49.81%</w:t>
            </w:r>
          </w:p>
        </w:tc>
        <w:tc>
          <w:tcPr>
            <w:tcW w:w="1291" w:type="dxa"/>
            <w:vAlign w:val="center"/>
          </w:tcPr>
          <w:p w:rsidR="009A4BCA" w:rsidRDefault="00CC6CF7">
            <w:pPr>
              <w:jc w:val="right"/>
            </w:pPr>
            <w:r>
              <w:rPr>
                <w:rFonts w:eastAsiaTheme="minorEastAsia"/>
                <w:color w:val="000000" w:themeColor="text1"/>
                <w:szCs w:val="21"/>
              </w:rPr>
              <w:t>1.88%</w:t>
            </w:r>
          </w:p>
        </w:tc>
        <w:tc>
          <w:tcPr>
            <w:tcW w:w="1291" w:type="dxa"/>
            <w:vAlign w:val="center"/>
          </w:tcPr>
          <w:p w:rsidR="009A4BCA" w:rsidRDefault="00CC6CF7">
            <w:pPr>
              <w:jc w:val="right"/>
            </w:pPr>
            <w:r>
              <w:rPr>
                <w:rFonts w:eastAsiaTheme="minorEastAsia"/>
                <w:color w:val="000000" w:themeColor="text1"/>
                <w:szCs w:val="21"/>
              </w:rPr>
              <w:t>-15.77%</w:t>
            </w:r>
          </w:p>
        </w:tc>
        <w:tc>
          <w:tcPr>
            <w:tcW w:w="1291" w:type="dxa"/>
            <w:vAlign w:val="center"/>
          </w:tcPr>
          <w:p w:rsidR="009A4BCA" w:rsidRDefault="00CC6CF7">
            <w:pPr>
              <w:jc w:val="right"/>
            </w:pPr>
            <w:r>
              <w:rPr>
                <w:rFonts w:eastAsiaTheme="minorEastAsia"/>
                <w:color w:val="000000" w:themeColor="text1"/>
                <w:szCs w:val="21"/>
              </w:rPr>
              <w:t>0.93%</w:t>
            </w:r>
          </w:p>
        </w:tc>
        <w:tc>
          <w:tcPr>
            <w:tcW w:w="1291" w:type="dxa"/>
            <w:vAlign w:val="center"/>
          </w:tcPr>
          <w:p w:rsidR="009A4BCA" w:rsidRDefault="00CC6CF7">
            <w:pPr>
              <w:jc w:val="right"/>
            </w:pPr>
            <w:r>
              <w:rPr>
                <w:rFonts w:eastAsiaTheme="minorEastAsia"/>
                <w:color w:val="000000" w:themeColor="text1"/>
                <w:szCs w:val="21"/>
              </w:rPr>
              <w:t>-34.04%</w:t>
            </w:r>
          </w:p>
        </w:tc>
        <w:tc>
          <w:tcPr>
            <w:tcW w:w="1291" w:type="dxa"/>
            <w:vAlign w:val="center"/>
          </w:tcPr>
          <w:p w:rsidR="009A4BCA" w:rsidRDefault="00CC6CF7">
            <w:pPr>
              <w:jc w:val="right"/>
            </w:pPr>
            <w:r>
              <w:rPr>
                <w:rFonts w:eastAsiaTheme="minorEastAsia"/>
                <w:color w:val="000000" w:themeColor="text1"/>
                <w:szCs w:val="21"/>
              </w:rPr>
              <w:t>0.95%</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摩根核心精选股票型证券投资基金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29</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．摩根核心精选股票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9A4BCA" w:rsidRDefault="00CC6CF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．摩根核心精选股票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9A4BCA" w:rsidRDefault="00CC6CF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9A4BCA">
        <w:tc>
          <w:tcPr>
            <w:tcW w:w="952" w:type="dxa"/>
            <w:vAlign w:val="center"/>
          </w:tcPr>
          <w:p w:rsidR="009A4BCA" w:rsidRDefault="00CC6CF7">
            <w:pPr>
              <w:jc w:val="center"/>
            </w:pPr>
            <w:r>
              <w:rPr>
                <w:rFonts w:eastAsiaTheme="minorEastAsia"/>
                <w:color w:val="000000" w:themeColor="text1"/>
                <w:szCs w:val="21"/>
              </w:rPr>
              <w:t>李博</w:t>
            </w:r>
          </w:p>
        </w:tc>
        <w:tc>
          <w:tcPr>
            <w:tcW w:w="930" w:type="dxa"/>
            <w:vAlign w:val="center"/>
          </w:tcPr>
          <w:p w:rsidR="009A4BCA" w:rsidRDefault="00CC6CF7">
            <w:pPr>
              <w:jc w:val="center"/>
            </w:pPr>
            <w:r>
              <w:rPr>
                <w:rFonts w:eastAsiaTheme="minorEastAsia"/>
                <w:color w:val="000000" w:themeColor="text1"/>
                <w:szCs w:val="21"/>
              </w:rPr>
              <w:t>本基金基金经理</w:t>
            </w:r>
          </w:p>
        </w:tc>
        <w:tc>
          <w:tcPr>
            <w:tcW w:w="1210" w:type="dxa"/>
            <w:vAlign w:val="center"/>
          </w:tcPr>
          <w:p w:rsidR="009A4BCA" w:rsidRDefault="00CC6CF7">
            <w:pPr>
              <w:jc w:val="center"/>
            </w:pPr>
            <w:r>
              <w:rPr>
                <w:rFonts w:eastAsiaTheme="minorEastAsia"/>
                <w:color w:val="000000" w:themeColor="text1"/>
                <w:szCs w:val="21"/>
              </w:rPr>
              <w:t>2018-11-29</w:t>
            </w:r>
          </w:p>
        </w:tc>
        <w:tc>
          <w:tcPr>
            <w:tcW w:w="1309" w:type="dxa"/>
            <w:vAlign w:val="center"/>
          </w:tcPr>
          <w:p w:rsidR="009A4BCA" w:rsidRDefault="00CC6CF7">
            <w:pPr>
              <w:jc w:val="center"/>
            </w:pPr>
            <w:r>
              <w:rPr>
                <w:rFonts w:eastAsiaTheme="minorEastAsia"/>
                <w:color w:val="000000" w:themeColor="text1"/>
                <w:szCs w:val="21"/>
              </w:rPr>
              <w:t>-</w:t>
            </w:r>
          </w:p>
        </w:tc>
        <w:tc>
          <w:tcPr>
            <w:tcW w:w="1254" w:type="dxa"/>
            <w:vAlign w:val="center"/>
          </w:tcPr>
          <w:p w:rsidR="009A4BCA" w:rsidRDefault="00CC6CF7">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9A4BCA" w:rsidRDefault="00CC6CF7">
            <w:r>
              <w:rPr>
                <w:rFonts w:eastAsiaTheme="minorEastAsia"/>
                <w:color w:val="000000" w:themeColor="text1"/>
                <w:szCs w:val="21"/>
              </w:rPr>
              <w:t>李博先生曾任中银国际证券有限公司研究员。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月起加入摩根基金管理（中国）有限公司（原上投摩根基金管理有限公司），历任行业专家、基金经理，现任国内权益投资部价值成长组组长兼资深基金经理。</w:t>
            </w:r>
          </w:p>
        </w:tc>
      </w:tr>
      <w:tr w:rsidR="009A4BCA">
        <w:tc>
          <w:tcPr>
            <w:tcW w:w="952" w:type="dxa"/>
            <w:vAlign w:val="center"/>
          </w:tcPr>
          <w:p w:rsidR="009A4BCA" w:rsidRDefault="00CC6CF7">
            <w:pPr>
              <w:jc w:val="center"/>
            </w:pPr>
            <w:r>
              <w:rPr>
                <w:rFonts w:eastAsiaTheme="minorEastAsia"/>
                <w:color w:val="000000" w:themeColor="text1"/>
                <w:szCs w:val="21"/>
              </w:rPr>
              <w:lastRenderedPageBreak/>
              <w:t>赵隆隆</w:t>
            </w:r>
          </w:p>
        </w:tc>
        <w:tc>
          <w:tcPr>
            <w:tcW w:w="930" w:type="dxa"/>
            <w:vAlign w:val="center"/>
          </w:tcPr>
          <w:p w:rsidR="009A4BCA" w:rsidRDefault="00CC6CF7">
            <w:pPr>
              <w:jc w:val="center"/>
            </w:pPr>
            <w:r>
              <w:rPr>
                <w:rFonts w:eastAsiaTheme="minorEastAsia"/>
                <w:color w:val="000000" w:themeColor="text1"/>
                <w:szCs w:val="21"/>
              </w:rPr>
              <w:t>本基金基金经理</w:t>
            </w:r>
          </w:p>
        </w:tc>
        <w:tc>
          <w:tcPr>
            <w:tcW w:w="1210" w:type="dxa"/>
            <w:vAlign w:val="center"/>
          </w:tcPr>
          <w:p w:rsidR="009A4BCA" w:rsidRDefault="00CC6CF7">
            <w:pPr>
              <w:jc w:val="center"/>
            </w:pPr>
            <w:r>
              <w:rPr>
                <w:rFonts w:eastAsiaTheme="minorEastAsia"/>
                <w:color w:val="000000" w:themeColor="text1"/>
                <w:szCs w:val="21"/>
              </w:rPr>
              <w:t>2021-04-23</w:t>
            </w:r>
          </w:p>
        </w:tc>
        <w:tc>
          <w:tcPr>
            <w:tcW w:w="1309" w:type="dxa"/>
            <w:vAlign w:val="center"/>
          </w:tcPr>
          <w:p w:rsidR="009A4BCA" w:rsidRDefault="00CC6CF7">
            <w:pPr>
              <w:jc w:val="center"/>
            </w:pPr>
            <w:r>
              <w:rPr>
                <w:rFonts w:eastAsiaTheme="minorEastAsia"/>
                <w:color w:val="000000" w:themeColor="text1"/>
                <w:szCs w:val="21"/>
              </w:rPr>
              <w:t>-</w:t>
            </w:r>
          </w:p>
        </w:tc>
        <w:tc>
          <w:tcPr>
            <w:tcW w:w="1254" w:type="dxa"/>
            <w:vAlign w:val="center"/>
          </w:tcPr>
          <w:p w:rsidR="009A4BCA" w:rsidRDefault="00CC6CF7">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9A4BCA" w:rsidRDefault="00CC6CF7">
            <w:r>
              <w:rPr>
                <w:rFonts w:eastAsiaTheme="minorEastAsia"/>
                <w:color w:val="000000" w:themeColor="text1"/>
                <w:szCs w:val="21"/>
              </w:rPr>
              <w:t>赵隆隆先生曾任上海申银万国证券研究所有限公司制造业研究部资深高级分析师。</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月起加入摩根基金管理（中国）有限公司（原上投摩根基金管理有限公司），历任行业专家、行业专家兼研究组长、行业专家兼研究组长</w:t>
            </w:r>
            <w:r>
              <w:rPr>
                <w:rFonts w:eastAsiaTheme="minorEastAsia"/>
                <w:color w:val="000000" w:themeColor="text1"/>
                <w:szCs w:val="21"/>
              </w:rPr>
              <w:t>/</w:t>
            </w:r>
            <w:r>
              <w:rPr>
                <w:rFonts w:eastAsiaTheme="minorEastAsia"/>
                <w:color w:val="000000" w:themeColor="text1"/>
                <w:szCs w:val="21"/>
              </w:rPr>
              <w:t>基金经理助理，现任基金经理。</w:t>
            </w:r>
          </w:p>
        </w:tc>
      </w:tr>
    </w:tbl>
    <w:p w:rsidR="009A4BCA" w:rsidRDefault="00CC6CF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9A4BCA" w:rsidRDefault="00CC6CF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李博先生为本基金首任基金经理，其任职日期指本基金基金合同生效之日。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9A4BCA" w:rsidRDefault="00CC6CF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9A4BCA" w:rsidRDefault="00CC6CF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9A4BCA" w:rsidRDefault="00CC6CF7">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9A4BCA" w:rsidRDefault="00CC6CF7">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w:t>
      </w:r>
      <w:r>
        <w:rPr>
          <w:rFonts w:eastAsiaTheme="minorEastAsia"/>
          <w:color w:val="000000" w:themeColor="text1"/>
          <w:szCs w:val="21"/>
        </w:rPr>
        <w:t>2023</w:t>
      </w:r>
      <w:r>
        <w:rPr>
          <w:rFonts w:eastAsiaTheme="minorEastAsia"/>
          <w:color w:val="000000" w:themeColor="text1"/>
          <w:szCs w:val="21"/>
        </w:rPr>
        <w:t>年三季度，市场行业板块跌多涨少，主线集中在煤炭石油及金融板块，</w:t>
      </w:r>
      <w:r>
        <w:rPr>
          <w:rFonts w:eastAsiaTheme="minorEastAsia"/>
          <w:color w:val="000000" w:themeColor="text1"/>
          <w:szCs w:val="21"/>
        </w:rPr>
        <w:t>AI</w:t>
      </w:r>
      <w:r>
        <w:rPr>
          <w:rFonts w:eastAsiaTheme="minorEastAsia"/>
          <w:color w:val="000000" w:themeColor="text1"/>
          <w:szCs w:val="21"/>
        </w:rPr>
        <w:t>板块和新能源跌幅较大。大盘指数层面看波动不大，三季度上证指数下跌</w:t>
      </w:r>
      <w:r>
        <w:rPr>
          <w:rFonts w:eastAsiaTheme="minorEastAsia"/>
          <w:color w:val="000000" w:themeColor="text1"/>
          <w:szCs w:val="21"/>
        </w:rPr>
        <w:t>2.86%</w:t>
      </w:r>
      <w:r>
        <w:rPr>
          <w:rFonts w:eastAsiaTheme="minorEastAsia"/>
          <w:color w:val="000000" w:themeColor="text1"/>
          <w:szCs w:val="21"/>
        </w:rPr>
        <w:t>，沪深</w:t>
      </w:r>
      <w:r>
        <w:rPr>
          <w:rFonts w:eastAsiaTheme="minorEastAsia"/>
          <w:color w:val="000000" w:themeColor="text1"/>
          <w:szCs w:val="21"/>
        </w:rPr>
        <w:t>300</w:t>
      </w:r>
      <w:r>
        <w:rPr>
          <w:rFonts w:eastAsiaTheme="minorEastAsia"/>
          <w:color w:val="000000" w:themeColor="text1"/>
          <w:szCs w:val="21"/>
        </w:rPr>
        <w:t>下跌</w:t>
      </w:r>
      <w:r>
        <w:rPr>
          <w:rFonts w:eastAsiaTheme="minorEastAsia"/>
          <w:color w:val="000000" w:themeColor="text1"/>
          <w:szCs w:val="21"/>
        </w:rPr>
        <w:t>3.98%</w:t>
      </w:r>
      <w:r>
        <w:rPr>
          <w:rFonts w:eastAsiaTheme="minorEastAsia"/>
          <w:color w:val="000000" w:themeColor="text1"/>
          <w:szCs w:val="21"/>
        </w:rPr>
        <w:t>，但创业板指数在二季度下跌</w:t>
      </w:r>
      <w:r>
        <w:rPr>
          <w:rFonts w:eastAsiaTheme="minorEastAsia"/>
          <w:color w:val="000000" w:themeColor="text1"/>
          <w:szCs w:val="21"/>
        </w:rPr>
        <w:t>7.69%</w:t>
      </w:r>
      <w:r>
        <w:rPr>
          <w:rFonts w:eastAsiaTheme="minorEastAsia"/>
          <w:color w:val="000000" w:themeColor="text1"/>
          <w:szCs w:val="21"/>
        </w:rPr>
        <w:t>的基础上三季度再跌</w:t>
      </w:r>
      <w:r>
        <w:rPr>
          <w:rFonts w:eastAsiaTheme="minorEastAsia"/>
          <w:color w:val="000000" w:themeColor="text1"/>
          <w:szCs w:val="21"/>
        </w:rPr>
        <w:t>9.53%</w:t>
      </w:r>
      <w:r>
        <w:rPr>
          <w:rFonts w:eastAsiaTheme="minorEastAsia"/>
          <w:color w:val="000000" w:themeColor="text1"/>
          <w:szCs w:val="21"/>
        </w:rPr>
        <w:t>。分行业来看（申万行业分类），涨幅前五的行业为非银金融</w:t>
      </w:r>
      <w:r>
        <w:rPr>
          <w:rFonts w:eastAsiaTheme="minorEastAsia"/>
          <w:color w:val="000000" w:themeColor="text1"/>
          <w:szCs w:val="21"/>
        </w:rPr>
        <w:t>5.62%</w:t>
      </w:r>
      <w:r>
        <w:rPr>
          <w:rFonts w:eastAsiaTheme="minorEastAsia"/>
          <w:color w:val="000000" w:themeColor="text1"/>
          <w:szCs w:val="21"/>
        </w:rPr>
        <w:t>、煤炭</w:t>
      </w:r>
      <w:r>
        <w:rPr>
          <w:rFonts w:eastAsiaTheme="minorEastAsia"/>
          <w:color w:val="000000" w:themeColor="text1"/>
          <w:szCs w:val="21"/>
        </w:rPr>
        <w:t>5.26%</w:t>
      </w:r>
      <w:r>
        <w:rPr>
          <w:rFonts w:eastAsiaTheme="minorEastAsia"/>
          <w:color w:val="000000" w:themeColor="text1"/>
          <w:szCs w:val="21"/>
        </w:rPr>
        <w:t>、石油石化</w:t>
      </w:r>
      <w:r>
        <w:rPr>
          <w:rFonts w:eastAsiaTheme="minorEastAsia"/>
          <w:color w:val="000000" w:themeColor="text1"/>
          <w:szCs w:val="21"/>
        </w:rPr>
        <w:t>4.36%</w:t>
      </w:r>
      <w:r>
        <w:rPr>
          <w:rFonts w:eastAsiaTheme="minorEastAsia"/>
          <w:color w:val="000000" w:themeColor="text1"/>
          <w:szCs w:val="21"/>
        </w:rPr>
        <w:t>、钢铁</w:t>
      </w:r>
      <w:r>
        <w:rPr>
          <w:rFonts w:eastAsiaTheme="minorEastAsia"/>
          <w:color w:val="000000" w:themeColor="text1"/>
          <w:szCs w:val="21"/>
        </w:rPr>
        <w:t>2.14%</w:t>
      </w:r>
      <w:r>
        <w:rPr>
          <w:rFonts w:eastAsiaTheme="minorEastAsia"/>
          <w:color w:val="000000" w:themeColor="text1"/>
          <w:szCs w:val="21"/>
        </w:rPr>
        <w:t>和银行</w:t>
      </w:r>
      <w:r>
        <w:rPr>
          <w:rFonts w:eastAsiaTheme="minorEastAsia"/>
          <w:color w:val="000000" w:themeColor="text1"/>
          <w:szCs w:val="21"/>
        </w:rPr>
        <w:t>1.5%</w:t>
      </w:r>
      <w:r>
        <w:rPr>
          <w:rFonts w:eastAsiaTheme="minorEastAsia"/>
          <w:color w:val="000000" w:themeColor="text1"/>
          <w:szCs w:val="21"/>
        </w:rPr>
        <w:t>，跌幅前五的行业为电力设备</w:t>
      </w:r>
      <w:r>
        <w:rPr>
          <w:rFonts w:eastAsiaTheme="minorEastAsia"/>
          <w:color w:val="000000" w:themeColor="text1"/>
          <w:szCs w:val="21"/>
        </w:rPr>
        <w:t>(-15.68%)</w:t>
      </w:r>
      <w:r>
        <w:rPr>
          <w:rFonts w:eastAsiaTheme="minorEastAsia"/>
          <w:color w:val="000000" w:themeColor="text1"/>
          <w:szCs w:val="21"/>
        </w:rPr>
        <w:t>、传媒（</w:t>
      </w:r>
      <w:r>
        <w:rPr>
          <w:rFonts w:eastAsiaTheme="minorEastAsia"/>
          <w:color w:val="000000" w:themeColor="text1"/>
          <w:szCs w:val="21"/>
        </w:rPr>
        <w:t>-15.58%</w:t>
      </w:r>
      <w:r>
        <w:rPr>
          <w:rFonts w:eastAsiaTheme="minorEastAsia"/>
          <w:color w:val="000000" w:themeColor="text1"/>
          <w:szCs w:val="21"/>
        </w:rPr>
        <w:t>）、计算机（</w:t>
      </w:r>
      <w:r>
        <w:rPr>
          <w:rFonts w:eastAsiaTheme="minorEastAsia"/>
          <w:color w:val="000000" w:themeColor="text1"/>
          <w:szCs w:val="21"/>
        </w:rPr>
        <w:t>-11.71%</w:t>
      </w:r>
      <w:r>
        <w:rPr>
          <w:rFonts w:eastAsiaTheme="minorEastAsia"/>
          <w:color w:val="000000" w:themeColor="text1"/>
          <w:szCs w:val="21"/>
        </w:rPr>
        <w:t>）、通信（</w:t>
      </w:r>
      <w:r>
        <w:rPr>
          <w:rFonts w:eastAsiaTheme="minorEastAsia"/>
          <w:color w:val="000000" w:themeColor="text1"/>
          <w:szCs w:val="21"/>
        </w:rPr>
        <w:t>-10.65%</w:t>
      </w:r>
      <w:r>
        <w:rPr>
          <w:rFonts w:eastAsiaTheme="minorEastAsia"/>
          <w:color w:val="000000" w:themeColor="text1"/>
          <w:szCs w:val="21"/>
        </w:rPr>
        <w:t>）和国防军工（</w:t>
      </w:r>
      <w:r>
        <w:rPr>
          <w:rFonts w:eastAsiaTheme="minorEastAsia"/>
          <w:color w:val="000000" w:themeColor="text1"/>
          <w:szCs w:val="21"/>
        </w:rPr>
        <w:t>-9.4%</w:t>
      </w:r>
      <w:r>
        <w:rPr>
          <w:rFonts w:eastAsiaTheme="minorEastAsia"/>
          <w:color w:val="000000" w:themeColor="text1"/>
          <w:szCs w:val="21"/>
        </w:rPr>
        <w:t>）。电力设备板块再次垫底，中证光伏产业指数单三季度下跌</w:t>
      </w:r>
      <w:r>
        <w:rPr>
          <w:rFonts w:eastAsiaTheme="minorEastAsia"/>
          <w:color w:val="000000" w:themeColor="text1"/>
          <w:szCs w:val="21"/>
        </w:rPr>
        <w:t>19.27%</w:t>
      </w:r>
      <w:r>
        <w:rPr>
          <w:rFonts w:eastAsiaTheme="minorEastAsia"/>
          <w:color w:val="000000" w:themeColor="text1"/>
          <w:szCs w:val="21"/>
        </w:rPr>
        <w:t>，本基金净值下跌</w:t>
      </w:r>
      <w:r>
        <w:rPr>
          <w:rFonts w:eastAsiaTheme="minorEastAsia"/>
          <w:color w:val="000000" w:themeColor="text1"/>
          <w:szCs w:val="21"/>
        </w:rPr>
        <w:t>22.81%</w:t>
      </w:r>
      <w:r>
        <w:rPr>
          <w:rFonts w:eastAsiaTheme="minorEastAsia"/>
          <w:color w:val="000000" w:themeColor="text1"/>
          <w:szCs w:val="21"/>
        </w:rPr>
        <w:t>。</w:t>
      </w:r>
    </w:p>
    <w:p w:rsidR="009A4BCA" w:rsidRDefault="00CC6CF7">
      <w:pPr>
        <w:spacing w:line="360" w:lineRule="auto"/>
        <w:ind w:firstLineChars="200" w:firstLine="420"/>
        <w:rPr>
          <w:rFonts w:eastAsiaTheme="minorEastAsia"/>
          <w:color w:val="000000" w:themeColor="text1"/>
          <w:szCs w:val="21"/>
        </w:rPr>
      </w:pPr>
      <w:r>
        <w:rPr>
          <w:rFonts w:eastAsiaTheme="minorEastAsia"/>
          <w:color w:val="000000" w:themeColor="text1"/>
          <w:szCs w:val="21"/>
        </w:rPr>
        <w:t>在经历了过去一年多单边下跌之后，新能源板块（尤其光储）在三季度再次迎来大幅调整。投资策略上，本基金始终基于产业视角，坚持成长为主的投资策略，在新能源（风、光、电、储、氢）、先进制造等板块里寻找优质标的，在复杂的宏观环境背景下，存量资金博弈导致新能源（光储）公司股价表现与现阶段的行业景气度继续出现较大背离，市场对未来需求的悲观预期以及中游竞争格局的恶化担忧导致板块估值不断下移。行业配置上，二季度整体调整不大，继续维持全球需求相对更为确定的光伏和储能的配置比例。</w:t>
      </w:r>
    </w:p>
    <w:p w:rsidR="009A4BCA" w:rsidRDefault="00CC6CF7">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我们认为国内外复杂多变的宏观环境仍然对成长股投资提出了极高的挑战。我们始终坚持在符合社会发展趋势的新能源、半导体等高端制造、自主可控等领域寻找机会。我们相信双碳目标的方向非常明确，</w:t>
      </w:r>
      <w:r>
        <w:rPr>
          <w:rFonts w:eastAsiaTheme="minorEastAsia"/>
          <w:color w:val="000000" w:themeColor="text1"/>
          <w:szCs w:val="21"/>
        </w:rPr>
        <w:t>2023</w:t>
      </w:r>
      <w:r>
        <w:rPr>
          <w:rFonts w:eastAsiaTheme="minorEastAsia"/>
          <w:color w:val="000000" w:themeColor="text1"/>
          <w:szCs w:val="21"/>
        </w:rPr>
        <w:t>年开始光伏硅料产能的释放带来的终端组件价格下行势必会激发出全球更多的装机需求（经济性驱动），锂电碳酸锂价格的下行也极大增强了储能项目的经济性，二季度硅料价格大概率已见底并将在相当长的时间内维持低价，产业链大部分有新技术迭代或高盈利市场壁垒的公司将迎来持续的超额盈利。</w:t>
      </w:r>
    </w:p>
    <w:p w:rsidR="009A4BCA" w:rsidRDefault="00CC6CF7">
      <w:pPr>
        <w:spacing w:line="360" w:lineRule="auto"/>
        <w:ind w:firstLineChars="200" w:firstLine="420"/>
        <w:rPr>
          <w:rFonts w:eastAsiaTheme="minorEastAsia"/>
          <w:color w:val="000000" w:themeColor="text1"/>
          <w:szCs w:val="21"/>
        </w:rPr>
      </w:pPr>
      <w:r>
        <w:rPr>
          <w:rFonts w:eastAsiaTheme="minorEastAsia"/>
          <w:color w:val="000000" w:themeColor="text1"/>
          <w:szCs w:val="21"/>
        </w:rPr>
        <w:t>市场对光储纠结的点在于目前阶段是行业及公司的盈利高点，这一点我们并不否认，但不同的点在于单位盈利的下行并不会如市场所预期的那么悲观，并将在相当长的时间内存在优秀的有阿尔法的公司，股价的继续大幅调整已无法从现阶段经营状况（多数公司半年报数据很好）和估值角度（历史底部区间）来解读，更多反映的是市场对未来的悲观。</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我们始终相信真正有成长性的行业和公司可以穿越周期，阶段性的宏观估值压制只会带来更高的投资性价比。目前新能源（光储等）主流标的估值已回归到历史相对低位，广阔的成长空间以及扎实的行业经营基本面预计将带来较大投资机会。我们将始终坚持从中长期视角来配置主要投资标的，聚焦新能源，同时紧密跟踪和关注宏观政策（尤其是流动性变化）、国际环境的变化，适度动态调整组合，力争为基金持有人创造持续稳定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9A4BCA" w:rsidRDefault="00CC6CF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本报告期摩根核心精选</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:-23.94%</w:t>
      </w:r>
      <w:r>
        <w:rPr>
          <w:rFonts w:eastAsiaTheme="minorEastAsia"/>
          <w:color w:val="000000" w:themeColor="text1"/>
          <w:szCs w:val="21"/>
        </w:rPr>
        <w:t>，同期业绩比较基准收益率为</w:t>
      </w:r>
      <w:r>
        <w:rPr>
          <w:rFonts w:eastAsiaTheme="minorEastAsia"/>
          <w:color w:val="000000" w:themeColor="text1"/>
          <w:szCs w:val="21"/>
        </w:rPr>
        <w:t>:-3.65%</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摩根核心精选</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:-24.05%</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:-3.65%</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212,704,831.30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87.51</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212,704,831.30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87.51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30,165,847.63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12.41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196,451.07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243,067,130.00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6,149,069.00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2.54</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204,118,734.08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84.47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4,871.38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2,432,156.84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212,704,831.30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88.02</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9A4BCA">
        <w:tc>
          <w:tcPr>
            <w:tcW w:w="817" w:type="dxa"/>
            <w:vAlign w:val="center"/>
          </w:tcPr>
          <w:p w:rsidR="009A4BCA" w:rsidRDefault="00CC6CF7">
            <w:pPr>
              <w:jc w:val="center"/>
            </w:pPr>
            <w:r>
              <w:rPr>
                <w:rFonts w:eastAsiaTheme="minorEastAsia"/>
                <w:kern w:val="0"/>
                <w:szCs w:val="21"/>
              </w:rPr>
              <w:t>1</w:t>
            </w:r>
          </w:p>
        </w:tc>
        <w:tc>
          <w:tcPr>
            <w:tcW w:w="1276" w:type="dxa"/>
            <w:vAlign w:val="center"/>
          </w:tcPr>
          <w:p w:rsidR="009A4BCA" w:rsidRDefault="00CC6CF7">
            <w:pPr>
              <w:jc w:val="center"/>
            </w:pPr>
            <w:r>
              <w:rPr>
                <w:rFonts w:eastAsiaTheme="minorEastAsia"/>
                <w:kern w:val="0"/>
                <w:szCs w:val="21"/>
              </w:rPr>
              <w:t>688516</w:t>
            </w:r>
          </w:p>
        </w:tc>
        <w:tc>
          <w:tcPr>
            <w:tcW w:w="1701" w:type="dxa"/>
            <w:vAlign w:val="center"/>
          </w:tcPr>
          <w:p w:rsidR="009A4BCA" w:rsidRDefault="00CC6CF7">
            <w:pPr>
              <w:jc w:val="center"/>
            </w:pPr>
            <w:r>
              <w:rPr>
                <w:rFonts w:eastAsiaTheme="minorEastAsia"/>
                <w:kern w:val="0"/>
                <w:szCs w:val="21"/>
              </w:rPr>
              <w:t>奥特维</w:t>
            </w:r>
          </w:p>
        </w:tc>
        <w:tc>
          <w:tcPr>
            <w:tcW w:w="1276" w:type="dxa"/>
            <w:vAlign w:val="center"/>
          </w:tcPr>
          <w:p w:rsidR="009A4BCA" w:rsidRDefault="00CC6CF7">
            <w:pPr>
              <w:jc w:val="right"/>
            </w:pPr>
            <w:r>
              <w:rPr>
                <w:rFonts w:eastAsiaTheme="minorEastAsia"/>
                <w:kern w:val="0"/>
                <w:szCs w:val="21"/>
              </w:rPr>
              <w:t>111,229.00</w:t>
            </w:r>
          </w:p>
        </w:tc>
        <w:tc>
          <w:tcPr>
            <w:tcW w:w="1842" w:type="dxa"/>
            <w:vAlign w:val="center"/>
          </w:tcPr>
          <w:p w:rsidR="009A4BCA" w:rsidRDefault="00CC6CF7">
            <w:pPr>
              <w:jc w:val="right"/>
            </w:pPr>
            <w:r>
              <w:rPr>
                <w:rFonts w:eastAsiaTheme="minorEastAsia"/>
                <w:kern w:val="0"/>
                <w:szCs w:val="21"/>
              </w:rPr>
              <w:t>15,890,174.94</w:t>
            </w:r>
          </w:p>
        </w:tc>
        <w:tc>
          <w:tcPr>
            <w:tcW w:w="1616" w:type="dxa"/>
            <w:vAlign w:val="center"/>
          </w:tcPr>
          <w:p w:rsidR="009A4BCA" w:rsidRDefault="00CC6CF7">
            <w:pPr>
              <w:jc w:val="right"/>
            </w:pPr>
            <w:r>
              <w:rPr>
                <w:rFonts w:eastAsiaTheme="minorEastAsia"/>
                <w:kern w:val="0"/>
                <w:szCs w:val="21"/>
              </w:rPr>
              <w:t>6.58</w:t>
            </w:r>
          </w:p>
        </w:tc>
      </w:tr>
      <w:tr w:rsidR="009A4BCA">
        <w:tc>
          <w:tcPr>
            <w:tcW w:w="817" w:type="dxa"/>
            <w:vAlign w:val="center"/>
          </w:tcPr>
          <w:p w:rsidR="009A4BCA" w:rsidRDefault="00CC6CF7">
            <w:pPr>
              <w:jc w:val="center"/>
            </w:pPr>
            <w:r>
              <w:rPr>
                <w:rFonts w:eastAsiaTheme="minorEastAsia"/>
                <w:kern w:val="0"/>
                <w:szCs w:val="21"/>
              </w:rPr>
              <w:t>2</w:t>
            </w:r>
          </w:p>
        </w:tc>
        <w:tc>
          <w:tcPr>
            <w:tcW w:w="1276" w:type="dxa"/>
            <w:vAlign w:val="center"/>
          </w:tcPr>
          <w:p w:rsidR="009A4BCA" w:rsidRDefault="00CC6CF7">
            <w:pPr>
              <w:jc w:val="center"/>
            </w:pPr>
            <w:r>
              <w:rPr>
                <w:rFonts w:eastAsiaTheme="minorEastAsia"/>
                <w:kern w:val="0"/>
                <w:szCs w:val="21"/>
              </w:rPr>
              <w:t>300274</w:t>
            </w:r>
          </w:p>
        </w:tc>
        <w:tc>
          <w:tcPr>
            <w:tcW w:w="1701" w:type="dxa"/>
            <w:vAlign w:val="center"/>
          </w:tcPr>
          <w:p w:rsidR="009A4BCA" w:rsidRDefault="00CC6CF7">
            <w:pPr>
              <w:jc w:val="center"/>
            </w:pPr>
            <w:r>
              <w:rPr>
                <w:rFonts w:eastAsiaTheme="minorEastAsia"/>
                <w:kern w:val="0"/>
                <w:szCs w:val="21"/>
              </w:rPr>
              <w:t>阳光电源</w:t>
            </w:r>
          </w:p>
        </w:tc>
        <w:tc>
          <w:tcPr>
            <w:tcW w:w="1276" w:type="dxa"/>
            <w:vAlign w:val="center"/>
          </w:tcPr>
          <w:p w:rsidR="009A4BCA" w:rsidRDefault="00CC6CF7">
            <w:pPr>
              <w:jc w:val="right"/>
            </w:pPr>
            <w:r>
              <w:rPr>
                <w:rFonts w:eastAsiaTheme="minorEastAsia"/>
                <w:kern w:val="0"/>
                <w:szCs w:val="21"/>
              </w:rPr>
              <w:t>174,584.00</w:t>
            </w:r>
          </w:p>
        </w:tc>
        <w:tc>
          <w:tcPr>
            <w:tcW w:w="1842" w:type="dxa"/>
            <w:vAlign w:val="center"/>
          </w:tcPr>
          <w:p w:rsidR="009A4BCA" w:rsidRDefault="00CC6CF7">
            <w:pPr>
              <w:jc w:val="right"/>
            </w:pPr>
            <w:r>
              <w:rPr>
                <w:rFonts w:eastAsiaTheme="minorEastAsia"/>
                <w:kern w:val="0"/>
                <w:szCs w:val="21"/>
              </w:rPr>
              <w:t>15,627,013.84</w:t>
            </w:r>
          </w:p>
        </w:tc>
        <w:tc>
          <w:tcPr>
            <w:tcW w:w="1616" w:type="dxa"/>
            <w:vAlign w:val="center"/>
          </w:tcPr>
          <w:p w:rsidR="009A4BCA" w:rsidRDefault="00CC6CF7">
            <w:pPr>
              <w:jc w:val="right"/>
            </w:pPr>
            <w:r>
              <w:rPr>
                <w:rFonts w:eastAsiaTheme="minorEastAsia"/>
                <w:kern w:val="0"/>
                <w:szCs w:val="21"/>
              </w:rPr>
              <w:t>6.47</w:t>
            </w:r>
          </w:p>
        </w:tc>
      </w:tr>
      <w:tr w:rsidR="009A4BCA">
        <w:tc>
          <w:tcPr>
            <w:tcW w:w="817" w:type="dxa"/>
            <w:vAlign w:val="center"/>
          </w:tcPr>
          <w:p w:rsidR="009A4BCA" w:rsidRDefault="00CC6CF7">
            <w:pPr>
              <w:jc w:val="center"/>
            </w:pPr>
            <w:r>
              <w:rPr>
                <w:rFonts w:eastAsiaTheme="minorEastAsia"/>
                <w:kern w:val="0"/>
                <w:szCs w:val="21"/>
              </w:rPr>
              <w:lastRenderedPageBreak/>
              <w:t>3</w:t>
            </w:r>
          </w:p>
        </w:tc>
        <w:tc>
          <w:tcPr>
            <w:tcW w:w="1276" w:type="dxa"/>
            <w:vAlign w:val="center"/>
          </w:tcPr>
          <w:p w:rsidR="009A4BCA" w:rsidRDefault="00CC6CF7">
            <w:pPr>
              <w:jc w:val="center"/>
            </w:pPr>
            <w:r>
              <w:rPr>
                <w:rFonts w:eastAsiaTheme="minorEastAsia"/>
                <w:kern w:val="0"/>
                <w:szCs w:val="21"/>
              </w:rPr>
              <w:t>603688</w:t>
            </w:r>
          </w:p>
        </w:tc>
        <w:tc>
          <w:tcPr>
            <w:tcW w:w="1701" w:type="dxa"/>
            <w:vAlign w:val="center"/>
          </w:tcPr>
          <w:p w:rsidR="009A4BCA" w:rsidRDefault="00CC6CF7">
            <w:pPr>
              <w:jc w:val="center"/>
            </w:pPr>
            <w:r>
              <w:rPr>
                <w:rFonts w:eastAsiaTheme="minorEastAsia"/>
                <w:kern w:val="0"/>
                <w:szCs w:val="21"/>
              </w:rPr>
              <w:t>石英股份</w:t>
            </w:r>
          </w:p>
        </w:tc>
        <w:tc>
          <w:tcPr>
            <w:tcW w:w="1276" w:type="dxa"/>
            <w:vAlign w:val="center"/>
          </w:tcPr>
          <w:p w:rsidR="009A4BCA" w:rsidRDefault="00CC6CF7">
            <w:pPr>
              <w:jc w:val="right"/>
            </w:pPr>
            <w:r>
              <w:rPr>
                <w:rFonts w:eastAsiaTheme="minorEastAsia"/>
                <w:kern w:val="0"/>
                <w:szCs w:val="21"/>
              </w:rPr>
              <w:t>142,674.00</w:t>
            </w:r>
          </w:p>
        </w:tc>
        <w:tc>
          <w:tcPr>
            <w:tcW w:w="1842" w:type="dxa"/>
            <w:vAlign w:val="center"/>
          </w:tcPr>
          <w:p w:rsidR="009A4BCA" w:rsidRDefault="00CC6CF7">
            <w:pPr>
              <w:jc w:val="right"/>
            </w:pPr>
            <w:r>
              <w:rPr>
                <w:rFonts w:eastAsiaTheme="minorEastAsia"/>
                <w:kern w:val="0"/>
                <w:szCs w:val="21"/>
              </w:rPr>
              <w:t>15,219,035.58</w:t>
            </w:r>
          </w:p>
        </w:tc>
        <w:tc>
          <w:tcPr>
            <w:tcW w:w="1616" w:type="dxa"/>
            <w:vAlign w:val="center"/>
          </w:tcPr>
          <w:p w:rsidR="009A4BCA" w:rsidRDefault="00CC6CF7">
            <w:pPr>
              <w:jc w:val="right"/>
            </w:pPr>
            <w:r>
              <w:rPr>
                <w:rFonts w:eastAsiaTheme="minorEastAsia"/>
                <w:kern w:val="0"/>
                <w:szCs w:val="21"/>
              </w:rPr>
              <w:t>6.30</w:t>
            </w:r>
          </w:p>
        </w:tc>
      </w:tr>
      <w:tr w:rsidR="009A4BCA">
        <w:tc>
          <w:tcPr>
            <w:tcW w:w="817" w:type="dxa"/>
            <w:vAlign w:val="center"/>
          </w:tcPr>
          <w:p w:rsidR="009A4BCA" w:rsidRDefault="00CC6CF7">
            <w:pPr>
              <w:jc w:val="center"/>
            </w:pPr>
            <w:r>
              <w:rPr>
                <w:rFonts w:eastAsiaTheme="minorEastAsia"/>
                <w:kern w:val="0"/>
                <w:szCs w:val="21"/>
              </w:rPr>
              <w:t>4</w:t>
            </w:r>
          </w:p>
        </w:tc>
        <w:tc>
          <w:tcPr>
            <w:tcW w:w="1276" w:type="dxa"/>
            <w:vAlign w:val="center"/>
          </w:tcPr>
          <w:p w:rsidR="009A4BCA" w:rsidRDefault="00CC6CF7">
            <w:pPr>
              <w:jc w:val="center"/>
            </w:pPr>
            <w:r>
              <w:rPr>
                <w:rFonts w:eastAsiaTheme="minorEastAsia"/>
                <w:kern w:val="0"/>
                <w:szCs w:val="21"/>
              </w:rPr>
              <w:t>688472</w:t>
            </w:r>
          </w:p>
        </w:tc>
        <w:tc>
          <w:tcPr>
            <w:tcW w:w="1701" w:type="dxa"/>
            <w:vAlign w:val="center"/>
          </w:tcPr>
          <w:p w:rsidR="009A4BCA" w:rsidRDefault="00CC6CF7">
            <w:pPr>
              <w:jc w:val="center"/>
            </w:pPr>
            <w:r>
              <w:rPr>
                <w:rFonts w:eastAsiaTheme="minorEastAsia"/>
                <w:kern w:val="0"/>
                <w:szCs w:val="21"/>
              </w:rPr>
              <w:t>阿特斯</w:t>
            </w:r>
          </w:p>
        </w:tc>
        <w:tc>
          <w:tcPr>
            <w:tcW w:w="1276" w:type="dxa"/>
            <w:vAlign w:val="center"/>
          </w:tcPr>
          <w:p w:rsidR="009A4BCA" w:rsidRDefault="00CC6CF7">
            <w:pPr>
              <w:jc w:val="right"/>
            </w:pPr>
            <w:r>
              <w:rPr>
                <w:rFonts w:eastAsiaTheme="minorEastAsia"/>
                <w:kern w:val="0"/>
                <w:szCs w:val="21"/>
              </w:rPr>
              <w:t>1,052,463.00</w:t>
            </w:r>
          </w:p>
        </w:tc>
        <w:tc>
          <w:tcPr>
            <w:tcW w:w="1842" w:type="dxa"/>
            <w:vAlign w:val="center"/>
          </w:tcPr>
          <w:p w:rsidR="009A4BCA" w:rsidRDefault="00CC6CF7">
            <w:pPr>
              <w:jc w:val="right"/>
            </w:pPr>
            <w:r>
              <w:rPr>
                <w:rFonts w:eastAsiaTheme="minorEastAsia"/>
                <w:kern w:val="0"/>
                <w:szCs w:val="21"/>
              </w:rPr>
              <w:t>14,965,070.30</w:t>
            </w:r>
          </w:p>
        </w:tc>
        <w:tc>
          <w:tcPr>
            <w:tcW w:w="1616" w:type="dxa"/>
            <w:vAlign w:val="center"/>
          </w:tcPr>
          <w:p w:rsidR="009A4BCA" w:rsidRDefault="00CC6CF7">
            <w:pPr>
              <w:jc w:val="right"/>
            </w:pPr>
            <w:r>
              <w:rPr>
                <w:rFonts w:eastAsiaTheme="minorEastAsia"/>
                <w:kern w:val="0"/>
                <w:szCs w:val="21"/>
              </w:rPr>
              <w:t>6.19</w:t>
            </w:r>
          </w:p>
        </w:tc>
      </w:tr>
      <w:tr w:rsidR="009A4BCA">
        <w:tc>
          <w:tcPr>
            <w:tcW w:w="817" w:type="dxa"/>
            <w:vAlign w:val="center"/>
          </w:tcPr>
          <w:p w:rsidR="009A4BCA" w:rsidRDefault="00CC6CF7">
            <w:pPr>
              <w:jc w:val="center"/>
            </w:pPr>
            <w:r>
              <w:rPr>
                <w:rFonts w:eastAsiaTheme="minorEastAsia"/>
                <w:kern w:val="0"/>
                <w:szCs w:val="21"/>
              </w:rPr>
              <w:t>5</w:t>
            </w:r>
          </w:p>
        </w:tc>
        <w:tc>
          <w:tcPr>
            <w:tcW w:w="1276" w:type="dxa"/>
            <w:vAlign w:val="center"/>
          </w:tcPr>
          <w:p w:rsidR="009A4BCA" w:rsidRDefault="00CC6CF7">
            <w:pPr>
              <w:jc w:val="center"/>
            </w:pPr>
            <w:r>
              <w:rPr>
                <w:rFonts w:eastAsiaTheme="minorEastAsia"/>
                <w:kern w:val="0"/>
                <w:szCs w:val="21"/>
              </w:rPr>
              <w:t>002459</w:t>
            </w:r>
          </w:p>
        </w:tc>
        <w:tc>
          <w:tcPr>
            <w:tcW w:w="1701" w:type="dxa"/>
            <w:vAlign w:val="center"/>
          </w:tcPr>
          <w:p w:rsidR="009A4BCA" w:rsidRDefault="00CC6CF7">
            <w:pPr>
              <w:jc w:val="center"/>
            </w:pPr>
            <w:r>
              <w:rPr>
                <w:rFonts w:eastAsiaTheme="minorEastAsia"/>
                <w:kern w:val="0"/>
                <w:szCs w:val="21"/>
              </w:rPr>
              <w:t>晶澳科技</w:t>
            </w:r>
          </w:p>
        </w:tc>
        <w:tc>
          <w:tcPr>
            <w:tcW w:w="1276" w:type="dxa"/>
            <w:vAlign w:val="center"/>
          </w:tcPr>
          <w:p w:rsidR="009A4BCA" w:rsidRDefault="00CC6CF7">
            <w:pPr>
              <w:jc w:val="right"/>
            </w:pPr>
            <w:r>
              <w:rPr>
                <w:rFonts w:eastAsiaTheme="minorEastAsia"/>
                <w:kern w:val="0"/>
                <w:szCs w:val="21"/>
              </w:rPr>
              <w:t>571,500.00</w:t>
            </w:r>
          </w:p>
        </w:tc>
        <w:tc>
          <w:tcPr>
            <w:tcW w:w="1842" w:type="dxa"/>
            <w:vAlign w:val="center"/>
          </w:tcPr>
          <w:p w:rsidR="009A4BCA" w:rsidRDefault="00CC6CF7">
            <w:pPr>
              <w:jc w:val="right"/>
            </w:pPr>
            <w:r>
              <w:rPr>
                <w:rFonts w:eastAsiaTheme="minorEastAsia"/>
                <w:kern w:val="0"/>
                <w:szCs w:val="21"/>
              </w:rPr>
              <w:t>14,618,970.00</w:t>
            </w:r>
          </w:p>
        </w:tc>
        <w:tc>
          <w:tcPr>
            <w:tcW w:w="1616" w:type="dxa"/>
            <w:vAlign w:val="center"/>
          </w:tcPr>
          <w:p w:rsidR="009A4BCA" w:rsidRDefault="00CC6CF7">
            <w:pPr>
              <w:jc w:val="right"/>
            </w:pPr>
            <w:r>
              <w:rPr>
                <w:rFonts w:eastAsiaTheme="minorEastAsia"/>
                <w:kern w:val="0"/>
                <w:szCs w:val="21"/>
              </w:rPr>
              <w:t>6.05</w:t>
            </w:r>
          </w:p>
        </w:tc>
      </w:tr>
      <w:tr w:rsidR="009A4BCA">
        <w:tc>
          <w:tcPr>
            <w:tcW w:w="817" w:type="dxa"/>
            <w:vAlign w:val="center"/>
          </w:tcPr>
          <w:p w:rsidR="009A4BCA" w:rsidRDefault="00CC6CF7">
            <w:pPr>
              <w:jc w:val="center"/>
            </w:pPr>
            <w:r>
              <w:rPr>
                <w:rFonts w:eastAsiaTheme="minorEastAsia"/>
                <w:kern w:val="0"/>
                <w:szCs w:val="21"/>
              </w:rPr>
              <w:t>6</w:t>
            </w:r>
          </w:p>
        </w:tc>
        <w:tc>
          <w:tcPr>
            <w:tcW w:w="1276" w:type="dxa"/>
            <w:vAlign w:val="center"/>
          </w:tcPr>
          <w:p w:rsidR="009A4BCA" w:rsidRDefault="00CC6CF7">
            <w:pPr>
              <w:jc w:val="center"/>
            </w:pPr>
            <w:r>
              <w:rPr>
                <w:rFonts w:eastAsiaTheme="minorEastAsia"/>
                <w:kern w:val="0"/>
                <w:szCs w:val="21"/>
              </w:rPr>
              <w:t>300750</w:t>
            </w:r>
          </w:p>
        </w:tc>
        <w:tc>
          <w:tcPr>
            <w:tcW w:w="1701" w:type="dxa"/>
            <w:vAlign w:val="center"/>
          </w:tcPr>
          <w:p w:rsidR="009A4BCA" w:rsidRDefault="00CC6CF7">
            <w:pPr>
              <w:jc w:val="center"/>
            </w:pPr>
            <w:r>
              <w:rPr>
                <w:rFonts w:eastAsiaTheme="minorEastAsia"/>
                <w:kern w:val="0"/>
                <w:szCs w:val="21"/>
              </w:rPr>
              <w:t>宁德时代</w:t>
            </w:r>
          </w:p>
        </w:tc>
        <w:tc>
          <w:tcPr>
            <w:tcW w:w="1276" w:type="dxa"/>
            <w:vAlign w:val="center"/>
          </w:tcPr>
          <w:p w:rsidR="009A4BCA" w:rsidRDefault="00CC6CF7">
            <w:pPr>
              <w:jc w:val="right"/>
            </w:pPr>
            <w:r>
              <w:rPr>
                <w:rFonts w:eastAsiaTheme="minorEastAsia"/>
                <w:kern w:val="0"/>
                <w:szCs w:val="21"/>
              </w:rPr>
              <w:t>64,721.00</w:t>
            </w:r>
          </w:p>
        </w:tc>
        <w:tc>
          <w:tcPr>
            <w:tcW w:w="1842" w:type="dxa"/>
            <w:vAlign w:val="center"/>
          </w:tcPr>
          <w:p w:rsidR="009A4BCA" w:rsidRDefault="00CC6CF7">
            <w:pPr>
              <w:jc w:val="right"/>
            </w:pPr>
            <w:r>
              <w:rPr>
                <w:rFonts w:eastAsiaTheme="minorEastAsia"/>
                <w:kern w:val="0"/>
                <w:szCs w:val="21"/>
              </w:rPr>
              <w:t>13,140,304.63</w:t>
            </w:r>
          </w:p>
        </w:tc>
        <w:tc>
          <w:tcPr>
            <w:tcW w:w="1616" w:type="dxa"/>
            <w:vAlign w:val="center"/>
          </w:tcPr>
          <w:p w:rsidR="009A4BCA" w:rsidRDefault="00CC6CF7">
            <w:pPr>
              <w:jc w:val="right"/>
            </w:pPr>
            <w:r>
              <w:rPr>
                <w:rFonts w:eastAsiaTheme="minorEastAsia"/>
                <w:kern w:val="0"/>
                <w:szCs w:val="21"/>
              </w:rPr>
              <w:t>5.44</w:t>
            </w:r>
          </w:p>
        </w:tc>
      </w:tr>
      <w:tr w:rsidR="009A4BCA">
        <w:tc>
          <w:tcPr>
            <w:tcW w:w="817" w:type="dxa"/>
            <w:vAlign w:val="center"/>
          </w:tcPr>
          <w:p w:rsidR="009A4BCA" w:rsidRDefault="00CC6CF7">
            <w:pPr>
              <w:jc w:val="center"/>
            </w:pPr>
            <w:r>
              <w:rPr>
                <w:rFonts w:eastAsiaTheme="minorEastAsia"/>
                <w:kern w:val="0"/>
                <w:szCs w:val="21"/>
              </w:rPr>
              <w:t>7</w:t>
            </w:r>
          </w:p>
        </w:tc>
        <w:tc>
          <w:tcPr>
            <w:tcW w:w="1276" w:type="dxa"/>
            <w:vAlign w:val="center"/>
          </w:tcPr>
          <w:p w:rsidR="009A4BCA" w:rsidRDefault="00CC6CF7">
            <w:pPr>
              <w:jc w:val="center"/>
            </w:pPr>
            <w:r>
              <w:rPr>
                <w:rFonts w:eastAsiaTheme="minorEastAsia"/>
                <w:kern w:val="0"/>
                <w:szCs w:val="21"/>
              </w:rPr>
              <w:t>301030</w:t>
            </w:r>
          </w:p>
        </w:tc>
        <w:tc>
          <w:tcPr>
            <w:tcW w:w="1701" w:type="dxa"/>
            <w:vAlign w:val="center"/>
          </w:tcPr>
          <w:p w:rsidR="009A4BCA" w:rsidRDefault="00CC6CF7">
            <w:pPr>
              <w:jc w:val="center"/>
            </w:pPr>
            <w:r>
              <w:rPr>
                <w:rFonts w:eastAsiaTheme="minorEastAsia"/>
                <w:kern w:val="0"/>
                <w:szCs w:val="21"/>
              </w:rPr>
              <w:t>仕净科技</w:t>
            </w:r>
          </w:p>
        </w:tc>
        <w:tc>
          <w:tcPr>
            <w:tcW w:w="1276" w:type="dxa"/>
            <w:vAlign w:val="center"/>
          </w:tcPr>
          <w:p w:rsidR="009A4BCA" w:rsidRDefault="00CC6CF7">
            <w:pPr>
              <w:jc w:val="right"/>
            </w:pPr>
            <w:r>
              <w:rPr>
                <w:rFonts w:eastAsiaTheme="minorEastAsia"/>
                <w:kern w:val="0"/>
                <w:szCs w:val="21"/>
              </w:rPr>
              <w:t>281,100.00</w:t>
            </w:r>
          </w:p>
        </w:tc>
        <w:tc>
          <w:tcPr>
            <w:tcW w:w="1842" w:type="dxa"/>
            <w:vAlign w:val="center"/>
          </w:tcPr>
          <w:p w:rsidR="009A4BCA" w:rsidRDefault="00CC6CF7">
            <w:pPr>
              <w:jc w:val="right"/>
            </w:pPr>
            <w:r>
              <w:rPr>
                <w:rFonts w:eastAsiaTheme="minorEastAsia"/>
                <w:kern w:val="0"/>
                <w:szCs w:val="21"/>
              </w:rPr>
              <w:t>12,452,730.00</w:t>
            </w:r>
          </w:p>
        </w:tc>
        <w:tc>
          <w:tcPr>
            <w:tcW w:w="1616" w:type="dxa"/>
            <w:vAlign w:val="center"/>
          </w:tcPr>
          <w:p w:rsidR="009A4BCA" w:rsidRDefault="00CC6CF7">
            <w:pPr>
              <w:jc w:val="right"/>
            </w:pPr>
            <w:r>
              <w:rPr>
                <w:rFonts w:eastAsiaTheme="minorEastAsia"/>
                <w:kern w:val="0"/>
                <w:szCs w:val="21"/>
              </w:rPr>
              <w:t>5.15</w:t>
            </w:r>
          </w:p>
        </w:tc>
      </w:tr>
      <w:tr w:rsidR="009A4BCA">
        <w:tc>
          <w:tcPr>
            <w:tcW w:w="817" w:type="dxa"/>
            <w:vAlign w:val="center"/>
          </w:tcPr>
          <w:p w:rsidR="009A4BCA" w:rsidRDefault="00CC6CF7">
            <w:pPr>
              <w:jc w:val="center"/>
            </w:pPr>
            <w:r>
              <w:rPr>
                <w:rFonts w:eastAsiaTheme="minorEastAsia"/>
                <w:kern w:val="0"/>
                <w:szCs w:val="21"/>
              </w:rPr>
              <w:t>8</w:t>
            </w:r>
          </w:p>
        </w:tc>
        <w:tc>
          <w:tcPr>
            <w:tcW w:w="1276" w:type="dxa"/>
            <w:vAlign w:val="center"/>
          </w:tcPr>
          <w:p w:rsidR="009A4BCA" w:rsidRDefault="00CC6CF7">
            <w:pPr>
              <w:jc w:val="center"/>
            </w:pPr>
            <w:r>
              <w:rPr>
                <w:rFonts w:eastAsiaTheme="minorEastAsia"/>
                <w:kern w:val="0"/>
                <w:szCs w:val="21"/>
              </w:rPr>
              <w:t>688223</w:t>
            </w:r>
          </w:p>
        </w:tc>
        <w:tc>
          <w:tcPr>
            <w:tcW w:w="1701" w:type="dxa"/>
            <w:vAlign w:val="center"/>
          </w:tcPr>
          <w:p w:rsidR="009A4BCA" w:rsidRDefault="00CC6CF7">
            <w:pPr>
              <w:jc w:val="center"/>
            </w:pPr>
            <w:r>
              <w:rPr>
                <w:rFonts w:eastAsiaTheme="minorEastAsia"/>
                <w:kern w:val="0"/>
                <w:szCs w:val="21"/>
              </w:rPr>
              <w:t>晶科能源</w:t>
            </w:r>
          </w:p>
        </w:tc>
        <w:tc>
          <w:tcPr>
            <w:tcW w:w="1276" w:type="dxa"/>
            <w:vAlign w:val="center"/>
          </w:tcPr>
          <w:p w:rsidR="009A4BCA" w:rsidRDefault="00CC6CF7">
            <w:pPr>
              <w:jc w:val="right"/>
            </w:pPr>
            <w:r>
              <w:rPr>
                <w:rFonts w:eastAsiaTheme="minorEastAsia"/>
                <w:kern w:val="0"/>
                <w:szCs w:val="21"/>
              </w:rPr>
              <w:t>1,186,895.00</w:t>
            </w:r>
          </w:p>
        </w:tc>
        <w:tc>
          <w:tcPr>
            <w:tcW w:w="1842" w:type="dxa"/>
            <w:vAlign w:val="center"/>
          </w:tcPr>
          <w:p w:rsidR="009A4BCA" w:rsidRDefault="00CC6CF7">
            <w:pPr>
              <w:jc w:val="right"/>
            </w:pPr>
            <w:r>
              <w:rPr>
                <w:rFonts w:eastAsiaTheme="minorEastAsia"/>
                <w:kern w:val="0"/>
                <w:szCs w:val="21"/>
              </w:rPr>
              <w:t>11,987,639.50</w:t>
            </w:r>
          </w:p>
        </w:tc>
        <w:tc>
          <w:tcPr>
            <w:tcW w:w="1616" w:type="dxa"/>
            <w:vAlign w:val="center"/>
          </w:tcPr>
          <w:p w:rsidR="009A4BCA" w:rsidRDefault="00CC6CF7">
            <w:pPr>
              <w:jc w:val="right"/>
            </w:pPr>
            <w:r>
              <w:rPr>
                <w:rFonts w:eastAsiaTheme="minorEastAsia"/>
                <w:kern w:val="0"/>
                <w:szCs w:val="21"/>
              </w:rPr>
              <w:t>4.96</w:t>
            </w:r>
          </w:p>
        </w:tc>
      </w:tr>
      <w:tr w:rsidR="009A4BCA">
        <w:tc>
          <w:tcPr>
            <w:tcW w:w="817" w:type="dxa"/>
            <w:vAlign w:val="center"/>
          </w:tcPr>
          <w:p w:rsidR="009A4BCA" w:rsidRDefault="00CC6CF7">
            <w:pPr>
              <w:jc w:val="center"/>
            </w:pPr>
            <w:r>
              <w:rPr>
                <w:rFonts w:eastAsiaTheme="minorEastAsia"/>
                <w:kern w:val="0"/>
                <w:szCs w:val="21"/>
              </w:rPr>
              <w:t>9</w:t>
            </w:r>
          </w:p>
        </w:tc>
        <w:tc>
          <w:tcPr>
            <w:tcW w:w="1276" w:type="dxa"/>
            <w:vAlign w:val="center"/>
          </w:tcPr>
          <w:p w:rsidR="009A4BCA" w:rsidRDefault="00CC6CF7">
            <w:pPr>
              <w:jc w:val="center"/>
            </w:pPr>
            <w:r>
              <w:rPr>
                <w:rFonts w:eastAsiaTheme="minorEastAsia"/>
                <w:kern w:val="0"/>
                <w:szCs w:val="21"/>
              </w:rPr>
              <w:t>600438</w:t>
            </w:r>
          </w:p>
        </w:tc>
        <w:tc>
          <w:tcPr>
            <w:tcW w:w="1701" w:type="dxa"/>
            <w:vAlign w:val="center"/>
          </w:tcPr>
          <w:p w:rsidR="009A4BCA" w:rsidRDefault="00CC6CF7">
            <w:pPr>
              <w:jc w:val="center"/>
            </w:pPr>
            <w:r>
              <w:rPr>
                <w:rFonts w:eastAsiaTheme="minorEastAsia"/>
                <w:kern w:val="0"/>
                <w:szCs w:val="21"/>
              </w:rPr>
              <w:t>通威股份</w:t>
            </w:r>
          </w:p>
        </w:tc>
        <w:tc>
          <w:tcPr>
            <w:tcW w:w="1276" w:type="dxa"/>
            <w:vAlign w:val="center"/>
          </w:tcPr>
          <w:p w:rsidR="009A4BCA" w:rsidRDefault="00CC6CF7">
            <w:pPr>
              <w:jc w:val="right"/>
            </w:pPr>
            <w:r>
              <w:rPr>
                <w:rFonts w:eastAsiaTheme="minorEastAsia"/>
                <w:kern w:val="0"/>
                <w:szCs w:val="21"/>
              </w:rPr>
              <w:t>297,700.00</w:t>
            </w:r>
          </w:p>
        </w:tc>
        <w:tc>
          <w:tcPr>
            <w:tcW w:w="1842" w:type="dxa"/>
            <w:vAlign w:val="center"/>
          </w:tcPr>
          <w:p w:rsidR="009A4BCA" w:rsidRDefault="00CC6CF7">
            <w:pPr>
              <w:jc w:val="right"/>
            </w:pPr>
            <w:r>
              <w:rPr>
                <w:rFonts w:eastAsiaTheme="minorEastAsia"/>
                <w:kern w:val="0"/>
                <w:szCs w:val="21"/>
              </w:rPr>
              <w:t>9,603,802.00</w:t>
            </w:r>
          </w:p>
        </w:tc>
        <w:tc>
          <w:tcPr>
            <w:tcW w:w="1616" w:type="dxa"/>
            <w:vAlign w:val="center"/>
          </w:tcPr>
          <w:p w:rsidR="009A4BCA" w:rsidRDefault="00CC6CF7">
            <w:pPr>
              <w:jc w:val="right"/>
            </w:pPr>
            <w:r>
              <w:rPr>
                <w:rFonts w:eastAsiaTheme="minorEastAsia"/>
                <w:kern w:val="0"/>
                <w:szCs w:val="21"/>
              </w:rPr>
              <w:t>3.97</w:t>
            </w:r>
          </w:p>
        </w:tc>
      </w:tr>
      <w:tr w:rsidR="009A4BCA">
        <w:tc>
          <w:tcPr>
            <w:tcW w:w="817" w:type="dxa"/>
            <w:vAlign w:val="center"/>
          </w:tcPr>
          <w:p w:rsidR="009A4BCA" w:rsidRDefault="00CC6CF7">
            <w:pPr>
              <w:jc w:val="center"/>
            </w:pPr>
            <w:r>
              <w:rPr>
                <w:rFonts w:eastAsiaTheme="minorEastAsia"/>
                <w:kern w:val="0"/>
                <w:szCs w:val="21"/>
              </w:rPr>
              <w:t>10</w:t>
            </w:r>
          </w:p>
        </w:tc>
        <w:tc>
          <w:tcPr>
            <w:tcW w:w="1276" w:type="dxa"/>
            <w:vAlign w:val="center"/>
          </w:tcPr>
          <w:p w:rsidR="009A4BCA" w:rsidRDefault="00CC6CF7">
            <w:pPr>
              <w:jc w:val="center"/>
            </w:pPr>
            <w:r>
              <w:rPr>
                <w:rFonts w:eastAsiaTheme="minorEastAsia"/>
                <w:kern w:val="0"/>
                <w:szCs w:val="21"/>
              </w:rPr>
              <w:t>300757</w:t>
            </w:r>
          </w:p>
        </w:tc>
        <w:tc>
          <w:tcPr>
            <w:tcW w:w="1701" w:type="dxa"/>
            <w:vAlign w:val="center"/>
          </w:tcPr>
          <w:p w:rsidR="009A4BCA" w:rsidRDefault="00CC6CF7">
            <w:pPr>
              <w:jc w:val="center"/>
            </w:pPr>
            <w:r>
              <w:rPr>
                <w:rFonts w:eastAsiaTheme="minorEastAsia"/>
                <w:kern w:val="0"/>
                <w:szCs w:val="21"/>
              </w:rPr>
              <w:t>罗博特科</w:t>
            </w:r>
          </w:p>
        </w:tc>
        <w:tc>
          <w:tcPr>
            <w:tcW w:w="1276" w:type="dxa"/>
            <w:vAlign w:val="center"/>
          </w:tcPr>
          <w:p w:rsidR="009A4BCA" w:rsidRDefault="00CC6CF7">
            <w:pPr>
              <w:jc w:val="right"/>
            </w:pPr>
            <w:r>
              <w:rPr>
                <w:rFonts w:eastAsiaTheme="minorEastAsia"/>
                <w:kern w:val="0"/>
                <w:szCs w:val="21"/>
              </w:rPr>
              <w:t>108,493.00</w:t>
            </w:r>
          </w:p>
        </w:tc>
        <w:tc>
          <w:tcPr>
            <w:tcW w:w="1842" w:type="dxa"/>
            <w:vAlign w:val="center"/>
          </w:tcPr>
          <w:p w:rsidR="009A4BCA" w:rsidRDefault="00CC6CF7">
            <w:pPr>
              <w:jc w:val="right"/>
            </w:pPr>
            <w:r>
              <w:rPr>
                <w:rFonts w:eastAsiaTheme="minorEastAsia"/>
                <w:kern w:val="0"/>
                <w:szCs w:val="21"/>
              </w:rPr>
              <w:t>8,883,406.84</w:t>
            </w:r>
          </w:p>
        </w:tc>
        <w:tc>
          <w:tcPr>
            <w:tcW w:w="1616" w:type="dxa"/>
            <w:vAlign w:val="center"/>
          </w:tcPr>
          <w:p w:rsidR="009A4BCA" w:rsidRDefault="00CC6CF7">
            <w:pPr>
              <w:jc w:val="right"/>
            </w:pPr>
            <w:r>
              <w:rPr>
                <w:rFonts w:eastAsiaTheme="minorEastAsia"/>
                <w:kern w:val="0"/>
                <w:szCs w:val="21"/>
              </w:rPr>
              <w:t>3.68</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lastRenderedPageBreak/>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145,275.64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51,175.43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196,451.07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tbl>
      <w:tblPr>
        <w:tblStyle w:val="afa"/>
        <w:tblW w:w="8513" w:type="dxa"/>
        <w:tblInd w:w="108" w:type="dxa"/>
        <w:tblLayout w:type="fixed"/>
        <w:tblLook w:val="04A0" w:firstRow="1" w:lastRow="0" w:firstColumn="1" w:lastColumn="0" w:noHBand="0" w:noVBand="1"/>
      </w:tblPr>
      <w:tblGrid>
        <w:gridCol w:w="1083"/>
        <w:gridCol w:w="1302"/>
        <w:gridCol w:w="1301"/>
        <w:gridCol w:w="1805"/>
        <w:gridCol w:w="1655"/>
        <w:gridCol w:w="1367"/>
      </w:tblGrid>
      <w:tr w:rsidR="005E6DF3" w:rsidRPr="00B27A29">
        <w:tc>
          <w:tcPr>
            <w:tcW w:w="108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1302"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股票代码</w:t>
            </w:r>
          </w:p>
        </w:tc>
        <w:tc>
          <w:tcPr>
            <w:tcW w:w="130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股票名称</w:t>
            </w:r>
          </w:p>
        </w:tc>
        <w:tc>
          <w:tcPr>
            <w:tcW w:w="180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流通受限部分的公允价值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5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c>
          <w:tcPr>
            <w:tcW w:w="136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流通受限情况说明</w:t>
            </w:r>
          </w:p>
        </w:tc>
      </w:tr>
      <w:tr w:rsidR="009A4BCA">
        <w:tc>
          <w:tcPr>
            <w:tcW w:w="1083" w:type="dxa"/>
            <w:vAlign w:val="center"/>
          </w:tcPr>
          <w:p w:rsidR="009A4BCA" w:rsidRDefault="00CC6CF7">
            <w:pPr>
              <w:jc w:val="center"/>
            </w:pPr>
            <w:r>
              <w:rPr>
                <w:rFonts w:eastAsiaTheme="minorEastAsia"/>
                <w:color w:val="000000" w:themeColor="text1"/>
                <w:szCs w:val="21"/>
              </w:rPr>
              <w:t>1</w:t>
            </w:r>
          </w:p>
        </w:tc>
        <w:tc>
          <w:tcPr>
            <w:tcW w:w="1302" w:type="dxa"/>
            <w:vAlign w:val="center"/>
          </w:tcPr>
          <w:p w:rsidR="009A4BCA" w:rsidRDefault="00CC6CF7">
            <w:pPr>
              <w:jc w:val="center"/>
            </w:pPr>
            <w:r>
              <w:rPr>
                <w:rFonts w:eastAsiaTheme="minorEastAsia"/>
                <w:color w:val="000000" w:themeColor="text1"/>
                <w:szCs w:val="21"/>
              </w:rPr>
              <w:t>688472</w:t>
            </w:r>
          </w:p>
        </w:tc>
        <w:tc>
          <w:tcPr>
            <w:tcW w:w="1301" w:type="dxa"/>
            <w:vAlign w:val="center"/>
          </w:tcPr>
          <w:p w:rsidR="009A4BCA" w:rsidRDefault="00CC6CF7">
            <w:pPr>
              <w:jc w:val="center"/>
            </w:pPr>
            <w:r>
              <w:rPr>
                <w:rFonts w:eastAsiaTheme="minorEastAsia"/>
                <w:color w:val="000000" w:themeColor="text1"/>
                <w:szCs w:val="21"/>
              </w:rPr>
              <w:t>阿特斯</w:t>
            </w:r>
          </w:p>
        </w:tc>
        <w:tc>
          <w:tcPr>
            <w:tcW w:w="1805" w:type="dxa"/>
            <w:vAlign w:val="center"/>
          </w:tcPr>
          <w:p w:rsidR="009A4BCA" w:rsidRDefault="00CC6CF7">
            <w:pPr>
              <w:jc w:val="right"/>
            </w:pPr>
            <w:r>
              <w:rPr>
                <w:rFonts w:eastAsiaTheme="minorEastAsia"/>
                <w:color w:val="000000" w:themeColor="text1"/>
                <w:szCs w:val="21"/>
              </w:rPr>
              <w:t>20,916.80</w:t>
            </w:r>
          </w:p>
        </w:tc>
        <w:tc>
          <w:tcPr>
            <w:tcW w:w="1655" w:type="dxa"/>
            <w:vAlign w:val="center"/>
          </w:tcPr>
          <w:p w:rsidR="009A4BCA" w:rsidRDefault="00CC6CF7">
            <w:pPr>
              <w:jc w:val="right"/>
            </w:pPr>
            <w:r>
              <w:rPr>
                <w:rFonts w:eastAsiaTheme="minorEastAsia"/>
                <w:color w:val="000000" w:themeColor="text1"/>
                <w:szCs w:val="21"/>
              </w:rPr>
              <w:t>0.01</w:t>
            </w:r>
          </w:p>
        </w:tc>
        <w:tc>
          <w:tcPr>
            <w:tcW w:w="1367" w:type="dxa"/>
            <w:vAlign w:val="center"/>
          </w:tcPr>
          <w:p w:rsidR="009A4BCA" w:rsidRDefault="00CC6CF7">
            <w:pPr>
              <w:jc w:val="right"/>
            </w:pPr>
            <w:r>
              <w:rPr>
                <w:rFonts w:eastAsiaTheme="minorEastAsia"/>
                <w:color w:val="000000" w:themeColor="text1"/>
                <w:szCs w:val="21"/>
              </w:rPr>
              <w:t>新股锁定期内</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188,622,031.35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7,222,224.26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9,109,577.80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5,232,891.50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12,306,025.01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4,464,824.68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185,425,584.14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7,990,291.08</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371,724.18</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371,724.18</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0.19</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C740CA" w:rsidRDefault="00C740CA" w:rsidP="00C740CA">
      <w:pPr>
        <w:spacing w:line="360" w:lineRule="auto"/>
        <w:jc w:val="left"/>
        <w:rPr>
          <w:b/>
          <w:color w:val="000000" w:themeColor="text1"/>
          <w:szCs w:val="21"/>
        </w:rPr>
      </w:pPr>
    </w:p>
    <w:p w:rsidR="00C740CA" w:rsidRDefault="00C740CA" w:rsidP="00C740CA">
      <w:pPr>
        <w:spacing w:line="360" w:lineRule="auto"/>
        <w:jc w:val="left"/>
        <w:rPr>
          <w:b/>
          <w:color w:val="000000" w:themeColor="text1"/>
          <w:szCs w:val="21"/>
        </w:rPr>
      </w:pPr>
      <w:r>
        <w:rPr>
          <w:b/>
          <w:color w:val="000000" w:themeColor="text1"/>
          <w:szCs w:val="21"/>
        </w:rPr>
        <w:t xml:space="preserve">7.2 </w:t>
      </w:r>
      <w:r>
        <w:rPr>
          <w:rFonts w:hint="eastAsia"/>
          <w:b/>
          <w:color w:val="000000" w:themeColor="text1"/>
          <w:szCs w:val="21"/>
        </w:rPr>
        <w:t>基金管理人运用固有资金投资本基金交易明细</w:t>
      </w:r>
    </w:p>
    <w:p w:rsidR="00C740CA" w:rsidRDefault="00C740CA" w:rsidP="00C740CA">
      <w:pPr>
        <w:spacing w:line="360" w:lineRule="auto"/>
        <w:jc w:val="left"/>
        <w:rPr>
          <w:color w:val="000000" w:themeColor="text1"/>
          <w:szCs w:val="21"/>
        </w:rPr>
      </w:pPr>
      <w:r>
        <w:rPr>
          <w:rFonts w:hint="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9A4BCA" w:rsidRDefault="00CC6CF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9A4BCA" w:rsidRDefault="00CC6CF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摩根核心精选股票型证券投资基金基金合同</w:t>
      </w:r>
    </w:p>
    <w:p w:rsidR="009A4BCA" w:rsidRDefault="00CC6CF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摩根核心精选股票型证券投资基金托管协议</w:t>
      </w:r>
    </w:p>
    <w:p w:rsidR="009A4BCA" w:rsidRDefault="00CC6CF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9A4BCA" w:rsidRDefault="00CC6CF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9A4BCA" w:rsidRDefault="00CC6CF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9A4BCA" w:rsidRDefault="00CC6CF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lastRenderedPageBreak/>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CF7" w:rsidRDefault="00CC6CF7">
      <w:r>
        <w:separator/>
      </w:r>
    </w:p>
  </w:endnote>
  <w:endnote w:type="continuationSeparator" w:id="0">
    <w:p w:rsidR="00CC6CF7" w:rsidRDefault="00CC6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A62B4">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A62B4">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DA62B4">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CF7" w:rsidRDefault="00CC6CF7">
      <w:r>
        <w:separator/>
      </w:r>
    </w:p>
  </w:footnote>
  <w:footnote w:type="continuationSeparator" w:id="0">
    <w:p w:rsidR="00CC6CF7" w:rsidRDefault="00CC6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摩根核心精选股票型证券投资基金</w:t>
    </w:r>
    <w:r>
      <w:t>2023</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4BCA"/>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40CA"/>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6CF7"/>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2B4"/>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 w:id="1905985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11E7D9-5DD7-4276-AFDA-378FEA78E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14</Pages>
  <Words>1226</Words>
  <Characters>6992</Characters>
  <Application>Microsoft Office Word</Application>
  <DocSecurity>0</DocSecurity>
  <Lines>58</Lines>
  <Paragraphs>16</Paragraphs>
  <ScaleCrop>false</ScaleCrop>
  <Company>TRT. Ltd. Co.</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Wentian.Zhou@FA</cp:lastModifiedBy>
  <cp:revision>221</cp:revision>
  <cp:lastPrinted>2007-07-19T00:46:00Z</cp:lastPrinted>
  <dcterms:created xsi:type="dcterms:W3CDTF">2013-06-21T06:56:00Z</dcterms:created>
  <dcterms:modified xsi:type="dcterms:W3CDTF">2023-10-24T07:46:00Z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